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94CD4A" w14:textId="77777777" w:rsidR="00182176" w:rsidRDefault="00000000">
      <w:pPr>
        <w:spacing w:before="1800"/>
        <w:jc w:val="center"/>
      </w:pPr>
      <w:proofErr w:type="spellStart"/>
      <w:r>
        <w:rPr>
          <w:b/>
          <w:bCs/>
          <w:color w:val="2A9D8F"/>
          <w:sz w:val="72"/>
          <w:szCs w:val="72"/>
        </w:rPr>
        <w:t>DriftLess</w:t>
      </w:r>
      <w:proofErr w:type="spellEnd"/>
    </w:p>
    <w:p w14:paraId="2F94CD4B" w14:textId="77777777" w:rsidR="00182176" w:rsidRDefault="00000000">
      <w:pPr>
        <w:spacing w:after="80"/>
        <w:jc w:val="center"/>
      </w:pPr>
      <w:r>
        <w:rPr>
          <w:sz w:val="30"/>
          <w:szCs w:val="30"/>
        </w:rPr>
        <w:t>Automated Cloud-Side Few-Shot Calibration</w:t>
      </w:r>
    </w:p>
    <w:p w14:paraId="2F94CD4C" w14:textId="77777777" w:rsidR="00182176" w:rsidRDefault="00000000">
      <w:pPr>
        <w:spacing w:after="400"/>
        <w:jc w:val="center"/>
      </w:pPr>
      <w:r>
        <w:rPr>
          <w:sz w:val="30"/>
          <w:szCs w:val="30"/>
        </w:rPr>
        <w:t>for EOG Gaze Estimation</w:t>
      </w:r>
    </w:p>
    <w:p w14:paraId="2F94CD4D" w14:textId="77777777" w:rsidR="00182176" w:rsidRDefault="00000000">
      <w:pPr>
        <w:spacing w:after="600"/>
        <w:jc w:val="center"/>
      </w:pPr>
      <w:r>
        <w:rPr>
          <w:i/>
          <w:iCs/>
          <w:color w:val="5A6B72"/>
          <w:sz w:val="24"/>
          <w:szCs w:val="24"/>
        </w:rPr>
        <w:t>Advanced Cloud Computing — Project Report</w:t>
      </w:r>
    </w:p>
    <w:p w14:paraId="2F94CD4E" w14:textId="77777777" w:rsidR="00182176" w:rsidRDefault="00000000">
      <w:pPr>
        <w:spacing w:after="60"/>
        <w:jc w:val="center"/>
      </w:pPr>
      <w:r>
        <w:rPr>
          <w:color w:val="5A6B72"/>
        </w:rPr>
        <w:t>Submitted by</w:t>
      </w:r>
    </w:p>
    <w:p w14:paraId="2F94CD4F" w14:textId="77777777" w:rsidR="00182176" w:rsidRDefault="00000000">
      <w:pPr>
        <w:spacing w:after="40"/>
        <w:jc w:val="center"/>
      </w:pPr>
      <w:r>
        <w:rPr>
          <w:b/>
          <w:bCs/>
          <w:sz w:val="24"/>
          <w:szCs w:val="24"/>
        </w:rPr>
        <w:t xml:space="preserve">Sneha </w:t>
      </w:r>
      <w:proofErr w:type="gramStart"/>
      <w:r>
        <w:rPr>
          <w:b/>
          <w:bCs/>
          <w:sz w:val="24"/>
          <w:szCs w:val="24"/>
        </w:rPr>
        <w:t>Prasad  (</w:t>
      </w:r>
      <w:proofErr w:type="gramEnd"/>
      <w:r>
        <w:rPr>
          <w:b/>
          <w:bCs/>
          <w:sz w:val="24"/>
          <w:szCs w:val="24"/>
        </w:rPr>
        <w:t>24BEC0391)</w:t>
      </w:r>
    </w:p>
    <w:p w14:paraId="2F94CD50" w14:textId="77777777" w:rsidR="00182176" w:rsidRDefault="00000000">
      <w:pPr>
        <w:spacing w:after="40"/>
        <w:jc w:val="center"/>
      </w:pPr>
      <w:r>
        <w:rPr>
          <w:b/>
          <w:bCs/>
          <w:sz w:val="24"/>
          <w:szCs w:val="24"/>
        </w:rPr>
        <w:t xml:space="preserve">Anushvi </w:t>
      </w:r>
      <w:proofErr w:type="gramStart"/>
      <w:r>
        <w:rPr>
          <w:b/>
          <w:bCs/>
          <w:sz w:val="24"/>
          <w:szCs w:val="24"/>
        </w:rPr>
        <w:t>Tiwari  (</w:t>
      </w:r>
      <w:proofErr w:type="gramEnd"/>
      <w:r>
        <w:rPr>
          <w:b/>
          <w:bCs/>
          <w:sz w:val="24"/>
          <w:szCs w:val="24"/>
        </w:rPr>
        <w:t>24BEC0310)</w:t>
      </w:r>
    </w:p>
    <w:p w14:paraId="2F94CD51" w14:textId="77777777" w:rsidR="00182176" w:rsidRDefault="00000000">
      <w:pPr>
        <w:spacing w:after="500"/>
        <w:jc w:val="center"/>
      </w:pPr>
      <w:r>
        <w:rPr>
          <w:b/>
          <w:bCs/>
          <w:sz w:val="24"/>
          <w:szCs w:val="24"/>
        </w:rPr>
        <w:t xml:space="preserve">Sambhav </w:t>
      </w:r>
      <w:proofErr w:type="spellStart"/>
      <w:proofErr w:type="gramStart"/>
      <w:r>
        <w:rPr>
          <w:b/>
          <w:bCs/>
          <w:sz w:val="24"/>
          <w:szCs w:val="24"/>
        </w:rPr>
        <w:t>Mandawewala</w:t>
      </w:r>
      <w:proofErr w:type="spellEnd"/>
      <w:r>
        <w:rPr>
          <w:b/>
          <w:bCs/>
          <w:sz w:val="24"/>
          <w:szCs w:val="24"/>
        </w:rPr>
        <w:t xml:space="preserve">  (</w:t>
      </w:r>
      <w:proofErr w:type="gramEnd"/>
      <w:r>
        <w:rPr>
          <w:b/>
          <w:bCs/>
          <w:sz w:val="24"/>
          <w:szCs w:val="24"/>
        </w:rPr>
        <w:t>24BML0093)</w:t>
      </w:r>
    </w:p>
    <w:p w14:paraId="2F94CD52" w14:textId="77777777" w:rsidR="00182176" w:rsidRDefault="00000000">
      <w:pPr>
        <w:spacing w:after="40"/>
        <w:jc w:val="center"/>
      </w:pPr>
      <w:r>
        <w:rPr>
          <w:color w:val="5A6B72"/>
          <w:sz w:val="20"/>
          <w:szCs w:val="20"/>
        </w:rPr>
        <w:t>Repository: github.com/snehaprasad11/</w:t>
      </w:r>
      <w:proofErr w:type="spellStart"/>
      <w:r>
        <w:rPr>
          <w:color w:val="5A6B72"/>
          <w:sz w:val="20"/>
          <w:szCs w:val="20"/>
        </w:rPr>
        <w:t>DriftLess</w:t>
      </w:r>
      <w:proofErr w:type="spellEnd"/>
    </w:p>
    <w:p w14:paraId="2F94CD53" w14:textId="77777777" w:rsidR="00182176" w:rsidRDefault="00000000">
      <w:pPr>
        <w:jc w:val="center"/>
      </w:pPr>
      <w:r>
        <w:rPr>
          <w:color w:val="5A6B72"/>
          <w:sz w:val="20"/>
          <w:szCs w:val="20"/>
        </w:rPr>
        <w:t>Live demo: driftless-demo.onrender.com</w:t>
      </w:r>
    </w:p>
    <w:p w14:paraId="2F94CD54" w14:textId="77777777" w:rsidR="00182176" w:rsidRDefault="00000000">
      <w:r>
        <w:br w:type="page"/>
      </w:r>
    </w:p>
    <w:p w14:paraId="2F94CD55" w14:textId="77777777" w:rsidR="00182176" w:rsidRDefault="00000000">
      <w:pPr>
        <w:pStyle w:val="Heading1"/>
      </w:pPr>
      <w:r>
        <w:lastRenderedPageBreak/>
        <w:t>Abstract</w:t>
      </w:r>
    </w:p>
    <w:p w14:paraId="2F94CD56" w14:textId="77777777" w:rsidR="00182176" w:rsidRDefault="00000000">
      <w:pPr>
        <w:spacing w:after="120" w:line="276" w:lineRule="auto"/>
        <w:jc w:val="both"/>
      </w:pPr>
      <w:r>
        <w:t xml:space="preserve">Electrooculography (EOG) enables camera-free, hands-free gaze interfaces but suffers from baseline drift — a slow, person-specific wander of the signal that makes a model tuned for one user inaccurate for the next. Prior work corrects drift manually and offline. </w:t>
      </w:r>
      <w:proofErr w:type="spellStart"/>
      <w:r>
        <w:t>DriftLess</w:t>
      </w:r>
      <w:proofErr w:type="spellEnd"/>
      <w:r>
        <w:t xml:space="preserve"> reframes the problem as a live, cloud-native service: a single shared deep-learning model is personalised to each brand-new user in seconds by few-shot fine-tuning of a tiny drift adapter, and served with millisecond latency. On subjects the model never trained on, calibration reduces near-term gaze error by up to 34% (best configuration) and ~11% averaged across all six subjects in leave-one-subject-out evaluation, helping five of six. The system is delivered as containerised microservices (API gateway, stateless inference, an asynchronous calibration worker behind a Redis queue, and a versioned model registry), runs locally with one command, is serverless-deployable with scale-to-zero, and includes automated tests, CI, verified Kubernetes autoscaling, and a live streaming demonstration.</w:t>
      </w:r>
    </w:p>
    <w:p w14:paraId="2F94CD57" w14:textId="77777777" w:rsidR="00182176" w:rsidRDefault="00000000">
      <w:pPr>
        <w:pStyle w:val="Heading1"/>
      </w:pPr>
      <w:r>
        <w:t>Table of Contents</w:t>
      </w:r>
    </w:p>
    <w:sdt>
      <w:sdtPr>
        <w:alias w:val="Contents"/>
        <w:id w:val="341750136"/>
      </w:sdtPr>
      <w:sdtContent>
        <w:p w14:paraId="2F94CD58" w14:textId="77777777" w:rsidR="00182176" w:rsidRDefault="00000000">
          <w:r>
            <w:fldChar w:fldCharType="begin"/>
          </w:r>
          <w:r>
            <w:instrText>TOC \h \o "1-2"</w:instrText>
          </w:r>
          <w:r>
            <w:fldChar w:fldCharType="separate"/>
          </w:r>
        </w:p>
        <w:p w14:paraId="2F94CD59" w14:textId="77777777" w:rsidR="00182176" w:rsidRDefault="00000000">
          <w:r>
            <w:fldChar w:fldCharType="end"/>
          </w:r>
        </w:p>
      </w:sdtContent>
    </w:sdt>
    <w:p w14:paraId="2F94CD5A" w14:textId="77777777" w:rsidR="00182176" w:rsidRDefault="00000000">
      <w:r>
        <w:br w:type="page"/>
      </w:r>
    </w:p>
    <w:p w14:paraId="2F94CD5B" w14:textId="77777777" w:rsidR="00182176" w:rsidRDefault="00000000">
      <w:pPr>
        <w:pStyle w:val="Heading1"/>
      </w:pPr>
      <w:r>
        <w:lastRenderedPageBreak/>
        <w:t>1. Introduction</w:t>
      </w:r>
    </w:p>
    <w:p w14:paraId="2F94CD5C" w14:textId="77777777" w:rsidR="00182176" w:rsidRDefault="00000000">
      <w:pPr>
        <w:pStyle w:val="Heading2"/>
      </w:pPr>
      <w:r>
        <w:t>1.1 Background — EOG</w:t>
      </w:r>
    </w:p>
    <w:p w14:paraId="2F94CD5D" w14:textId="77777777" w:rsidR="00182176" w:rsidRDefault="00000000">
      <w:pPr>
        <w:spacing w:after="120" w:line="276" w:lineRule="auto"/>
        <w:jc w:val="both"/>
      </w:pPr>
      <w:r>
        <w:t>The eye behaves like a small dipole: the cornea is slightly positive and the retina slightly negative. Electrodes placed on the skin around the eyes register the voltage change as the eye rotates, so eye movement becomes an electrical signal with no camera required. This makes EOG well suited to assistive technology (users who cannot use their hands), AR/VR input, and hands-busy settings such as surgery or industrial work.</w:t>
      </w:r>
    </w:p>
    <w:p w14:paraId="2F94CD5E" w14:textId="77777777" w:rsidR="00182176" w:rsidRDefault="00000000">
      <w:pPr>
        <w:pStyle w:val="Heading2"/>
      </w:pPr>
      <w:r>
        <w:t>1.2 The problem — baseline drift</w:t>
      </w:r>
    </w:p>
    <w:p w14:paraId="2F94CD5F" w14:textId="77777777" w:rsidR="00182176" w:rsidRDefault="00000000">
      <w:pPr>
        <w:spacing w:after="120" w:line="276" w:lineRule="auto"/>
        <w:jc w:val="both"/>
      </w:pPr>
      <w:r>
        <w:t>Even when the eye is perfectly still, the EOG baseline slowly wanders due to sweat, skin properties, temperature and electrode chemistry. This drift is (a) person-specific — every user drifts differently — and (b) time-varying — it changes within a single session. Because drift makes a still eye look like a moving one, it corrupts any attempt to estimate where the eye looked. Traditional fixes use hand-tuned signal-processing applied per subject, offline, and are not designed to run as a live, scalable service.</w:t>
      </w:r>
    </w:p>
    <w:p w14:paraId="2F94CD60" w14:textId="77777777" w:rsidR="00182176" w:rsidRDefault="00000000">
      <w:pPr>
        <w:pStyle w:val="Heading2"/>
      </w:pPr>
      <w:r>
        <w:t>1.3 Contribution</w:t>
      </w:r>
    </w:p>
    <w:p w14:paraId="2F94CD61" w14:textId="77777777" w:rsidR="00182176" w:rsidRDefault="00000000">
      <w:pPr>
        <w:spacing w:after="120" w:line="276" w:lineRule="auto"/>
        <w:jc w:val="both"/>
      </w:pPr>
      <w:r>
        <w:t xml:space="preserve">No prior system makes drift correction an automatic, live, scalable cloud service. </w:t>
      </w:r>
      <w:proofErr w:type="spellStart"/>
      <w:r>
        <w:t>DriftLess</w:t>
      </w:r>
      <w:proofErr w:type="spellEnd"/>
      <w:r>
        <w:t xml:space="preserve"> contributes a method-plus-system: automated cloud-side few-shot calibration of a shared EOG model to each user's individual drift signature, with per-user model versioning and elastic serving.</w:t>
      </w:r>
    </w:p>
    <w:p w14:paraId="2F94CD62" w14:textId="77777777" w:rsidR="00182176" w:rsidRDefault="00000000">
      <w:pPr>
        <w:pStyle w:val="Heading1"/>
      </w:pPr>
      <w:r>
        <w:t>2. Dataset</w:t>
      </w:r>
    </w:p>
    <w:p w14:paraId="2F94CD63" w14:textId="77777777" w:rsidR="00182176" w:rsidRDefault="00000000">
      <w:pPr>
        <w:spacing w:after="120" w:line="276" w:lineRule="auto"/>
        <w:jc w:val="both"/>
      </w:pPr>
      <w:r>
        <w:t xml:space="preserve">This work uses the </w:t>
      </w:r>
      <w:r>
        <w:rPr>
          <w:b/>
          <w:bCs/>
        </w:rPr>
        <w:t xml:space="preserve">UM Malta </w:t>
      </w:r>
      <w:proofErr w:type="spellStart"/>
      <w:r>
        <w:rPr>
          <w:b/>
          <w:bCs/>
        </w:rPr>
        <w:t>EyeCon</w:t>
      </w:r>
      <w:proofErr w:type="spellEnd"/>
      <w:r>
        <w:rPr>
          <w:b/>
          <w:bCs/>
        </w:rPr>
        <w:t xml:space="preserve"> EOG dataset</w:t>
      </w:r>
      <w:r>
        <w:t xml:space="preserve">, a public research dataset from the University of Malta, Centre for Biomedical Cybernetics (CBC). It contains real recordings from </w:t>
      </w:r>
      <w:r>
        <w:rPr>
          <w:b/>
          <w:bCs/>
        </w:rPr>
        <w:t>six healthy subjects</w:t>
      </w:r>
      <w:r>
        <w:t xml:space="preserve"> (two male, four </w:t>
      </w:r>
      <w:proofErr w:type="gramStart"/>
      <w:r>
        <w:t>female</w:t>
      </w:r>
      <w:proofErr w:type="gramEnd"/>
      <w:r>
        <w:t xml:space="preserve">; mean age 24.7). Two EOG channels — horizontal (V3−V4) and vertical (V1−V2) — were recorded at </w:t>
      </w:r>
      <w:r>
        <w:rPr>
          <w:b/>
          <w:bCs/>
        </w:rPr>
        <w:t>256 Hz</w:t>
      </w:r>
      <w:r>
        <w:t xml:space="preserve"> and band-pass filtered (0–30 Hz, 50 Hz notch).</w:t>
      </w:r>
    </w:p>
    <w:p w14:paraId="2F94CD64" w14:textId="77777777" w:rsidR="00182176" w:rsidRDefault="00000000">
      <w:pPr>
        <w:spacing w:after="120" w:line="276" w:lineRule="auto"/>
        <w:jc w:val="both"/>
      </w:pPr>
      <w:r>
        <w:t>Each subject performed 300 trials (three sessions of 100). Every trial has the same 4-second structure: a forward saccade from the centre to a random target (~1 s), a return saccade back to the centre (~1 s), and a blink (~2 s). Ground-truth target gaze angles (in degrees) are provided per saccade, and a control signal labels every sample as forward saccade, return saccade or blink. We use Dataset 1 — the cleanest, zero-centred horizontal + vertical bipolar EOG — giving 900 labelled windows per subject.</w:t>
      </w:r>
    </w:p>
    <w:p w14:paraId="2F94CD65" w14:textId="77777777" w:rsidR="00182176" w:rsidRDefault="00000000">
      <w:pPr>
        <w:spacing w:after="120" w:line="276" w:lineRule="auto"/>
        <w:jc w:val="both"/>
      </w:pPr>
      <w:r>
        <w:rPr>
          <w:b/>
          <w:bCs/>
        </w:rPr>
        <w:t xml:space="preserve">Source: </w:t>
      </w:r>
      <w:r>
        <w:t>https://www.um.edu.mt/cbc/ourprojects/eyecon/eogdataset/</w:t>
      </w:r>
    </w:p>
    <w:p w14:paraId="2F94CD66" w14:textId="77777777" w:rsidR="00182176" w:rsidRDefault="00000000">
      <w:pPr>
        <w:spacing w:after="120" w:line="276" w:lineRule="auto"/>
        <w:jc w:val="both"/>
      </w:pPr>
      <w:r>
        <w:rPr>
          <w:b/>
          <w:bCs/>
        </w:rPr>
        <w:t xml:space="preserve">Reference: </w:t>
      </w:r>
      <w:r>
        <w:t>N. Barbara, T. A. Camilleri, K. P. Camilleri, “A comparison of EOG baseline drift mitigation techniques,” Biomedical Signal Processing and Control, vol. 57, 2020.</w:t>
      </w:r>
    </w:p>
    <w:p w14:paraId="2F94CD67" w14:textId="77777777" w:rsidR="00182176" w:rsidRDefault="00000000">
      <w:pPr>
        <w:pStyle w:val="Heading1"/>
      </w:pPr>
      <w:r>
        <w:t>3. System Design and Architecture</w:t>
      </w:r>
    </w:p>
    <w:p w14:paraId="2F94CD68" w14:textId="77777777" w:rsidR="00182176" w:rsidRDefault="00000000">
      <w:pPr>
        <w:spacing w:after="120" w:line="276" w:lineRule="auto"/>
        <w:jc w:val="both"/>
      </w:pPr>
      <w:proofErr w:type="spellStart"/>
      <w:r>
        <w:t>DriftLess</w:t>
      </w:r>
      <w:proofErr w:type="spellEnd"/>
      <w:r>
        <w:t xml:space="preserve"> is composed of six single-responsibility components operating across three lifecycles (build-time, per-new-user, and every-use):</w:t>
      </w:r>
    </w:p>
    <w:tbl>
      <w:tblPr>
        <w:tblW w:w="89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4600"/>
        <w:gridCol w:w="1900"/>
      </w:tblGrid>
      <w:tr w:rsidR="00182176" w14:paraId="2F94CD6C" w14:textId="77777777">
        <w:tblPrEx>
          <w:tblCellMar>
            <w:top w:w="0" w:type="dxa"/>
            <w:bottom w:w="0" w:type="dxa"/>
          </w:tblCellMar>
        </w:tblPrEx>
        <w:trPr>
          <w:tblHeader/>
        </w:trPr>
        <w:tc>
          <w:tcPr>
            <w:tcW w:w="2400" w:type="dxa"/>
            <w:shd w:val="clear" w:color="auto" w:fill="1A2B32"/>
            <w:tcMar>
              <w:top w:w="60" w:type="dxa"/>
              <w:left w:w="100" w:type="dxa"/>
              <w:bottom w:w="60" w:type="dxa"/>
              <w:right w:w="100" w:type="dxa"/>
            </w:tcMar>
          </w:tcPr>
          <w:p w14:paraId="2F94CD69" w14:textId="77777777" w:rsidR="00182176" w:rsidRDefault="00000000">
            <w:r>
              <w:rPr>
                <w:b/>
                <w:bCs/>
                <w:color w:val="FFFFFF"/>
                <w:sz w:val="20"/>
                <w:szCs w:val="20"/>
              </w:rPr>
              <w:lastRenderedPageBreak/>
              <w:t>Component</w:t>
            </w:r>
          </w:p>
        </w:tc>
        <w:tc>
          <w:tcPr>
            <w:tcW w:w="4600" w:type="dxa"/>
            <w:shd w:val="clear" w:color="auto" w:fill="1A2B32"/>
            <w:tcMar>
              <w:top w:w="60" w:type="dxa"/>
              <w:left w:w="100" w:type="dxa"/>
              <w:bottom w:w="60" w:type="dxa"/>
              <w:right w:w="100" w:type="dxa"/>
            </w:tcMar>
          </w:tcPr>
          <w:p w14:paraId="2F94CD6A" w14:textId="77777777" w:rsidR="00182176" w:rsidRDefault="00000000">
            <w:r>
              <w:rPr>
                <w:b/>
                <w:bCs/>
                <w:color w:val="FFFFFF"/>
                <w:sz w:val="20"/>
                <w:szCs w:val="20"/>
              </w:rPr>
              <w:t>Responsibility</w:t>
            </w:r>
          </w:p>
        </w:tc>
        <w:tc>
          <w:tcPr>
            <w:tcW w:w="1900" w:type="dxa"/>
            <w:shd w:val="clear" w:color="auto" w:fill="1A2B32"/>
            <w:tcMar>
              <w:top w:w="60" w:type="dxa"/>
              <w:left w:w="100" w:type="dxa"/>
              <w:bottom w:w="60" w:type="dxa"/>
              <w:right w:w="100" w:type="dxa"/>
            </w:tcMar>
          </w:tcPr>
          <w:p w14:paraId="2F94CD6B" w14:textId="77777777" w:rsidR="00182176" w:rsidRDefault="00000000">
            <w:r>
              <w:rPr>
                <w:b/>
                <w:bCs/>
                <w:color w:val="FFFFFF"/>
                <w:sz w:val="20"/>
                <w:szCs w:val="20"/>
              </w:rPr>
              <w:t>Lifecycle</w:t>
            </w:r>
          </w:p>
        </w:tc>
      </w:tr>
      <w:tr w:rsidR="00182176" w14:paraId="2F94CD70" w14:textId="77777777">
        <w:tblPrEx>
          <w:tblCellMar>
            <w:top w:w="0" w:type="dxa"/>
            <w:bottom w:w="0" w:type="dxa"/>
          </w:tblCellMar>
        </w:tblPrEx>
        <w:tc>
          <w:tcPr>
            <w:tcW w:w="2400" w:type="dxa"/>
            <w:tcMar>
              <w:top w:w="60" w:type="dxa"/>
              <w:left w:w="100" w:type="dxa"/>
              <w:bottom w:w="60" w:type="dxa"/>
              <w:right w:w="100" w:type="dxa"/>
            </w:tcMar>
          </w:tcPr>
          <w:p w14:paraId="2F94CD6D" w14:textId="77777777" w:rsidR="00182176" w:rsidRDefault="00000000">
            <w:r>
              <w:rPr>
                <w:sz w:val="20"/>
                <w:szCs w:val="20"/>
              </w:rPr>
              <w:t>Edge client</w:t>
            </w:r>
          </w:p>
        </w:tc>
        <w:tc>
          <w:tcPr>
            <w:tcW w:w="4600" w:type="dxa"/>
            <w:tcMar>
              <w:top w:w="60" w:type="dxa"/>
              <w:left w:w="100" w:type="dxa"/>
              <w:bottom w:w="60" w:type="dxa"/>
              <w:right w:w="100" w:type="dxa"/>
            </w:tcMar>
          </w:tcPr>
          <w:p w14:paraId="2F94CD6E" w14:textId="77777777" w:rsidR="00182176" w:rsidRDefault="00000000">
            <w:r>
              <w:rPr>
                <w:sz w:val="20"/>
                <w:szCs w:val="20"/>
              </w:rPr>
              <w:t>Streams EOG windows; draws predicted gaze</w:t>
            </w:r>
          </w:p>
        </w:tc>
        <w:tc>
          <w:tcPr>
            <w:tcW w:w="1900" w:type="dxa"/>
            <w:tcMar>
              <w:top w:w="60" w:type="dxa"/>
              <w:left w:w="100" w:type="dxa"/>
              <w:bottom w:w="60" w:type="dxa"/>
              <w:right w:w="100" w:type="dxa"/>
            </w:tcMar>
          </w:tcPr>
          <w:p w14:paraId="2F94CD6F" w14:textId="77777777" w:rsidR="00182176" w:rsidRDefault="00000000">
            <w:r>
              <w:rPr>
                <w:sz w:val="20"/>
                <w:szCs w:val="20"/>
              </w:rPr>
              <w:t>every use</w:t>
            </w:r>
          </w:p>
        </w:tc>
      </w:tr>
      <w:tr w:rsidR="00182176" w14:paraId="2F94CD74" w14:textId="77777777">
        <w:tblPrEx>
          <w:tblCellMar>
            <w:top w:w="0" w:type="dxa"/>
            <w:bottom w:w="0" w:type="dxa"/>
          </w:tblCellMar>
        </w:tblPrEx>
        <w:tc>
          <w:tcPr>
            <w:tcW w:w="2400" w:type="dxa"/>
            <w:shd w:val="clear" w:color="auto" w:fill="EEF3F5"/>
            <w:tcMar>
              <w:top w:w="60" w:type="dxa"/>
              <w:left w:w="100" w:type="dxa"/>
              <w:bottom w:w="60" w:type="dxa"/>
              <w:right w:w="100" w:type="dxa"/>
            </w:tcMar>
          </w:tcPr>
          <w:p w14:paraId="2F94CD71" w14:textId="77777777" w:rsidR="00182176" w:rsidRDefault="00000000">
            <w:r>
              <w:rPr>
                <w:sz w:val="20"/>
                <w:szCs w:val="20"/>
              </w:rPr>
              <w:t>API gateway</w:t>
            </w:r>
          </w:p>
        </w:tc>
        <w:tc>
          <w:tcPr>
            <w:tcW w:w="4600" w:type="dxa"/>
            <w:shd w:val="clear" w:color="auto" w:fill="EEF3F5"/>
            <w:tcMar>
              <w:top w:w="60" w:type="dxa"/>
              <w:left w:w="100" w:type="dxa"/>
              <w:bottom w:w="60" w:type="dxa"/>
              <w:right w:w="100" w:type="dxa"/>
            </w:tcMar>
          </w:tcPr>
          <w:p w14:paraId="2F94CD72" w14:textId="77777777" w:rsidR="00182176" w:rsidRDefault="00000000">
            <w:r>
              <w:rPr>
                <w:sz w:val="20"/>
                <w:szCs w:val="20"/>
              </w:rPr>
              <w:t>Single front door; routes predictions, enqueues calibration</w:t>
            </w:r>
          </w:p>
        </w:tc>
        <w:tc>
          <w:tcPr>
            <w:tcW w:w="1900" w:type="dxa"/>
            <w:shd w:val="clear" w:color="auto" w:fill="EEF3F5"/>
            <w:tcMar>
              <w:top w:w="60" w:type="dxa"/>
              <w:left w:w="100" w:type="dxa"/>
              <w:bottom w:w="60" w:type="dxa"/>
              <w:right w:w="100" w:type="dxa"/>
            </w:tcMar>
          </w:tcPr>
          <w:p w14:paraId="2F94CD73" w14:textId="77777777" w:rsidR="00182176" w:rsidRDefault="00000000">
            <w:r>
              <w:rPr>
                <w:sz w:val="20"/>
                <w:szCs w:val="20"/>
              </w:rPr>
              <w:t>every use</w:t>
            </w:r>
          </w:p>
        </w:tc>
      </w:tr>
      <w:tr w:rsidR="00182176" w14:paraId="2F94CD78" w14:textId="77777777">
        <w:tblPrEx>
          <w:tblCellMar>
            <w:top w:w="0" w:type="dxa"/>
            <w:bottom w:w="0" w:type="dxa"/>
          </w:tblCellMar>
        </w:tblPrEx>
        <w:tc>
          <w:tcPr>
            <w:tcW w:w="2400" w:type="dxa"/>
            <w:tcMar>
              <w:top w:w="60" w:type="dxa"/>
              <w:left w:w="100" w:type="dxa"/>
              <w:bottom w:w="60" w:type="dxa"/>
              <w:right w:w="100" w:type="dxa"/>
            </w:tcMar>
          </w:tcPr>
          <w:p w14:paraId="2F94CD75" w14:textId="77777777" w:rsidR="00182176" w:rsidRDefault="00000000">
            <w:r>
              <w:rPr>
                <w:sz w:val="20"/>
                <w:szCs w:val="20"/>
              </w:rPr>
              <w:t>Inference service</w:t>
            </w:r>
          </w:p>
        </w:tc>
        <w:tc>
          <w:tcPr>
            <w:tcW w:w="4600" w:type="dxa"/>
            <w:tcMar>
              <w:top w:w="60" w:type="dxa"/>
              <w:left w:w="100" w:type="dxa"/>
              <w:bottom w:w="60" w:type="dxa"/>
              <w:right w:w="100" w:type="dxa"/>
            </w:tcMar>
          </w:tcPr>
          <w:p w14:paraId="2F94CD76" w14:textId="77777777" w:rsidR="00182176" w:rsidRDefault="00000000">
            <w:r>
              <w:rPr>
                <w:sz w:val="20"/>
                <w:szCs w:val="20"/>
              </w:rPr>
              <w:t>Loads a user's model, predicts gaze fast (stateless)</w:t>
            </w:r>
          </w:p>
        </w:tc>
        <w:tc>
          <w:tcPr>
            <w:tcW w:w="1900" w:type="dxa"/>
            <w:tcMar>
              <w:top w:w="60" w:type="dxa"/>
              <w:left w:w="100" w:type="dxa"/>
              <w:bottom w:w="60" w:type="dxa"/>
              <w:right w:w="100" w:type="dxa"/>
            </w:tcMar>
          </w:tcPr>
          <w:p w14:paraId="2F94CD77" w14:textId="77777777" w:rsidR="00182176" w:rsidRDefault="00000000">
            <w:r>
              <w:rPr>
                <w:sz w:val="20"/>
                <w:szCs w:val="20"/>
              </w:rPr>
              <w:t>every use</w:t>
            </w:r>
          </w:p>
        </w:tc>
      </w:tr>
      <w:tr w:rsidR="00182176" w14:paraId="2F94CD7C" w14:textId="77777777">
        <w:tblPrEx>
          <w:tblCellMar>
            <w:top w:w="0" w:type="dxa"/>
            <w:bottom w:w="0" w:type="dxa"/>
          </w:tblCellMar>
        </w:tblPrEx>
        <w:tc>
          <w:tcPr>
            <w:tcW w:w="2400" w:type="dxa"/>
            <w:shd w:val="clear" w:color="auto" w:fill="EEF3F5"/>
            <w:tcMar>
              <w:top w:w="60" w:type="dxa"/>
              <w:left w:w="100" w:type="dxa"/>
              <w:bottom w:w="60" w:type="dxa"/>
              <w:right w:w="100" w:type="dxa"/>
            </w:tcMar>
          </w:tcPr>
          <w:p w14:paraId="2F94CD79" w14:textId="77777777" w:rsidR="00182176" w:rsidRDefault="00000000">
            <w:r>
              <w:rPr>
                <w:sz w:val="20"/>
                <w:szCs w:val="20"/>
              </w:rPr>
              <w:t>Calibration worker</w:t>
            </w:r>
          </w:p>
        </w:tc>
        <w:tc>
          <w:tcPr>
            <w:tcW w:w="4600" w:type="dxa"/>
            <w:shd w:val="clear" w:color="auto" w:fill="EEF3F5"/>
            <w:tcMar>
              <w:top w:w="60" w:type="dxa"/>
              <w:left w:w="100" w:type="dxa"/>
              <w:bottom w:w="60" w:type="dxa"/>
              <w:right w:w="100" w:type="dxa"/>
            </w:tcMar>
          </w:tcPr>
          <w:p w14:paraId="2F94CD7A" w14:textId="77777777" w:rsidR="00182176" w:rsidRDefault="00000000">
            <w:r>
              <w:rPr>
                <w:sz w:val="20"/>
                <w:szCs w:val="20"/>
              </w:rPr>
              <w:t>Few-shot fine-tunes a personal model (background)</w:t>
            </w:r>
          </w:p>
        </w:tc>
        <w:tc>
          <w:tcPr>
            <w:tcW w:w="1900" w:type="dxa"/>
            <w:shd w:val="clear" w:color="auto" w:fill="EEF3F5"/>
            <w:tcMar>
              <w:top w:w="60" w:type="dxa"/>
              <w:left w:w="100" w:type="dxa"/>
              <w:bottom w:w="60" w:type="dxa"/>
              <w:right w:w="100" w:type="dxa"/>
            </w:tcMar>
          </w:tcPr>
          <w:p w14:paraId="2F94CD7B" w14:textId="77777777" w:rsidR="00182176" w:rsidRDefault="00000000">
            <w:r>
              <w:rPr>
                <w:sz w:val="20"/>
                <w:szCs w:val="20"/>
              </w:rPr>
              <w:t>per new user</w:t>
            </w:r>
          </w:p>
        </w:tc>
      </w:tr>
      <w:tr w:rsidR="00182176" w14:paraId="2F94CD80" w14:textId="77777777">
        <w:tblPrEx>
          <w:tblCellMar>
            <w:top w:w="0" w:type="dxa"/>
            <w:bottom w:w="0" w:type="dxa"/>
          </w:tblCellMar>
        </w:tblPrEx>
        <w:tc>
          <w:tcPr>
            <w:tcW w:w="2400" w:type="dxa"/>
            <w:tcMar>
              <w:top w:w="60" w:type="dxa"/>
              <w:left w:w="100" w:type="dxa"/>
              <w:bottom w:w="60" w:type="dxa"/>
              <w:right w:w="100" w:type="dxa"/>
            </w:tcMar>
          </w:tcPr>
          <w:p w14:paraId="2F94CD7D" w14:textId="77777777" w:rsidR="00182176" w:rsidRDefault="00000000">
            <w:r>
              <w:rPr>
                <w:sz w:val="20"/>
                <w:szCs w:val="20"/>
              </w:rPr>
              <w:t>Model registry</w:t>
            </w:r>
          </w:p>
        </w:tc>
        <w:tc>
          <w:tcPr>
            <w:tcW w:w="4600" w:type="dxa"/>
            <w:tcMar>
              <w:top w:w="60" w:type="dxa"/>
              <w:left w:w="100" w:type="dxa"/>
              <w:bottom w:w="60" w:type="dxa"/>
              <w:right w:w="100" w:type="dxa"/>
            </w:tcMar>
          </w:tcPr>
          <w:p w14:paraId="2F94CD7E" w14:textId="77777777" w:rsidR="00182176" w:rsidRDefault="00000000">
            <w:r>
              <w:rPr>
                <w:sz w:val="20"/>
                <w:szCs w:val="20"/>
              </w:rPr>
              <w:t>Stores base + per-user models, versioned</w:t>
            </w:r>
          </w:p>
        </w:tc>
        <w:tc>
          <w:tcPr>
            <w:tcW w:w="1900" w:type="dxa"/>
            <w:tcMar>
              <w:top w:w="60" w:type="dxa"/>
              <w:left w:w="100" w:type="dxa"/>
              <w:bottom w:w="60" w:type="dxa"/>
              <w:right w:w="100" w:type="dxa"/>
            </w:tcMar>
          </w:tcPr>
          <w:p w14:paraId="2F94CD7F" w14:textId="77777777" w:rsidR="00182176" w:rsidRDefault="00000000">
            <w:r>
              <w:rPr>
                <w:sz w:val="20"/>
                <w:szCs w:val="20"/>
              </w:rPr>
              <w:t>all</w:t>
            </w:r>
          </w:p>
        </w:tc>
      </w:tr>
      <w:tr w:rsidR="00182176" w14:paraId="2F94CD84" w14:textId="77777777">
        <w:tblPrEx>
          <w:tblCellMar>
            <w:top w:w="0" w:type="dxa"/>
            <w:bottom w:w="0" w:type="dxa"/>
          </w:tblCellMar>
        </w:tblPrEx>
        <w:tc>
          <w:tcPr>
            <w:tcW w:w="2400" w:type="dxa"/>
            <w:shd w:val="clear" w:color="auto" w:fill="EEF3F5"/>
            <w:tcMar>
              <w:top w:w="60" w:type="dxa"/>
              <w:left w:w="100" w:type="dxa"/>
              <w:bottom w:w="60" w:type="dxa"/>
              <w:right w:w="100" w:type="dxa"/>
            </w:tcMar>
          </w:tcPr>
          <w:p w14:paraId="2F94CD81" w14:textId="77777777" w:rsidR="00182176" w:rsidRDefault="00000000">
            <w:r>
              <w:rPr>
                <w:sz w:val="20"/>
                <w:szCs w:val="20"/>
              </w:rPr>
              <w:t>Trainer + CI/CD</w:t>
            </w:r>
          </w:p>
        </w:tc>
        <w:tc>
          <w:tcPr>
            <w:tcW w:w="4600" w:type="dxa"/>
            <w:shd w:val="clear" w:color="auto" w:fill="EEF3F5"/>
            <w:tcMar>
              <w:top w:w="60" w:type="dxa"/>
              <w:left w:w="100" w:type="dxa"/>
              <w:bottom w:w="60" w:type="dxa"/>
              <w:right w:w="100" w:type="dxa"/>
            </w:tcMar>
          </w:tcPr>
          <w:p w14:paraId="2F94CD82" w14:textId="77777777" w:rsidR="00182176" w:rsidRDefault="00000000">
            <w:r>
              <w:rPr>
                <w:sz w:val="20"/>
                <w:szCs w:val="20"/>
              </w:rPr>
              <w:t>Trains the base model; tests and builds on push</w:t>
            </w:r>
          </w:p>
        </w:tc>
        <w:tc>
          <w:tcPr>
            <w:tcW w:w="1900" w:type="dxa"/>
            <w:shd w:val="clear" w:color="auto" w:fill="EEF3F5"/>
            <w:tcMar>
              <w:top w:w="60" w:type="dxa"/>
              <w:left w:w="100" w:type="dxa"/>
              <w:bottom w:w="60" w:type="dxa"/>
              <w:right w:w="100" w:type="dxa"/>
            </w:tcMar>
          </w:tcPr>
          <w:p w14:paraId="2F94CD83" w14:textId="77777777" w:rsidR="00182176" w:rsidRDefault="00000000">
            <w:r>
              <w:rPr>
                <w:sz w:val="20"/>
                <w:szCs w:val="20"/>
              </w:rPr>
              <w:t>build time</w:t>
            </w:r>
          </w:p>
        </w:tc>
      </w:tr>
    </w:tbl>
    <w:p w14:paraId="2F94CD85" w14:textId="77777777" w:rsidR="00182176" w:rsidRDefault="00182176">
      <w:pPr>
        <w:spacing w:after="80"/>
        <w:jc w:val="both"/>
      </w:pPr>
    </w:p>
    <w:p w14:paraId="2F94CD86" w14:textId="77777777" w:rsidR="00182176" w:rsidRDefault="00000000">
      <w:pPr>
        <w:spacing w:after="120" w:line="276" w:lineRule="auto"/>
        <w:jc w:val="both"/>
      </w:pPr>
      <w:r>
        <w:t>Design principles: stateless inference (so copies can be cloned and scaled to zero); asynchronous calibration via a Redis queue so the gateway never blocks on the ~</w:t>
      </w:r>
      <w:proofErr w:type="gramStart"/>
      <w:r>
        <w:t>seconds</w:t>
      </w:r>
      <w:proofErr w:type="gramEnd"/>
      <w:r>
        <w:t xml:space="preserve"> job; one versioned source of truth for models; and vendor-portable, free-tier components.</w:t>
      </w:r>
    </w:p>
    <w:p w14:paraId="2F94CD87" w14:textId="77777777" w:rsidR="00182176" w:rsidRDefault="00000000">
      <w:pPr>
        <w:pStyle w:val="Heading1"/>
      </w:pPr>
      <w:r>
        <w:t>4. Machine-Learning Method</w:t>
      </w:r>
    </w:p>
    <w:p w14:paraId="2F94CD88" w14:textId="77777777" w:rsidR="00182176" w:rsidRDefault="00000000">
      <w:pPr>
        <w:pStyle w:val="Heading2"/>
      </w:pPr>
      <w:r>
        <w:t>4.1 Data pipeline</w:t>
      </w:r>
    </w:p>
    <w:p w14:paraId="2F94CD89" w14:textId="77777777" w:rsidR="00182176" w:rsidRDefault="00000000">
      <w:pPr>
        <w:spacing w:after="120" w:line="276" w:lineRule="auto"/>
        <w:jc w:val="both"/>
      </w:pPr>
      <w:r>
        <w:t>Continuous recordings are cut into fixed 320-sample windows around each saccade and blink. Each window is labelled with the saccade's (x, y) displacement in degrees and a blink flag. Signals are scaled with fixed statistics that preserve the drift rather than per-window recentring (which would erase it), because learning to handle drift is exactly the goal.</w:t>
      </w:r>
    </w:p>
    <w:p w14:paraId="2F94CD8A" w14:textId="77777777" w:rsidR="00182176" w:rsidRDefault="00000000">
      <w:pPr>
        <w:pStyle w:val="Heading2"/>
      </w:pPr>
      <w:r>
        <w:t xml:space="preserve">4.2 Model — </w:t>
      </w:r>
      <w:proofErr w:type="spellStart"/>
      <w:r>
        <w:t>GazeNet</w:t>
      </w:r>
      <w:proofErr w:type="spellEnd"/>
    </w:p>
    <w:p w14:paraId="2F94CD8B" w14:textId="77777777" w:rsidR="00182176" w:rsidRDefault="00000000">
      <w:pPr>
        <w:spacing w:after="120" w:line="276" w:lineRule="auto"/>
        <w:jc w:val="both"/>
      </w:pPr>
      <w:r>
        <w:t xml:space="preserve">A shared 1D-CNN extracts local shapes (saccade steps, blink spikes); a </w:t>
      </w:r>
      <w:proofErr w:type="spellStart"/>
      <w:r>
        <w:t>BiLSTM</w:t>
      </w:r>
      <w:proofErr w:type="spellEnd"/>
      <w:r>
        <w:t xml:space="preserve"> models their temporal evolution; a small residual drift adapter (~8.4k parameters, ~6% of the model) is the only per-user part; and two heads predict gaze (regression) and blink (classification). Training minimises squared error on gaze plus cross-entropy on blink, using Adam, on a free Google </w:t>
      </w:r>
      <w:proofErr w:type="spellStart"/>
      <w:r>
        <w:t>Colab</w:t>
      </w:r>
      <w:proofErr w:type="spellEnd"/>
      <w:r>
        <w:t xml:space="preserve"> GPU.</w:t>
      </w:r>
    </w:p>
    <w:p w14:paraId="2F94CD8C" w14:textId="77777777" w:rsidR="00182176" w:rsidRDefault="00000000">
      <w:pPr>
        <w:pStyle w:val="Heading2"/>
      </w:pPr>
      <w:r>
        <w:t>4.3 Per-user calibration</w:t>
      </w:r>
    </w:p>
    <w:p w14:paraId="2F94CD8D" w14:textId="77777777" w:rsidR="00182176" w:rsidRDefault="00000000">
      <w:pPr>
        <w:spacing w:after="120" w:line="276" w:lineRule="auto"/>
        <w:jc w:val="both"/>
      </w:pPr>
      <w:r>
        <w:t>For a new user, the backbone and heads are frozen and only the drift adapter is fine-tuned on ~10 of their trials, for a few steps, with mild weight decay. This combines transfer learning, few-shot learning and parameter-efficient fine-tuning. Restricting to the adapter and regularising it prevents the overfitting that occurs when the heads are also trained on so few examples. Because the frozen backbone's features are constant across steps, they are computed once and cached, making calibration fast enough to run even on a 0.1-CPU free tier.</w:t>
      </w:r>
    </w:p>
    <w:p w14:paraId="2F94CD8E" w14:textId="77777777" w:rsidR="00182176" w:rsidRDefault="00000000">
      <w:pPr>
        <w:pStyle w:val="Heading1"/>
      </w:pPr>
      <w:r>
        <w:t>5. Implementation</w:t>
      </w:r>
    </w:p>
    <w:p w14:paraId="2F94CD8F" w14:textId="77777777" w:rsidR="00182176" w:rsidRDefault="00000000">
      <w:pPr>
        <w:spacing w:after="120" w:line="276" w:lineRule="auto"/>
        <w:jc w:val="both"/>
      </w:pPr>
      <w:r>
        <w:t xml:space="preserve">Each service is a </w:t>
      </w:r>
      <w:proofErr w:type="spellStart"/>
      <w:r>
        <w:t>FastAPI</w:t>
      </w:r>
      <w:proofErr w:type="spellEnd"/>
      <w:r>
        <w:t xml:space="preserve"> or worker process in its own Docker image; docker compose up runs the full stack (gateway on :8000, inference on :8001, Redis, and the worker). The gateway is deliberately light (no </w:t>
      </w:r>
      <w:proofErr w:type="spellStart"/>
      <w:r>
        <w:t>PyTorch</w:t>
      </w:r>
      <w:proofErr w:type="spellEnd"/>
      <w:r>
        <w:t>); inference and worker carry the model. The model registry is a filesystem abstraction locally and swaps to S3-compatible object storage in the cloud behind the same interface.</w:t>
      </w:r>
    </w:p>
    <w:p w14:paraId="2F94CD90" w14:textId="77777777" w:rsidR="00182176" w:rsidRDefault="00000000">
      <w:pPr>
        <w:spacing w:after="120" w:line="276" w:lineRule="auto"/>
        <w:jc w:val="both"/>
      </w:pPr>
      <w:r>
        <w:lastRenderedPageBreak/>
        <w:t xml:space="preserve">A </w:t>
      </w:r>
      <w:proofErr w:type="spellStart"/>
      <w:r>
        <w:t>pytest</w:t>
      </w:r>
      <w:proofErr w:type="spellEnd"/>
      <w:r>
        <w:t xml:space="preserve"> suite (16 tests, fully synthetic so it needs no dataset) covers windowing, the network, calibration, the registry and both service APIs. A GitHub Actions pipeline runs the tests and then builds the service images on every push. A single-page web client streams a subject's EOG over a WebSocket and draws the predicted gaze live with a latency read-out and a calibrate button.</w:t>
      </w:r>
    </w:p>
    <w:p w14:paraId="2F94CD91" w14:textId="77777777" w:rsidR="00182176" w:rsidRDefault="00000000">
      <w:pPr>
        <w:pStyle w:val="Heading1"/>
      </w:pPr>
      <w:r>
        <w:t>6. Evaluation and Results</w:t>
      </w:r>
    </w:p>
    <w:p w14:paraId="2F94CD92" w14:textId="77777777" w:rsidR="00182176" w:rsidRDefault="00000000">
      <w:pPr>
        <w:spacing w:after="120" w:line="276" w:lineRule="auto"/>
        <w:jc w:val="both"/>
      </w:pPr>
      <w:r>
        <w:t>All evaluation is on subjects the model never trained on (a by-subject split, so there is no data leakage). Gaze error is the mean Euclidean distance between predicted and true (x, y) displacement, in degrees.</w:t>
      </w:r>
    </w:p>
    <w:p w14:paraId="2F94CD93" w14:textId="77777777" w:rsidR="00182176" w:rsidRDefault="00000000">
      <w:pPr>
        <w:pStyle w:val="Heading2"/>
      </w:pPr>
      <w:r>
        <w:t>6.1 Base model (before personalisation)</w:t>
      </w:r>
    </w:p>
    <w:tbl>
      <w:tblPr>
        <w:tblW w:w="89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400"/>
        <w:gridCol w:w="2300"/>
        <w:gridCol w:w="2200"/>
      </w:tblGrid>
      <w:tr w:rsidR="00182176" w14:paraId="2F94CD97" w14:textId="77777777">
        <w:tblPrEx>
          <w:tblCellMar>
            <w:top w:w="0" w:type="dxa"/>
            <w:bottom w:w="0" w:type="dxa"/>
          </w:tblCellMar>
        </w:tblPrEx>
        <w:trPr>
          <w:tblHeader/>
        </w:trPr>
        <w:tc>
          <w:tcPr>
            <w:tcW w:w="4400" w:type="dxa"/>
            <w:shd w:val="clear" w:color="auto" w:fill="1A2B32"/>
            <w:tcMar>
              <w:top w:w="60" w:type="dxa"/>
              <w:left w:w="100" w:type="dxa"/>
              <w:bottom w:w="60" w:type="dxa"/>
              <w:right w:w="100" w:type="dxa"/>
            </w:tcMar>
          </w:tcPr>
          <w:p w14:paraId="2F94CD94" w14:textId="77777777" w:rsidR="00182176" w:rsidRDefault="00000000">
            <w:r>
              <w:rPr>
                <w:b/>
                <w:bCs/>
                <w:color w:val="FFFFFF"/>
                <w:sz w:val="20"/>
                <w:szCs w:val="20"/>
              </w:rPr>
              <w:t>Evaluated on</w:t>
            </w:r>
          </w:p>
        </w:tc>
        <w:tc>
          <w:tcPr>
            <w:tcW w:w="2300" w:type="dxa"/>
            <w:shd w:val="clear" w:color="auto" w:fill="1A2B32"/>
            <w:tcMar>
              <w:top w:w="60" w:type="dxa"/>
              <w:left w:w="100" w:type="dxa"/>
              <w:bottom w:w="60" w:type="dxa"/>
              <w:right w:w="100" w:type="dxa"/>
            </w:tcMar>
          </w:tcPr>
          <w:p w14:paraId="2F94CD95" w14:textId="77777777" w:rsidR="00182176" w:rsidRDefault="00000000">
            <w:r>
              <w:rPr>
                <w:b/>
                <w:bCs/>
                <w:color w:val="FFFFFF"/>
                <w:sz w:val="20"/>
                <w:szCs w:val="20"/>
              </w:rPr>
              <w:t>Gaze error</w:t>
            </w:r>
          </w:p>
        </w:tc>
        <w:tc>
          <w:tcPr>
            <w:tcW w:w="2200" w:type="dxa"/>
            <w:shd w:val="clear" w:color="auto" w:fill="1A2B32"/>
            <w:tcMar>
              <w:top w:w="60" w:type="dxa"/>
              <w:left w:w="100" w:type="dxa"/>
              <w:bottom w:w="60" w:type="dxa"/>
              <w:right w:w="100" w:type="dxa"/>
            </w:tcMar>
          </w:tcPr>
          <w:p w14:paraId="2F94CD96" w14:textId="77777777" w:rsidR="00182176" w:rsidRDefault="00000000">
            <w:r>
              <w:rPr>
                <w:b/>
                <w:bCs/>
                <w:color w:val="FFFFFF"/>
                <w:sz w:val="20"/>
                <w:szCs w:val="20"/>
              </w:rPr>
              <w:t>Blink accuracy</w:t>
            </w:r>
          </w:p>
        </w:tc>
      </w:tr>
      <w:tr w:rsidR="00182176" w14:paraId="2F94CD9B" w14:textId="77777777">
        <w:tblPrEx>
          <w:tblCellMar>
            <w:top w:w="0" w:type="dxa"/>
            <w:bottom w:w="0" w:type="dxa"/>
          </w:tblCellMar>
        </w:tblPrEx>
        <w:tc>
          <w:tcPr>
            <w:tcW w:w="4400" w:type="dxa"/>
            <w:tcMar>
              <w:top w:w="60" w:type="dxa"/>
              <w:left w:w="100" w:type="dxa"/>
              <w:bottom w:w="60" w:type="dxa"/>
              <w:right w:w="100" w:type="dxa"/>
            </w:tcMar>
          </w:tcPr>
          <w:p w14:paraId="2F94CD98" w14:textId="77777777" w:rsidR="00182176" w:rsidRDefault="00000000">
            <w:r>
              <w:rPr>
                <w:sz w:val="20"/>
                <w:szCs w:val="20"/>
              </w:rPr>
              <w:t>Train subjects (reference)</w:t>
            </w:r>
          </w:p>
        </w:tc>
        <w:tc>
          <w:tcPr>
            <w:tcW w:w="2300" w:type="dxa"/>
            <w:tcMar>
              <w:top w:w="60" w:type="dxa"/>
              <w:left w:w="100" w:type="dxa"/>
              <w:bottom w:w="60" w:type="dxa"/>
              <w:right w:w="100" w:type="dxa"/>
            </w:tcMar>
          </w:tcPr>
          <w:p w14:paraId="2F94CD99" w14:textId="77777777" w:rsidR="00182176" w:rsidRDefault="00000000">
            <w:r>
              <w:rPr>
                <w:sz w:val="20"/>
                <w:szCs w:val="20"/>
              </w:rPr>
              <w:t>3.34°</w:t>
            </w:r>
          </w:p>
        </w:tc>
        <w:tc>
          <w:tcPr>
            <w:tcW w:w="2200" w:type="dxa"/>
            <w:tcMar>
              <w:top w:w="60" w:type="dxa"/>
              <w:left w:w="100" w:type="dxa"/>
              <w:bottom w:w="60" w:type="dxa"/>
              <w:right w:w="100" w:type="dxa"/>
            </w:tcMar>
          </w:tcPr>
          <w:p w14:paraId="2F94CD9A" w14:textId="77777777" w:rsidR="00182176" w:rsidRDefault="00000000">
            <w:r>
              <w:rPr>
                <w:sz w:val="20"/>
                <w:szCs w:val="20"/>
              </w:rPr>
              <w:t>99.6%</w:t>
            </w:r>
          </w:p>
        </w:tc>
      </w:tr>
      <w:tr w:rsidR="00182176" w14:paraId="2F94CD9F" w14:textId="77777777">
        <w:tblPrEx>
          <w:tblCellMar>
            <w:top w:w="0" w:type="dxa"/>
            <w:bottom w:w="0" w:type="dxa"/>
          </w:tblCellMar>
        </w:tblPrEx>
        <w:tc>
          <w:tcPr>
            <w:tcW w:w="4400" w:type="dxa"/>
            <w:shd w:val="clear" w:color="auto" w:fill="EEF3F5"/>
            <w:tcMar>
              <w:top w:w="60" w:type="dxa"/>
              <w:left w:w="100" w:type="dxa"/>
              <w:bottom w:w="60" w:type="dxa"/>
              <w:right w:w="100" w:type="dxa"/>
            </w:tcMar>
          </w:tcPr>
          <w:p w14:paraId="2F94CD9C" w14:textId="77777777" w:rsidR="00182176" w:rsidRDefault="00000000">
            <w:r>
              <w:rPr>
                <w:sz w:val="20"/>
                <w:szCs w:val="20"/>
              </w:rPr>
              <w:t>Never-seen (S5 + S6)</w:t>
            </w:r>
          </w:p>
        </w:tc>
        <w:tc>
          <w:tcPr>
            <w:tcW w:w="2300" w:type="dxa"/>
            <w:shd w:val="clear" w:color="auto" w:fill="EEF3F5"/>
            <w:tcMar>
              <w:top w:w="60" w:type="dxa"/>
              <w:left w:w="100" w:type="dxa"/>
              <w:bottom w:w="60" w:type="dxa"/>
              <w:right w:w="100" w:type="dxa"/>
            </w:tcMar>
          </w:tcPr>
          <w:p w14:paraId="2F94CD9D" w14:textId="77777777" w:rsidR="00182176" w:rsidRDefault="00000000">
            <w:r>
              <w:rPr>
                <w:sz w:val="20"/>
                <w:szCs w:val="20"/>
              </w:rPr>
              <w:t>10.18°</w:t>
            </w:r>
          </w:p>
        </w:tc>
        <w:tc>
          <w:tcPr>
            <w:tcW w:w="2200" w:type="dxa"/>
            <w:shd w:val="clear" w:color="auto" w:fill="EEF3F5"/>
            <w:tcMar>
              <w:top w:w="60" w:type="dxa"/>
              <w:left w:w="100" w:type="dxa"/>
              <w:bottom w:w="60" w:type="dxa"/>
              <w:right w:w="100" w:type="dxa"/>
            </w:tcMar>
          </w:tcPr>
          <w:p w14:paraId="2F94CD9E" w14:textId="77777777" w:rsidR="00182176" w:rsidRDefault="00000000">
            <w:r>
              <w:rPr>
                <w:sz w:val="20"/>
                <w:szCs w:val="20"/>
              </w:rPr>
              <w:t>85.4%</w:t>
            </w:r>
          </w:p>
        </w:tc>
      </w:tr>
    </w:tbl>
    <w:p w14:paraId="2F94CDA0" w14:textId="77777777" w:rsidR="00182176" w:rsidRDefault="00182176">
      <w:pPr>
        <w:spacing w:after="60"/>
        <w:jc w:val="both"/>
      </w:pPr>
    </w:p>
    <w:p w14:paraId="2F94CDA1" w14:textId="77777777" w:rsidR="00182176" w:rsidRDefault="00000000">
      <w:pPr>
        <w:spacing w:after="120" w:line="276" w:lineRule="auto"/>
        <w:jc w:val="both"/>
      </w:pPr>
      <w:r>
        <w:t>The ~6.8° gap between known and new users is the person-specific baseline drift the shared model cannot know in advance.</w:t>
      </w:r>
    </w:p>
    <w:p w14:paraId="2F94CDA2" w14:textId="77777777" w:rsidR="00182176" w:rsidRDefault="00000000">
      <w:pPr>
        <w:pStyle w:val="Heading2"/>
      </w:pPr>
      <w:r>
        <w:t>6.2 Per-user calibration</w:t>
      </w:r>
    </w:p>
    <w:p w14:paraId="2F94CDA3" w14:textId="77777777" w:rsidR="00182176" w:rsidRDefault="00000000">
      <w:pPr>
        <w:spacing w:after="120" w:line="276" w:lineRule="auto"/>
        <w:jc w:val="both"/>
      </w:pPr>
      <w:r>
        <w:t xml:space="preserve">Near-term (right after calibration): mean 6.4° → 4.2° (−34%); S5 5.5° → 3.8°, S6 7.2° → 4.5°. This was verified live through the deployed stack with ~6 </w:t>
      </w:r>
      <w:proofErr w:type="spellStart"/>
      <w:r>
        <w:t>ms</w:t>
      </w:r>
      <w:proofErr w:type="spellEnd"/>
      <w:r>
        <w:t xml:space="preserve"> prediction latency.</w:t>
      </w:r>
    </w:p>
    <w:p w14:paraId="2F94CDA4" w14:textId="77777777" w:rsidR="00182176" w:rsidRDefault="00000000">
      <w:pPr>
        <w:spacing w:before="100" w:after="60"/>
        <w:jc w:val="center"/>
      </w:pPr>
      <w:r>
        <w:rPr>
          <w:noProof/>
        </w:rPr>
        <w:drawing>
          <wp:inline distT="0" distB="0" distL="0" distR="0" wp14:anchorId="2F94CDE8" wp14:editId="2F94CDE9">
            <wp:extent cx="5334000" cy="252412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5334000" cy="2524125"/>
                    </a:xfrm>
                    <a:prstGeom prst="rect">
                      <a:avLst/>
                    </a:prstGeom>
                  </pic:spPr>
                </pic:pic>
              </a:graphicData>
            </a:graphic>
          </wp:inline>
        </w:drawing>
      </w:r>
    </w:p>
    <w:p w14:paraId="2F94CDA5" w14:textId="77777777" w:rsidR="00182176" w:rsidRDefault="00000000">
      <w:pPr>
        <w:spacing w:after="160"/>
        <w:jc w:val="center"/>
      </w:pPr>
      <w:r>
        <w:rPr>
          <w:i/>
          <w:iCs/>
          <w:color w:val="5A6B72"/>
          <w:sz w:val="18"/>
          <w:szCs w:val="18"/>
        </w:rPr>
        <w:t>Figure 1 — Live demo on a never-seen user: predicted gaze (dot) vs true target (ring), before vs after calibration.</w:t>
      </w:r>
    </w:p>
    <w:p w14:paraId="2F94CDA6" w14:textId="77777777" w:rsidR="00182176" w:rsidRDefault="00000000">
      <w:pPr>
        <w:pStyle w:val="Heading2"/>
      </w:pPr>
      <w:r>
        <w:t>6.3 Leave-one-subject-out (all six subjects)</w:t>
      </w:r>
    </w:p>
    <w:p w14:paraId="2F94CDA7" w14:textId="77777777" w:rsidR="00182176" w:rsidRDefault="00000000">
      <w:pPr>
        <w:spacing w:after="120" w:line="276" w:lineRule="auto"/>
        <w:jc w:val="both"/>
      </w:pPr>
      <w:r>
        <w:t>The strongest test: every subject takes a turn as the never-seen new user (the model is trained on the other five, then calibrated on ~10 of the held-out subject's trials and evaluated on the rest).</w:t>
      </w:r>
    </w:p>
    <w:p w14:paraId="5C2F4A2E" w14:textId="77777777" w:rsidR="008D49A9" w:rsidRDefault="008D49A9">
      <w:pPr>
        <w:spacing w:after="120" w:line="276" w:lineRule="auto"/>
        <w:jc w:val="both"/>
      </w:pPr>
    </w:p>
    <w:tbl>
      <w:tblPr>
        <w:tblW w:w="89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1900"/>
        <w:gridCol w:w="1900"/>
        <w:gridCol w:w="1900"/>
      </w:tblGrid>
      <w:tr w:rsidR="00182176" w14:paraId="2F94CDAC" w14:textId="77777777">
        <w:tblPrEx>
          <w:tblCellMar>
            <w:top w:w="0" w:type="dxa"/>
            <w:bottom w:w="0" w:type="dxa"/>
          </w:tblCellMar>
        </w:tblPrEx>
        <w:trPr>
          <w:tblHeader/>
        </w:trPr>
        <w:tc>
          <w:tcPr>
            <w:tcW w:w="3200" w:type="dxa"/>
            <w:shd w:val="clear" w:color="auto" w:fill="1A2B32"/>
            <w:tcMar>
              <w:top w:w="60" w:type="dxa"/>
              <w:left w:w="100" w:type="dxa"/>
              <w:bottom w:w="60" w:type="dxa"/>
              <w:right w:w="100" w:type="dxa"/>
            </w:tcMar>
          </w:tcPr>
          <w:p w14:paraId="2F94CDA8" w14:textId="77777777" w:rsidR="00182176" w:rsidRDefault="00000000">
            <w:r>
              <w:rPr>
                <w:b/>
                <w:bCs/>
                <w:color w:val="FFFFFF"/>
                <w:sz w:val="20"/>
                <w:szCs w:val="20"/>
              </w:rPr>
              <w:lastRenderedPageBreak/>
              <w:t>Held-out (new user)</w:t>
            </w:r>
          </w:p>
        </w:tc>
        <w:tc>
          <w:tcPr>
            <w:tcW w:w="1900" w:type="dxa"/>
            <w:shd w:val="clear" w:color="auto" w:fill="1A2B32"/>
            <w:tcMar>
              <w:top w:w="60" w:type="dxa"/>
              <w:left w:w="100" w:type="dxa"/>
              <w:bottom w:w="60" w:type="dxa"/>
              <w:right w:w="100" w:type="dxa"/>
            </w:tcMar>
          </w:tcPr>
          <w:p w14:paraId="2F94CDA9" w14:textId="77777777" w:rsidR="00182176" w:rsidRDefault="00000000">
            <w:r>
              <w:rPr>
                <w:b/>
                <w:bCs/>
                <w:color w:val="FFFFFF"/>
                <w:sz w:val="20"/>
                <w:szCs w:val="20"/>
              </w:rPr>
              <w:t>Before</w:t>
            </w:r>
          </w:p>
        </w:tc>
        <w:tc>
          <w:tcPr>
            <w:tcW w:w="1900" w:type="dxa"/>
            <w:shd w:val="clear" w:color="auto" w:fill="1A2B32"/>
            <w:tcMar>
              <w:top w:w="60" w:type="dxa"/>
              <w:left w:w="100" w:type="dxa"/>
              <w:bottom w:w="60" w:type="dxa"/>
              <w:right w:w="100" w:type="dxa"/>
            </w:tcMar>
          </w:tcPr>
          <w:p w14:paraId="2F94CDAA" w14:textId="77777777" w:rsidR="00182176" w:rsidRDefault="00000000">
            <w:r>
              <w:rPr>
                <w:b/>
                <w:bCs/>
                <w:color w:val="FFFFFF"/>
                <w:sz w:val="20"/>
                <w:szCs w:val="20"/>
              </w:rPr>
              <w:t>After</w:t>
            </w:r>
          </w:p>
        </w:tc>
        <w:tc>
          <w:tcPr>
            <w:tcW w:w="1900" w:type="dxa"/>
            <w:shd w:val="clear" w:color="auto" w:fill="1A2B32"/>
            <w:tcMar>
              <w:top w:w="60" w:type="dxa"/>
              <w:left w:w="100" w:type="dxa"/>
              <w:bottom w:w="60" w:type="dxa"/>
              <w:right w:w="100" w:type="dxa"/>
            </w:tcMar>
          </w:tcPr>
          <w:p w14:paraId="2F94CDAB" w14:textId="77777777" w:rsidR="00182176" w:rsidRDefault="00000000">
            <w:r>
              <w:rPr>
                <w:b/>
                <w:bCs/>
                <w:color w:val="FFFFFF"/>
                <w:sz w:val="20"/>
                <w:szCs w:val="20"/>
              </w:rPr>
              <w:t>Change</w:t>
            </w:r>
          </w:p>
        </w:tc>
      </w:tr>
      <w:tr w:rsidR="00182176" w14:paraId="2F94CDB1" w14:textId="77777777">
        <w:tblPrEx>
          <w:tblCellMar>
            <w:top w:w="0" w:type="dxa"/>
            <w:bottom w:w="0" w:type="dxa"/>
          </w:tblCellMar>
        </w:tblPrEx>
        <w:tc>
          <w:tcPr>
            <w:tcW w:w="3200" w:type="dxa"/>
            <w:tcMar>
              <w:top w:w="60" w:type="dxa"/>
              <w:left w:w="100" w:type="dxa"/>
              <w:bottom w:w="60" w:type="dxa"/>
              <w:right w:w="100" w:type="dxa"/>
            </w:tcMar>
          </w:tcPr>
          <w:p w14:paraId="2F94CDAD" w14:textId="77777777" w:rsidR="00182176" w:rsidRDefault="00000000">
            <w:r>
              <w:rPr>
                <w:sz w:val="20"/>
                <w:szCs w:val="20"/>
              </w:rPr>
              <w:t>S4</w:t>
            </w:r>
          </w:p>
        </w:tc>
        <w:tc>
          <w:tcPr>
            <w:tcW w:w="1900" w:type="dxa"/>
            <w:tcMar>
              <w:top w:w="60" w:type="dxa"/>
              <w:left w:w="100" w:type="dxa"/>
              <w:bottom w:w="60" w:type="dxa"/>
              <w:right w:w="100" w:type="dxa"/>
            </w:tcMar>
          </w:tcPr>
          <w:p w14:paraId="2F94CDAE" w14:textId="77777777" w:rsidR="00182176" w:rsidRDefault="00000000">
            <w:r>
              <w:rPr>
                <w:sz w:val="20"/>
                <w:szCs w:val="20"/>
              </w:rPr>
              <w:t>8.11°</w:t>
            </w:r>
          </w:p>
        </w:tc>
        <w:tc>
          <w:tcPr>
            <w:tcW w:w="1900" w:type="dxa"/>
            <w:tcMar>
              <w:top w:w="60" w:type="dxa"/>
              <w:left w:w="100" w:type="dxa"/>
              <w:bottom w:w="60" w:type="dxa"/>
              <w:right w:w="100" w:type="dxa"/>
            </w:tcMar>
          </w:tcPr>
          <w:p w14:paraId="2F94CDAF" w14:textId="77777777" w:rsidR="00182176" w:rsidRDefault="00000000">
            <w:r>
              <w:rPr>
                <w:sz w:val="20"/>
                <w:szCs w:val="20"/>
              </w:rPr>
              <w:t>5.54°</w:t>
            </w:r>
          </w:p>
        </w:tc>
        <w:tc>
          <w:tcPr>
            <w:tcW w:w="1900" w:type="dxa"/>
            <w:tcMar>
              <w:top w:w="60" w:type="dxa"/>
              <w:left w:w="100" w:type="dxa"/>
              <w:bottom w:w="60" w:type="dxa"/>
              <w:right w:w="100" w:type="dxa"/>
            </w:tcMar>
          </w:tcPr>
          <w:p w14:paraId="2F94CDB0" w14:textId="77777777" w:rsidR="00182176" w:rsidRDefault="00000000">
            <w:r>
              <w:rPr>
                <w:sz w:val="20"/>
                <w:szCs w:val="20"/>
              </w:rPr>
              <w:t>−32%</w:t>
            </w:r>
          </w:p>
        </w:tc>
      </w:tr>
      <w:tr w:rsidR="00182176" w14:paraId="2F94CDB6" w14:textId="77777777">
        <w:tblPrEx>
          <w:tblCellMar>
            <w:top w:w="0" w:type="dxa"/>
            <w:bottom w:w="0" w:type="dxa"/>
          </w:tblCellMar>
        </w:tblPrEx>
        <w:tc>
          <w:tcPr>
            <w:tcW w:w="3200" w:type="dxa"/>
            <w:shd w:val="clear" w:color="auto" w:fill="EEF3F5"/>
            <w:tcMar>
              <w:top w:w="60" w:type="dxa"/>
              <w:left w:w="100" w:type="dxa"/>
              <w:bottom w:w="60" w:type="dxa"/>
              <w:right w:w="100" w:type="dxa"/>
            </w:tcMar>
          </w:tcPr>
          <w:p w14:paraId="2F94CDB2" w14:textId="77777777" w:rsidR="00182176" w:rsidRDefault="00000000">
            <w:r>
              <w:rPr>
                <w:sz w:val="20"/>
                <w:szCs w:val="20"/>
              </w:rPr>
              <w:t>S3</w:t>
            </w:r>
          </w:p>
        </w:tc>
        <w:tc>
          <w:tcPr>
            <w:tcW w:w="1900" w:type="dxa"/>
            <w:shd w:val="clear" w:color="auto" w:fill="EEF3F5"/>
            <w:tcMar>
              <w:top w:w="60" w:type="dxa"/>
              <w:left w:w="100" w:type="dxa"/>
              <w:bottom w:w="60" w:type="dxa"/>
              <w:right w:w="100" w:type="dxa"/>
            </w:tcMar>
          </w:tcPr>
          <w:p w14:paraId="2F94CDB3" w14:textId="77777777" w:rsidR="00182176" w:rsidRDefault="00000000">
            <w:r>
              <w:rPr>
                <w:sz w:val="20"/>
                <w:szCs w:val="20"/>
              </w:rPr>
              <w:t>8.52°</w:t>
            </w:r>
          </w:p>
        </w:tc>
        <w:tc>
          <w:tcPr>
            <w:tcW w:w="1900" w:type="dxa"/>
            <w:shd w:val="clear" w:color="auto" w:fill="EEF3F5"/>
            <w:tcMar>
              <w:top w:w="60" w:type="dxa"/>
              <w:left w:w="100" w:type="dxa"/>
              <w:bottom w:w="60" w:type="dxa"/>
              <w:right w:w="100" w:type="dxa"/>
            </w:tcMar>
          </w:tcPr>
          <w:p w14:paraId="2F94CDB4" w14:textId="77777777" w:rsidR="00182176" w:rsidRDefault="00000000">
            <w:r>
              <w:rPr>
                <w:sz w:val="20"/>
                <w:szCs w:val="20"/>
              </w:rPr>
              <w:t>6.47°</w:t>
            </w:r>
          </w:p>
        </w:tc>
        <w:tc>
          <w:tcPr>
            <w:tcW w:w="1900" w:type="dxa"/>
            <w:shd w:val="clear" w:color="auto" w:fill="EEF3F5"/>
            <w:tcMar>
              <w:top w:w="60" w:type="dxa"/>
              <w:left w:w="100" w:type="dxa"/>
              <w:bottom w:w="60" w:type="dxa"/>
              <w:right w:w="100" w:type="dxa"/>
            </w:tcMar>
          </w:tcPr>
          <w:p w14:paraId="2F94CDB5" w14:textId="77777777" w:rsidR="00182176" w:rsidRDefault="00000000">
            <w:r>
              <w:rPr>
                <w:sz w:val="20"/>
                <w:szCs w:val="20"/>
              </w:rPr>
              <w:t>−24%</w:t>
            </w:r>
          </w:p>
        </w:tc>
      </w:tr>
      <w:tr w:rsidR="00182176" w14:paraId="2F94CDBB" w14:textId="77777777">
        <w:tblPrEx>
          <w:tblCellMar>
            <w:top w:w="0" w:type="dxa"/>
            <w:bottom w:w="0" w:type="dxa"/>
          </w:tblCellMar>
        </w:tblPrEx>
        <w:tc>
          <w:tcPr>
            <w:tcW w:w="3200" w:type="dxa"/>
            <w:tcMar>
              <w:top w:w="60" w:type="dxa"/>
              <w:left w:w="100" w:type="dxa"/>
              <w:bottom w:w="60" w:type="dxa"/>
              <w:right w:w="100" w:type="dxa"/>
            </w:tcMar>
          </w:tcPr>
          <w:p w14:paraId="2F94CDB7" w14:textId="77777777" w:rsidR="00182176" w:rsidRDefault="00000000">
            <w:r>
              <w:rPr>
                <w:sz w:val="20"/>
                <w:szCs w:val="20"/>
              </w:rPr>
              <w:t>S1</w:t>
            </w:r>
          </w:p>
        </w:tc>
        <w:tc>
          <w:tcPr>
            <w:tcW w:w="1900" w:type="dxa"/>
            <w:tcMar>
              <w:top w:w="60" w:type="dxa"/>
              <w:left w:w="100" w:type="dxa"/>
              <w:bottom w:w="60" w:type="dxa"/>
              <w:right w:w="100" w:type="dxa"/>
            </w:tcMar>
          </w:tcPr>
          <w:p w14:paraId="2F94CDB8" w14:textId="77777777" w:rsidR="00182176" w:rsidRDefault="00000000">
            <w:r>
              <w:rPr>
                <w:sz w:val="20"/>
                <w:szCs w:val="20"/>
              </w:rPr>
              <w:t>10.65°</w:t>
            </w:r>
          </w:p>
        </w:tc>
        <w:tc>
          <w:tcPr>
            <w:tcW w:w="1900" w:type="dxa"/>
            <w:tcMar>
              <w:top w:w="60" w:type="dxa"/>
              <w:left w:w="100" w:type="dxa"/>
              <w:bottom w:w="60" w:type="dxa"/>
              <w:right w:w="100" w:type="dxa"/>
            </w:tcMar>
          </w:tcPr>
          <w:p w14:paraId="2F94CDB9" w14:textId="77777777" w:rsidR="00182176" w:rsidRDefault="00000000">
            <w:r>
              <w:rPr>
                <w:sz w:val="20"/>
                <w:szCs w:val="20"/>
              </w:rPr>
              <w:t>9.98°</w:t>
            </w:r>
          </w:p>
        </w:tc>
        <w:tc>
          <w:tcPr>
            <w:tcW w:w="1900" w:type="dxa"/>
            <w:tcMar>
              <w:top w:w="60" w:type="dxa"/>
              <w:left w:w="100" w:type="dxa"/>
              <w:bottom w:w="60" w:type="dxa"/>
              <w:right w:w="100" w:type="dxa"/>
            </w:tcMar>
          </w:tcPr>
          <w:p w14:paraId="2F94CDBA" w14:textId="77777777" w:rsidR="00182176" w:rsidRDefault="00000000">
            <w:r>
              <w:rPr>
                <w:sz w:val="20"/>
                <w:szCs w:val="20"/>
              </w:rPr>
              <w:t>−6%</w:t>
            </w:r>
          </w:p>
        </w:tc>
      </w:tr>
      <w:tr w:rsidR="00182176" w14:paraId="2F94CDC0" w14:textId="77777777">
        <w:tblPrEx>
          <w:tblCellMar>
            <w:top w:w="0" w:type="dxa"/>
            <w:bottom w:w="0" w:type="dxa"/>
          </w:tblCellMar>
        </w:tblPrEx>
        <w:tc>
          <w:tcPr>
            <w:tcW w:w="3200" w:type="dxa"/>
            <w:shd w:val="clear" w:color="auto" w:fill="EEF3F5"/>
            <w:tcMar>
              <w:top w:w="60" w:type="dxa"/>
              <w:left w:w="100" w:type="dxa"/>
              <w:bottom w:w="60" w:type="dxa"/>
              <w:right w:w="100" w:type="dxa"/>
            </w:tcMar>
          </w:tcPr>
          <w:p w14:paraId="2F94CDBC" w14:textId="77777777" w:rsidR="00182176" w:rsidRDefault="00000000">
            <w:r>
              <w:rPr>
                <w:sz w:val="20"/>
                <w:szCs w:val="20"/>
              </w:rPr>
              <w:t>S6</w:t>
            </w:r>
          </w:p>
        </w:tc>
        <w:tc>
          <w:tcPr>
            <w:tcW w:w="1900" w:type="dxa"/>
            <w:shd w:val="clear" w:color="auto" w:fill="EEF3F5"/>
            <w:tcMar>
              <w:top w:w="60" w:type="dxa"/>
              <w:left w:w="100" w:type="dxa"/>
              <w:bottom w:w="60" w:type="dxa"/>
              <w:right w:w="100" w:type="dxa"/>
            </w:tcMar>
          </w:tcPr>
          <w:p w14:paraId="2F94CDBD" w14:textId="77777777" w:rsidR="00182176" w:rsidRDefault="00000000">
            <w:r>
              <w:rPr>
                <w:sz w:val="20"/>
                <w:szCs w:val="20"/>
              </w:rPr>
              <w:t>4.64°</w:t>
            </w:r>
          </w:p>
        </w:tc>
        <w:tc>
          <w:tcPr>
            <w:tcW w:w="1900" w:type="dxa"/>
            <w:shd w:val="clear" w:color="auto" w:fill="EEF3F5"/>
            <w:tcMar>
              <w:top w:w="60" w:type="dxa"/>
              <w:left w:w="100" w:type="dxa"/>
              <w:bottom w:w="60" w:type="dxa"/>
              <w:right w:w="100" w:type="dxa"/>
            </w:tcMar>
          </w:tcPr>
          <w:p w14:paraId="2F94CDBE" w14:textId="77777777" w:rsidR="00182176" w:rsidRDefault="00000000">
            <w:r>
              <w:rPr>
                <w:sz w:val="20"/>
                <w:szCs w:val="20"/>
              </w:rPr>
              <w:t>4.50°</w:t>
            </w:r>
          </w:p>
        </w:tc>
        <w:tc>
          <w:tcPr>
            <w:tcW w:w="1900" w:type="dxa"/>
            <w:shd w:val="clear" w:color="auto" w:fill="EEF3F5"/>
            <w:tcMar>
              <w:top w:w="60" w:type="dxa"/>
              <w:left w:w="100" w:type="dxa"/>
              <w:bottom w:w="60" w:type="dxa"/>
              <w:right w:w="100" w:type="dxa"/>
            </w:tcMar>
          </w:tcPr>
          <w:p w14:paraId="2F94CDBF" w14:textId="77777777" w:rsidR="00182176" w:rsidRDefault="00000000">
            <w:r>
              <w:rPr>
                <w:sz w:val="20"/>
                <w:szCs w:val="20"/>
              </w:rPr>
              <w:t>−3%</w:t>
            </w:r>
          </w:p>
        </w:tc>
      </w:tr>
      <w:tr w:rsidR="00182176" w14:paraId="2F94CDC5" w14:textId="77777777">
        <w:tblPrEx>
          <w:tblCellMar>
            <w:top w:w="0" w:type="dxa"/>
            <w:bottom w:w="0" w:type="dxa"/>
          </w:tblCellMar>
        </w:tblPrEx>
        <w:tc>
          <w:tcPr>
            <w:tcW w:w="3200" w:type="dxa"/>
            <w:tcMar>
              <w:top w:w="60" w:type="dxa"/>
              <w:left w:w="100" w:type="dxa"/>
              <w:bottom w:w="60" w:type="dxa"/>
              <w:right w:w="100" w:type="dxa"/>
            </w:tcMar>
          </w:tcPr>
          <w:p w14:paraId="2F94CDC1" w14:textId="77777777" w:rsidR="00182176" w:rsidRDefault="00000000">
            <w:r>
              <w:rPr>
                <w:sz w:val="20"/>
                <w:szCs w:val="20"/>
              </w:rPr>
              <w:t>S2</w:t>
            </w:r>
          </w:p>
        </w:tc>
        <w:tc>
          <w:tcPr>
            <w:tcW w:w="1900" w:type="dxa"/>
            <w:tcMar>
              <w:top w:w="60" w:type="dxa"/>
              <w:left w:w="100" w:type="dxa"/>
              <w:bottom w:w="60" w:type="dxa"/>
              <w:right w:w="100" w:type="dxa"/>
            </w:tcMar>
          </w:tcPr>
          <w:p w14:paraId="2F94CDC2" w14:textId="77777777" w:rsidR="00182176" w:rsidRDefault="00000000">
            <w:r>
              <w:rPr>
                <w:sz w:val="20"/>
                <w:szCs w:val="20"/>
              </w:rPr>
              <w:t>5.52°</w:t>
            </w:r>
          </w:p>
        </w:tc>
        <w:tc>
          <w:tcPr>
            <w:tcW w:w="1900" w:type="dxa"/>
            <w:tcMar>
              <w:top w:w="60" w:type="dxa"/>
              <w:left w:w="100" w:type="dxa"/>
              <w:bottom w:w="60" w:type="dxa"/>
              <w:right w:w="100" w:type="dxa"/>
            </w:tcMar>
          </w:tcPr>
          <w:p w14:paraId="2F94CDC3" w14:textId="77777777" w:rsidR="00182176" w:rsidRDefault="00000000">
            <w:r>
              <w:rPr>
                <w:sz w:val="20"/>
                <w:szCs w:val="20"/>
              </w:rPr>
              <w:t>5.40°</w:t>
            </w:r>
          </w:p>
        </w:tc>
        <w:tc>
          <w:tcPr>
            <w:tcW w:w="1900" w:type="dxa"/>
            <w:tcMar>
              <w:top w:w="60" w:type="dxa"/>
              <w:left w:w="100" w:type="dxa"/>
              <w:bottom w:w="60" w:type="dxa"/>
              <w:right w:w="100" w:type="dxa"/>
            </w:tcMar>
          </w:tcPr>
          <w:p w14:paraId="2F94CDC4" w14:textId="77777777" w:rsidR="00182176" w:rsidRDefault="00000000">
            <w:r>
              <w:rPr>
                <w:sz w:val="20"/>
                <w:szCs w:val="20"/>
              </w:rPr>
              <w:t>−2%</w:t>
            </w:r>
          </w:p>
        </w:tc>
      </w:tr>
      <w:tr w:rsidR="00182176" w14:paraId="2F94CDCA" w14:textId="77777777">
        <w:tblPrEx>
          <w:tblCellMar>
            <w:top w:w="0" w:type="dxa"/>
            <w:bottom w:w="0" w:type="dxa"/>
          </w:tblCellMar>
        </w:tblPrEx>
        <w:tc>
          <w:tcPr>
            <w:tcW w:w="3200" w:type="dxa"/>
            <w:shd w:val="clear" w:color="auto" w:fill="EEF3F5"/>
            <w:tcMar>
              <w:top w:w="60" w:type="dxa"/>
              <w:left w:w="100" w:type="dxa"/>
              <w:bottom w:w="60" w:type="dxa"/>
              <w:right w:w="100" w:type="dxa"/>
            </w:tcMar>
          </w:tcPr>
          <w:p w14:paraId="2F94CDC6" w14:textId="77777777" w:rsidR="00182176" w:rsidRDefault="00000000">
            <w:r>
              <w:rPr>
                <w:sz w:val="20"/>
                <w:szCs w:val="20"/>
              </w:rPr>
              <w:t>S5</w:t>
            </w:r>
          </w:p>
        </w:tc>
        <w:tc>
          <w:tcPr>
            <w:tcW w:w="1900" w:type="dxa"/>
            <w:shd w:val="clear" w:color="auto" w:fill="EEF3F5"/>
            <w:tcMar>
              <w:top w:w="60" w:type="dxa"/>
              <w:left w:w="100" w:type="dxa"/>
              <w:bottom w:w="60" w:type="dxa"/>
              <w:right w:w="100" w:type="dxa"/>
            </w:tcMar>
          </w:tcPr>
          <w:p w14:paraId="2F94CDC7" w14:textId="77777777" w:rsidR="00182176" w:rsidRDefault="00000000">
            <w:r>
              <w:rPr>
                <w:sz w:val="20"/>
                <w:szCs w:val="20"/>
              </w:rPr>
              <w:t>5.12°</w:t>
            </w:r>
          </w:p>
        </w:tc>
        <w:tc>
          <w:tcPr>
            <w:tcW w:w="1900" w:type="dxa"/>
            <w:shd w:val="clear" w:color="auto" w:fill="EEF3F5"/>
            <w:tcMar>
              <w:top w:w="60" w:type="dxa"/>
              <w:left w:w="100" w:type="dxa"/>
              <w:bottom w:w="60" w:type="dxa"/>
              <w:right w:w="100" w:type="dxa"/>
            </w:tcMar>
          </w:tcPr>
          <w:p w14:paraId="2F94CDC8" w14:textId="77777777" w:rsidR="00182176" w:rsidRDefault="00000000">
            <w:r>
              <w:rPr>
                <w:sz w:val="20"/>
                <w:szCs w:val="20"/>
              </w:rPr>
              <w:t>5.88°</w:t>
            </w:r>
          </w:p>
        </w:tc>
        <w:tc>
          <w:tcPr>
            <w:tcW w:w="1900" w:type="dxa"/>
            <w:shd w:val="clear" w:color="auto" w:fill="EEF3F5"/>
            <w:tcMar>
              <w:top w:w="60" w:type="dxa"/>
              <w:left w:w="100" w:type="dxa"/>
              <w:bottom w:w="60" w:type="dxa"/>
              <w:right w:w="100" w:type="dxa"/>
            </w:tcMar>
          </w:tcPr>
          <w:p w14:paraId="2F94CDC9" w14:textId="77777777" w:rsidR="00182176" w:rsidRDefault="00000000">
            <w:r>
              <w:rPr>
                <w:sz w:val="20"/>
                <w:szCs w:val="20"/>
              </w:rPr>
              <w:t>+15%</w:t>
            </w:r>
          </w:p>
        </w:tc>
      </w:tr>
      <w:tr w:rsidR="00182176" w14:paraId="2F94CDCF" w14:textId="77777777">
        <w:tblPrEx>
          <w:tblCellMar>
            <w:top w:w="0" w:type="dxa"/>
            <w:bottom w:w="0" w:type="dxa"/>
          </w:tblCellMar>
        </w:tblPrEx>
        <w:tc>
          <w:tcPr>
            <w:tcW w:w="3200" w:type="dxa"/>
            <w:tcMar>
              <w:top w:w="60" w:type="dxa"/>
              <w:left w:w="100" w:type="dxa"/>
              <w:bottom w:w="60" w:type="dxa"/>
              <w:right w:w="100" w:type="dxa"/>
            </w:tcMar>
          </w:tcPr>
          <w:p w14:paraId="2F94CDCB" w14:textId="77777777" w:rsidR="00182176" w:rsidRDefault="00000000">
            <w:r>
              <w:rPr>
                <w:sz w:val="20"/>
                <w:szCs w:val="20"/>
              </w:rPr>
              <w:t>Mean</w:t>
            </w:r>
          </w:p>
        </w:tc>
        <w:tc>
          <w:tcPr>
            <w:tcW w:w="1900" w:type="dxa"/>
            <w:tcMar>
              <w:top w:w="60" w:type="dxa"/>
              <w:left w:w="100" w:type="dxa"/>
              <w:bottom w:w="60" w:type="dxa"/>
              <w:right w:w="100" w:type="dxa"/>
            </w:tcMar>
          </w:tcPr>
          <w:p w14:paraId="2F94CDCC" w14:textId="77777777" w:rsidR="00182176" w:rsidRDefault="00000000">
            <w:r>
              <w:rPr>
                <w:sz w:val="20"/>
                <w:szCs w:val="20"/>
              </w:rPr>
              <w:t>7.09°</w:t>
            </w:r>
          </w:p>
        </w:tc>
        <w:tc>
          <w:tcPr>
            <w:tcW w:w="1900" w:type="dxa"/>
            <w:tcMar>
              <w:top w:w="60" w:type="dxa"/>
              <w:left w:w="100" w:type="dxa"/>
              <w:bottom w:w="60" w:type="dxa"/>
              <w:right w:w="100" w:type="dxa"/>
            </w:tcMar>
          </w:tcPr>
          <w:p w14:paraId="2F94CDCD" w14:textId="77777777" w:rsidR="00182176" w:rsidRDefault="00000000">
            <w:r>
              <w:rPr>
                <w:sz w:val="20"/>
                <w:szCs w:val="20"/>
              </w:rPr>
              <w:t>6.30°</w:t>
            </w:r>
          </w:p>
        </w:tc>
        <w:tc>
          <w:tcPr>
            <w:tcW w:w="1900" w:type="dxa"/>
            <w:tcMar>
              <w:top w:w="60" w:type="dxa"/>
              <w:left w:w="100" w:type="dxa"/>
              <w:bottom w:w="60" w:type="dxa"/>
              <w:right w:w="100" w:type="dxa"/>
            </w:tcMar>
          </w:tcPr>
          <w:p w14:paraId="2F94CDCE" w14:textId="77777777" w:rsidR="00182176" w:rsidRDefault="00000000">
            <w:r>
              <w:rPr>
                <w:sz w:val="20"/>
                <w:szCs w:val="20"/>
              </w:rPr>
              <w:t>−11%</w:t>
            </w:r>
          </w:p>
        </w:tc>
      </w:tr>
    </w:tbl>
    <w:p w14:paraId="2F94CDD0" w14:textId="77777777" w:rsidR="00182176" w:rsidRDefault="00182176">
      <w:pPr>
        <w:spacing w:after="100"/>
        <w:jc w:val="both"/>
      </w:pPr>
    </w:p>
    <w:p w14:paraId="2F94CDD1" w14:textId="77777777" w:rsidR="00182176" w:rsidRDefault="00000000">
      <w:pPr>
        <w:spacing w:after="60"/>
        <w:jc w:val="center"/>
      </w:pPr>
      <w:r>
        <w:rPr>
          <w:noProof/>
        </w:rPr>
        <w:drawing>
          <wp:inline distT="0" distB="0" distL="0" distR="0" wp14:anchorId="2F94CDEA" wp14:editId="2F94CDEB">
            <wp:extent cx="5715000" cy="2667000"/>
            <wp:effectExtent l="0" t="0" r="0" b="0"/>
            <wp:docPr id="86085878" name="Picture 860858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5715000" cy="2667000"/>
                    </a:xfrm>
                    <a:prstGeom prst="rect">
                      <a:avLst/>
                    </a:prstGeom>
                  </pic:spPr>
                </pic:pic>
              </a:graphicData>
            </a:graphic>
          </wp:inline>
        </w:drawing>
      </w:r>
    </w:p>
    <w:p w14:paraId="2F94CDD2" w14:textId="77777777" w:rsidR="00182176" w:rsidRDefault="00000000">
      <w:pPr>
        <w:spacing w:after="160"/>
        <w:jc w:val="center"/>
      </w:pPr>
      <w:r>
        <w:rPr>
          <w:i/>
          <w:iCs/>
          <w:color w:val="5A6B72"/>
          <w:sz w:val="18"/>
          <w:szCs w:val="18"/>
        </w:rPr>
        <w:t>Figure 2 — Leave-one-subject-out: before vs after calibration (near-term).</w:t>
      </w:r>
    </w:p>
    <w:p w14:paraId="2F94CDD3" w14:textId="77777777" w:rsidR="00182176" w:rsidRDefault="00000000">
      <w:pPr>
        <w:spacing w:after="120" w:line="276" w:lineRule="auto"/>
        <w:jc w:val="both"/>
      </w:pPr>
      <w:r>
        <w:t>Calibration helps five of six subjects, for an average near-term improvement of ~11% — real but more modest and variable than the best single split, because with only six subjects one atypical subject swings the mean and outcomes are base-dependent. The mechanism clearly works (large, consistent wins on subjects with real drift, e.g. S3/S4); a firm uniform efficacy claim would require a larger cohort.</w:t>
      </w:r>
    </w:p>
    <w:p w14:paraId="2F94CDD4" w14:textId="77777777" w:rsidR="00182176" w:rsidRDefault="00000000">
      <w:pPr>
        <w:pStyle w:val="Heading2"/>
      </w:pPr>
      <w:r>
        <w:t>6.4 Systems performance</w:t>
      </w:r>
    </w:p>
    <w:p w14:paraId="2F94CDD5" w14:textId="77777777" w:rsidR="00182176" w:rsidRDefault="00000000">
      <w:pPr>
        <w:pStyle w:val="ListParagraph"/>
        <w:numPr>
          <w:ilvl w:val="0"/>
          <w:numId w:val="1"/>
        </w:numPr>
        <w:spacing w:after="60"/>
      </w:pPr>
      <w:r>
        <w:t xml:space="preserve">Prediction latency: ~6 </w:t>
      </w:r>
      <w:proofErr w:type="spellStart"/>
      <w:r>
        <w:t>ms</w:t>
      </w:r>
      <w:proofErr w:type="spellEnd"/>
      <w:r>
        <w:t xml:space="preserve"> round-trip when warm.</w:t>
      </w:r>
    </w:p>
    <w:p w14:paraId="2F94CDD6" w14:textId="77777777" w:rsidR="00182176" w:rsidRDefault="00000000">
      <w:pPr>
        <w:pStyle w:val="ListParagraph"/>
        <w:numPr>
          <w:ilvl w:val="0"/>
          <w:numId w:val="1"/>
        </w:numPr>
        <w:spacing w:after="60"/>
      </w:pPr>
      <w:r>
        <w:t>Calibration: a few seconds as a background job (backbone features cached).</w:t>
      </w:r>
    </w:p>
    <w:p w14:paraId="2F94CDD7" w14:textId="77777777" w:rsidR="00182176" w:rsidRDefault="00000000">
      <w:pPr>
        <w:pStyle w:val="ListParagraph"/>
        <w:numPr>
          <w:ilvl w:val="0"/>
          <w:numId w:val="1"/>
        </w:numPr>
        <w:spacing w:after="60"/>
      </w:pPr>
      <w:r>
        <w:t>Serverless: stateless inference deploys with scale-to-zero.</w:t>
      </w:r>
    </w:p>
    <w:p w14:paraId="2F94CDD8" w14:textId="77777777" w:rsidR="00182176" w:rsidRDefault="00000000">
      <w:pPr>
        <w:pStyle w:val="ListParagraph"/>
        <w:numPr>
          <w:ilvl w:val="0"/>
          <w:numId w:val="1"/>
        </w:numPr>
        <w:spacing w:after="60"/>
      </w:pPr>
      <w:r>
        <w:t xml:space="preserve">Autoscaling (verified on Kubernetes): 400 queued jobs drove worker CPU to 333% and the </w:t>
      </w:r>
      <w:proofErr w:type="spellStart"/>
      <w:r>
        <w:t>HorizontalPodAutoscaler</w:t>
      </w:r>
      <w:proofErr w:type="spellEnd"/>
      <w:r>
        <w:t xml:space="preserve"> scaled the worker from 1 to 4 pods automatically.</w:t>
      </w:r>
    </w:p>
    <w:p w14:paraId="2F94CDD9" w14:textId="77777777" w:rsidR="00182176" w:rsidRDefault="00000000">
      <w:pPr>
        <w:pStyle w:val="ListParagraph"/>
        <w:numPr>
          <w:ilvl w:val="0"/>
          <w:numId w:val="1"/>
        </w:numPr>
        <w:spacing w:after="60"/>
      </w:pPr>
      <w:r>
        <w:t>Quality: 16 automated tests + CI (build and test) on every push.</w:t>
      </w:r>
    </w:p>
    <w:p w14:paraId="2F94CDDA" w14:textId="77777777" w:rsidR="00182176" w:rsidRDefault="00000000">
      <w:pPr>
        <w:pStyle w:val="Heading1"/>
      </w:pPr>
      <w:r>
        <w:t>7. Deployment</w:t>
      </w:r>
    </w:p>
    <w:p w14:paraId="2F94CDDB" w14:textId="77777777" w:rsidR="00182176" w:rsidRDefault="00000000">
      <w:pPr>
        <w:spacing w:after="120" w:line="276" w:lineRule="auto"/>
        <w:jc w:val="both"/>
      </w:pPr>
      <w:r>
        <w:lastRenderedPageBreak/>
        <w:t xml:space="preserve">The inference service is stateless and binds the platform-injected $PORT, so it deploys to serverless hosts (Google Cloud Run / Render) with min-instances 0 (scale-to-zero). A </w:t>
      </w:r>
      <w:proofErr w:type="spellStart"/>
      <w:proofErr w:type="gramStart"/>
      <w:r>
        <w:t>render.yaml</w:t>
      </w:r>
      <w:proofErr w:type="spellEnd"/>
      <w:proofErr w:type="gramEnd"/>
      <w:r>
        <w:t xml:space="preserve"> blueprint reduces deployment to connecting the repository. The full visual demo is also deployed publicly and, via a self-contained single-service build, runs the client, prediction and calibration together. The optional Kubernetes path </w:t>
      </w:r>
      <w:proofErr w:type="spellStart"/>
      <w:r>
        <w:t>autoscales</w:t>
      </w:r>
      <w:proofErr w:type="spellEnd"/>
      <w:r>
        <w:t xml:space="preserve"> the worker via a </w:t>
      </w:r>
      <w:proofErr w:type="spellStart"/>
      <w:r>
        <w:t>HorizontalPodAutoscaler</w:t>
      </w:r>
      <w:proofErr w:type="spellEnd"/>
      <w:r>
        <w:t xml:space="preserve"> under load.</w:t>
      </w:r>
    </w:p>
    <w:p w14:paraId="2F94CDDC" w14:textId="77777777" w:rsidR="00182176" w:rsidRDefault="00000000">
      <w:pPr>
        <w:spacing w:after="120" w:line="276" w:lineRule="auto"/>
        <w:jc w:val="both"/>
      </w:pPr>
      <w:r>
        <w:rPr>
          <w:b/>
          <w:bCs/>
        </w:rPr>
        <w:t xml:space="preserve">Live URLs: </w:t>
      </w:r>
      <w:r>
        <w:t>demo — driftless-demo.onrender.com/demo</w:t>
      </w:r>
      <w:proofErr w:type="gramStart"/>
      <w:r>
        <w:t>/ ;</w:t>
      </w:r>
      <w:proofErr w:type="gramEnd"/>
      <w:r>
        <w:t xml:space="preserve"> inference API — driftless-inference.onrender.com</w:t>
      </w:r>
    </w:p>
    <w:p w14:paraId="2F94CDDD" w14:textId="77777777" w:rsidR="00182176" w:rsidRDefault="00000000">
      <w:pPr>
        <w:pStyle w:val="Heading1"/>
      </w:pPr>
      <w:r>
        <w:t>8. Limitations and Future Work</w:t>
      </w:r>
    </w:p>
    <w:p w14:paraId="2F94CDDE" w14:textId="77777777" w:rsidR="00182176" w:rsidRDefault="00000000">
      <w:pPr>
        <w:pStyle w:val="ListParagraph"/>
        <w:numPr>
          <w:ilvl w:val="0"/>
          <w:numId w:val="1"/>
        </w:numPr>
        <w:spacing w:after="60"/>
      </w:pPr>
      <w:r>
        <w:t>Time-varying drift: a one-time calibration decays over a long session (clearly for S5, mildly for S6). Future work: periodic / continual re-calibration.</w:t>
      </w:r>
    </w:p>
    <w:p w14:paraId="2F94CDDF" w14:textId="77777777" w:rsidR="00182176" w:rsidRDefault="00000000">
      <w:pPr>
        <w:pStyle w:val="ListParagraph"/>
        <w:numPr>
          <w:ilvl w:val="0"/>
          <w:numId w:val="1"/>
        </w:numPr>
        <w:spacing w:after="60"/>
      </w:pPr>
      <w:r>
        <w:t>Few subjects (6): public EOG datasets are small, so per-user gains are noisy; leave-one-subject-out keeps the evaluation honest but the sample is small.</w:t>
      </w:r>
    </w:p>
    <w:p w14:paraId="2F94CDE0" w14:textId="77777777" w:rsidR="00182176" w:rsidRDefault="00000000">
      <w:pPr>
        <w:pStyle w:val="ListParagraph"/>
        <w:numPr>
          <w:ilvl w:val="0"/>
          <w:numId w:val="1"/>
        </w:numPr>
        <w:spacing w:after="60"/>
      </w:pPr>
      <w:r>
        <w:t>Lab data: recorded with a chin rest and clean electrodes; a real wearable is noisier — live EOG hardware in place of dataset replay is the natural next step.</w:t>
      </w:r>
    </w:p>
    <w:p w14:paraId="2F94CDE1" w14:textId="77777777" w:rsidR="00182176" w:rsidRDefault="00000000">
      <w:pPr>
        <w:pStyle w:val="ListParagraph"/>
        <w:numPr>
          <w:ilvl w:val="0"/>
          <w:numId w:val="1"/>
        </w:numPr>
        <w:spacing w:after="60"/>
      </w:pPr>
      <w:r>
        <w:t>Privacy: EOG is biometric; a federated / on-device personalisation extension would keep raw signals on the device.</w:t>
      </w:r>
    </w:p>
    <w:p w14:paraId="2F94CDE2" w14:textId="77777777" w:rsidR="00182176" w:rsidRDefault="00000000">
      <w:pPr>
        <w:pStyle w:val="Heading1"/>
      </w:pPr>
      <w:r>
        <w:t>9. Conclusion</w:t>
      </w:r>
    </w:p>
    <w:p w14:paraId="2F94CDE3" w14:textId="77777777" w:rsidR="00182176" w:rsidRDefault="00000000">
      <w:pPr>
        <w:spacing w:after="120" w:line="276" w:lineRule="auto"/>
        <w:jc w:val="both"/>
      </w:pPr>
      <w:proofErr w:type="spellStart"/>
      <w:r>
        <w:t>DriftLess</w:t>
      </w:r>
      <w:proofErr w:type="spellEnd"/>
      <w:r>
        <w:t xml:space="preserve"> turns EOG baseline drift — the field's hardest problem — into an automatic, cloud-native service: a shared model made accurate for a brand-new user in seconds via few-shot calibration of a tiny adapter, served with millisecond latency and evaluated honestly and leak-free. It demonstrates both halves of a modern cloud-ML system: a sound machine-learning method and a scalable, deployable, tested cloud architecture.</w:t>
      </w:r>
    </w:p>
    <w:p w14:paraId="2F94CDE4" w14:textId="77777777" w:rsidR="00182176" w:rsidRDefault="00000000">
      <w:pPr>
        <w:pStyle w:val="Heading1"/>
      </w:pPr>
      <w:r>
        <w:t>References</w:t>
      </w:r>
    </w:p>
    <w:p w14:paraId="2F94CDE5" w14:textId="77777777" w:rsidR="00182176" w:rsidRDefault="00000000">
      <w:pPr>
        <w:spacing w:after="120" w:line="276" w:lineRule="auto"/>
        <w:jc w:val="both"/>
      </w:pPr>
      <w:r>
        <w:t>[1] N. Barbara, T. A. Camilleri, K. P. Camilleri, “A comparison of EOG baseline drift mitigation techniques,” Biomedical Signal Processing and Control, vol. 57, 2020.</w:t>
      </w:r>
    </w:p>
    <w:p w14:paraId="2F94CDE6" w14:textId="77777777" w:rsidR="00182176" w:rsidRDefault="00000000">
      <w:pPr>
        <w:spacing w:after="120" w:line="276" w:lineRule="auto"/>
        <w:jc w:val="both"/>
      </w:pPr>
      <w:r>
        <w:t xml:space="preserve">[2] University of Malta, Centre for Biomedical Cybernetics — </w:t>
      </w:r>
      <w:proofErr w:type="spellStart"/>
      <w:r>
        <w:t>EyeCon</w:t>
      </w:r>
      <w:proofErr w:type="spellEnd"/>
      <w:r>
        <w:t xml:space="preserve"> EOG dataset. https://www.um.edu.mt/cbc/ourprojects/eyecon/eogdataset/</w:t>
      </w:r>
    </w:p>
    <w:p w14:paraId="2F94CDE7" w14:textId="77777777" w:rsidR="00182176" w:rsidRDefault="00000000">
      <w:pPr>
        <w:spacing w:after="120" w:line="276" w:lineRule="auto"/>
        <w:jc w:val="both"/>
      </w:pPr>
      <w:r>
        <w:t>[3] Project repository. https://github.com/snehaprasad11/DriftLess</w:t>
      </w:r>
    </w:p>
    <w:sectPr w:rsidR="00182176">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A932A85"/>
    <w:multiLevelType w:val="hybridMultilevel"/>
    <w:tmpl w:val="F244AB30"/>
    <w:lvl w:ilvl="0" w:tplc="C55499EC">
      <w:start w:val="1"/>
      <w:numFmt w:val="bullet"/>
      <w:lvlText w:val="●"/>
      <w:lvlJc w:val="left"/>
      <w:pPr>
        <w:ind w:left="720" w:hanging="360"/>
      </w:pPr>
    </w:lvl>
    <w:lvl w:ilvl="1" w:tplc="705289CA">
      <w:start w:val="1"/>
      <w:numFmt w:val="bullet"/>
      <w:lvlText w:val="○"/>
      <w:lvlJc w:val="left"/>
      <w:pPr>
        <w:ind w:left="1440" w:hanging="360"/>
      </w:pPr>
    </w:lvl>
    <w:lvl w:ilvl="2" w:tplc="8BEC4D58">
      <w:start w:val="1"/>
      <w:numFmt w:val="bullet"/>
      <w:lvlText w:val="■"/>
      <w:lvlJc w:val="left"/>
      <w:pPr>
        <w:ind w:left="2160" w:hanging="360"/>
      </w:pPr>
    </w:lvl>
    <w:lvl w:ilvl="3" w:tplc="B25E6082">
      <w:start w:val="1"/>
      <w:numFmt w:val="bullet"/>
      <w:lvlText w:val="●"/>
      <w:lvlJc w:val="left"/>
      <w:pPr>
        <w:ind w:left="2880" w:hanging="360"/>
      </w:pPr>
    </w:lvl>
    <w:lvl w:ilvl="4" w:tplc="B0D09FB2">
      <w:start w:val="1"/>
      <w:numFmt w:val="bullet"/>
      <w:lvlText w:val="○"/>
      <w:lvlJc w:val="left"/>
      <w:pPr>
        <w:ind w:left="3600" w:hanging="360"/>
      </w:pPr>
    </w:lvl>
    <w:lvl w:ilvl="5" w:tplc="203AC012">
      <w:start w:val="1"/>
      <w:numFmt w:val="bullet"/>
      <w:lvlText w:val="■"/>
      <w:lvlJc w:val="left"/>
      <w:pPr>
        <w:ind w:left="4320" w:hanging="360"/>
      </w:pPr>
    </w:lvl>
    <w:lvl w:ilvl="6" w:tplc="23DE4824">
      <w:start w:val="1"/>
      <w:numFmt w:val="bullet"/>
      <w:lvlText w:val="●"/>
      <w:lvlJc w:val="left"/>
      <w:pPr>
        <w:ind w:left="5040" w:hanging="360"/>
      </w:pPr>
    </w:lvl>
    <w:lvl w:ilvl="7" w:tplc="0EBE0538">
      <w:start w:val="1"/>
      <w:numFmt w:val="bullet"/>
      <w:lvlText w:val="●"/>
      <w:lvlJc w:val="left"/>
      <w:pPr>
        <w:ind w:left="5760" w:hanging="360"/>
      </w:pPr>
    </w:lvl>
    <w:lvl w:ilvl="8" w:tplc="72AEED92">
      <w:start w:val="1"/>
      <w:numFmt w:val="bullet"/>
      <w:lvlText w:val="●"/>
      <w:lvlJc w:val="left"/>
      <w:pPr>
        <w:ind w:left="6480" w:hanging="360"/>
      </w:pPr>
    </w:lvl>
  </w:abstractNum>
  <w:num w:numId="1" w16cid:durableId="1500078174">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82176"/>
    <w:rsid w:val="00182176"/>
    <w:rsid w:val="003B5380"/>
    <w:rsid w:val="008D49A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94CD4A"/>
  <w15:docId w15:val="{CBA24899-3D85-4792-8EA3-69D76571D6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color w:val="1A2B32"/>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80" w:after="120"/>
      <w:outlineLvl w:val="0"/>
    </w:pPr>
    <w:rPr>
      <w:b/>
      <w:bCs/>
      <w:sz w:val="30"/>
      <w:szCs w:val="30"/>
    </w:rPr>
  </w:style>
  <w:style w:type="paragraph" w:styleId="Heading2">
    <w:name w:val="heading 2"/>
    <w:uiPriority w:val="9"/>
    <w:unhideWhenUsed/>
    <w:qFormat/>
    <w:pPr>
      <w:spacing w:before="180" w:after="80"/>
      <w:outlineLvl w:val="1"/>
    </w:pPr>
    <w:rPr>
      <w:b/>
      <w:bCs/>
      <w:sz w:val="25"/>
      <w:szCs w:val="25"/>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7</Pages>
  <Words>1671</Words>
  <Characters>9526</Characters>
  <Application>Microsoft Office Word</Application>
  <DocSecurity>0</DocSecurity>
  <Lines>79</Lines>
  <Paragraphs>22</Paragraphs>
  <ScaleCrop>false</ScaleCrop>
  <Company/>
  <LinksUpToDate>false</LinksUpToDate>
  <CharactersWithSpaces>11175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DriftLess — Technical Report</dc:title>
  <dc:creator>Sneha Prasad</dc:creator>
  <cp:lastModifiedBy>Sneha Prasad</cp:lastModifiedBy>
  <cp:revision>2</cp:revision>
  <dcterms:created xsi:type="dcterms:W3CDTF">2026-09-16T08:47:00Z</dcterms:created>
  <dcterms:modified xsi:type="dcterms:W3CDTF">2026-09-16T08:50:00Z</dcterms:modified>
</cp:coreProperties>
</file>