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Page -`1 LHS plagarised block replacement</w:t>
        <w:br w:type="textWrapping"/>
        <w:br w:type="textWrapping"/>
        <w:t xml:space="preserve">We used Platt  Scaling to align the neural  networks raw prediction  with real clinical probabilities, achieving a Brier  score of 0.145 on TNNT2 data. To help understand what the model was learning,  per residue in silico mutagenesis (ISM)  Heat maps were created. Interestingly these highlight non vulnerable hotspots.  This includes myosin converter domain and the actin binding cleft even though the model had no access to 3D structural information. Overall, these results Help demonstrate that disease focused  and leakage free approach can  Help capture meaning aspects  of sarcomere biology. More importantly, It does so well enough to be practically useful in prioritizing variants of uncertain significance (VUS)  in a clinical set setup.</w:t>
        <w:br w:type="textWrapping"/>
        <w:br w:type="textWrapping"/>
        <w:t xml:space="preserve">A. Proteins, Mutations, and Variant Interpretation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proteins are the workhorses of the cell. Made from long chains of amino acids that fold into intricate three dimensional shapes, They handle everything from speeding up chemical reactions to giving cells their structures two passing along signal. But when a missense mutation  swaps one amino acid for another, The impact can vary widely widely from No effect at all to a complete breakdown of functions.  All of this depends on where the change happens and how does it affect the local chemistry.</w:t>
      </w:r>
    </w:p>
    <w:p w:rsidR="00000000" w:rsidDel="00000000" w:rsidP="00000000" w:rsidRDefault="00000000" w:rsidRPr="00000000" w14:paraId="00000004">
      <w:pPr>
        <w:rPr/>
      </w:pPr>
      <w:r w:rsidDel="00000000" w:rsidR="00000000" w:rsidRPr="00000000">
        <w:rPr>
          <w:rtl w:val="0"/>
        </w:rPr>
        <w:t xml:space="preserve"> Experimental approaches like deep mutational scanning[1] Give you a real answer. But this approach is highly expensive and slow relative to the rate at which the variants are discovered. This is the reason why Computational Prediction Tools have become so central in clinical genomics. They work by exploiting evolutionary conservation, structural context, machine learning to assign pathogenicity scores, working within the 5 tier ACMG/AMP  classification system[4]-  This system helps  in classifying- pathogenic, likely pathogenic, uncertain significance, likely benign, or benign. Despite many years of progress on general purpose predictors,   inconsistency  Remains in performance within a narrow decease specific gene panels. This gap is what  this paper tries to address.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 HypertrophicCardiomyopathy:ClinicalandGeneticCon text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HCM roughly affects 1 in 200 to 500 people and usually follows autosomal dominant inheritance [5].   The main hypertrophic cardiomyopathy(HCM)  is a thickened wall of the left ventricle that cannot be explained by high blood pressure or valve disease. Clinically HCM is unpredictable. Some people live their whole lives without any major symptoms, while others  with HCM experience sudden cardiac death during day to day activity- sometimes as their first sign of the disease. Being common in people yet often silent is exactly why accurate interpretation of genetic variance matters so much for families at risk.  At its core,  HCM is the disease of the basic unit- sarcomere  That makes the heart muscles contract. About 60% of patients with genetic diagnosis carry harmful variants in sarcomere genes. Twe genes,  MYH7  and MYBPC3,  account for more than half of the known cases, while others are spread across genes like TNNT2, TNNI3, TPM1, ACTC1, MYL2, MYL3, and TNNC1.  These 9 genes  form the panel for our study in this paper.</w:t>
        <w:br w:type="textWrapping"/>
        <w:br w:type="textWrapping"/>
        <w:t xml:space="preserve"> One complication is that the same mutations can lead to very different outcomes for different people. That means looking at the level of risk is not enough-you need to understand each variant on its own.</w:t>
        <w:br w:type="textWrapping"/>
        <w:br w:type="textWrapping"/>
        <w:t xml:space="preserve">C. TheVUSBottleneckinHCM </w:t>
        <w:br w:type="textWrapping"/>
      </w:r>
    </w:p>
    <w:p w:rsidR="00000000" w:rsidDel="00000000" w:rsidP="00000000" w:rsidRDefault="00000000" w:rsidRPr="00000000" w14:paraId="0000000A">
      <w:pPr>
        <w:rPr/>
      </w:pPr>
      <w:r w:rsidDel="00000000" w:rsidR="00000000" w:rsidRPr="00000000">
        <w:rPr>
          <w:rtl w:val="0"/>
        </w:rPr>
        <w:t xml:space="preserve"> The real clinical problem in HCM  does not lie in the  Clearly pathogenic variants, which generally have segregation  and functional data to back them up. The real problem is the  large grey zone of missense substitutions that fall somewhere in between.  ACMG/AMP  guidelines[4], variants without enough evidence to say whether a  Variant is safe or dangerous, It gets labeled as Variant of Uncertain Significance(VUS).</w:t>
        <w:br w:type="textWrapping"/>
        <w:t xml:space="preserve"> Across the nine genes in our study, we collected 8,137 missense observations- and more than 4,500 of them are currently tagged as VUS in ClinVar. That is over twice the number of variants with confident labels. For families at risk, a VUS result means no clear guidance and no way to move forward with cascade screening.</w:t>
      </w:r>
    </w:p>
    <w:p w:rsidR="00000000" w:rsidDel="00000000" w:rsidP="00000000" w:rsidRDefault="00000000" w:rsidRPr="00000000" w14:paraId="0000000B">
      <w:pPr>
        <w:rPr/>
      </w:pPr>
      <w:r w:rsidDel="00000000" w:rsidR="00000000" w:rsidRPr="00000000">
        <w:rPr>
          <w:rtl w:val="0"/>
        </w:rPr>
        <w:t xml:space="preserve"> To our knowledge, no tool has yet been built and rigorously tested-without data leakage-to sort through the backlog. Filling this gap is exactly what we set out to do.</w:t>
        <w:br w:type="textWrapping"/>
        <w:br w:type="textWrapping"/>
        <w:br w:type="textWrapping"/>
        <w:t xml:space="preserve">D. ProblemStatementandApproach </w:t>
        <w:br w:type="textWrapping"/>
        <w:br w:type="textWrapping"/>
        <w:t xml:space="preserve">1)  Label Circularity in Existing Predictors:  One issue that doesn't get enough attention in this field is label circularity. Many tools that predict whether a genetic variant is harmful are trained on features that were themselves derived from the same clinical workflow that produced the training labels. In other words, the models end up Learning to copy the labeling process rather than the underlying biology. We took deliberate steps to avoid this problem. Both and how we engineered features and in how we evaluate performance(see section I AND IIA).</w:t>
        <w:br w:type="textWrapping"/>
        <w:br w:type="textWrapping"/>
      </w:r>
      <w:r w:rsidDel="00000000" w:rsidR="00000000" w:rsidRPr="00000000">
        <w:rPr>
          <w:rtl w:val="0"/>
        </w:rPr>
        <w:t xml:space="preserve">2) Our Approach:  To tackle these problems, we built a two model framework trained on 1,954 high confidence sarcomeric HCM variants. Importantly, we drew labels only from multi submitter ClinVar records, ensuring  that the training data reflected consensus rather than single source judgment.</w:t>
        <w:br w:type="textWrapping"/>
        <w:br w:type="textWrapping"/>
        <w:t xml:space="preserve">Related work blue block</w:t>
        <w:br w:type="textWrapping"/>
        <w:br w:type="textWrapping"/>
        <w:t xml:space="preserve">EVE is an impressive resource: it covers 36 million variants across 3,219 genes. But when it comes to hypertrophic cardiomyopathy (HCM), it has a key limitation. EVE doesn’t capture the specific domain architecture of sarcomeric proteins. For example, it treats the motor domain of </w:t>
      </w:r>
      <w:r w:rsidDel="00000000" w:rsidR="00000000" w:rsidRPr="00000000">
        <w:rPr>
          <w:b w:val="1"/>
          <w:bCs w:val="1"/>
          <w:rtl w:val="0"/>
        </w:rPr>
        <w:t xml:space="preserve">MYH7</w:t>
      </w:r>
      <w:r w:rsidDel="00000000" w:rsidR="00000000" w:rsidRPr="00000000">
        <w:rPr>
          <w:rtl w:val="0"/>
        </w:rPr>
        <w:t xml:space="preserve"> just like any other conserved segment, missing the disease‑specific structural logic that actually drives HCM pathology. </w:t>
        <w:br w:type="textWrapping"/>
      </w:r>
      <w:r w:rsidDel="00000000" w:rsidR="00000000" w:rsidRPr="00000000">
        <w:rPr>
          <w:b w:val="1"/>
          <w:bCs w:val="1"/>
          <w:rtl w:val="0"/>
        </w:rPr>
        <w:t xml:space="preserve">AlphaMissense</w:t>
      </w:r>
      <w:r w:rsidDel="00000000" w:rsidR="00000000" w:rsidRPr="00000000">
        <w:rPr>
          <w:rtl w:val="0"/>
        </w:rPr>
        <w:t xml:space="preserve"> takes a different path. It fine‑tunes the AlphaFold2 architecture using allele frequencies from human and primate populations to build a proteome‑wide classifier that covers about 89% of all possible human missense variants. The structural detail baked into AlphaFold’s representations gives it a clear advantage in principle.</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b w:val="1"/>
          <w:bCs w:val="1"/>
          <w:rtl w:val="0"/>
        </w:rPr>
        <w:t xml:space="preserve">REVEL</w:t>
      </w:r>
      <w:r w:rsidDel="00000000" w:rsidR="00000000" w:rsidRPr="00000000">
        <w:rPr>
          <w:rtl w:val="0"/>
        </w:rPr>
        <w:t xml:space="preserve"> is an ensemble method that combines scores from thirteen different tools (including SIFT, PolyPhen‑2, MutPred, VEST, GERP++, phyloP, and others) using a random forest trained on ClinVar. It’s widely used in clinical pipelines through dbNSFP and Ensembl VEP. The catch is that its performance depends heavily on how many ClinVar labels a gene already has—genes with lots of historical annotations look easy, while genes with sparse records look hard. That pattern reflects label density, not the true molecular complexity of the problem.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MetaRNN</w:t>
      </w:r>
      <w:r w:rsidDel="00000000" w:rsidR="00000000" w:rsidRPr="00000000">
        <w:rPr>
          <w:rtl w:val="0"/>
        </w:rPr>
        <w:t xml:space="preserve"> takes a different approach, using gated recurrent units to combine 28 functional scores with a local sequence window of ±1 codon. The authors deliberately excluded ClinVar‑trained sub‑scores like MPC and ClinPred to avoid inflating performance through overlapping training and test variants—a problem they call </w:t>
      </w:r>
      <w:r w:rsidDel="00000000" w:rsidR="00000000" w:rsidRPr="00000000">
        <w:rPr>
          <w:i w:val="1"/>
          <w:iCs w:val="1"/>
          <w:rtl w:val="0"/>
        </w:rPr>
        <w:t xml:space="preserve">Type I circularity</w:t>
      </w:r>
      <w:r w:rsidDel="00000000" w:rsidR="00000000" w:rsidRPr="00000000">
        <w:rPr>
          <w:rtl w:val="0"/>
        </w:rPr>
        <w:t xml:space="preserve">. That’s a genuine methodological improvement. However, MetaRNN still doesn’t enforce gene‑level separation between training and test splits, so the protein‑level homology issue described by Grimm et al. (</w:t>
      </w:r>
      <w:r w:rsidDel="00000000" w:rsidR="00000000" w:rsidRPr="00000000">
        <w:rPr>
          <w:i w:val="1"/>
          <w:iCs w:val="1"/>
          <w:rtl w:val="0"/>
        </w:rPr>
        <w:t xml:space="preserve">Type II circularity</w:t>
      </w:r>
      <w:r w:rsidDel="00000000" w:rsidR="00000000" w:rsidRPr="00000000">
        <w:rPr>
          <w:rtl w:val="0"/>
        </w:rPr>
        <w:t xml:space="preserve">) remains.</w:t>
      </w:r>
    </w:p>
    <w:p w:rsidR="00000000" w:rsidDel="00000000" w:rsidP="00000000" w:rsidRDefault="00000000" w:rsidRPr="00000000" w14:paraId="0000000E">
      <w:pPr>
        <w:spacing w:after="240" w:before="240" w:lineRule="auto"/>
        <w:rPr/>
      </w:pPr>
      <w:r w:rsidDel="00000000" w:rsidR="00000000" w:rsidRPr="00000000">
        <w:rPr>
          <w:rtl w:val="0"/>
        </w:rPr>
        <w:t xml:space="preserve">Across all four tools we reviewed, the same core weakness stands out: none were designed with </w:t>
      </w:r>
      <w:r w:rsidDel="00000000" w:rsidR="00000000" w:rsidRPr="00000000">
        <w:rPr>
          <w:b w:val="1"/>
          <w:bCs w:val="1"/>
          <w:rtl w:val="0"/>
        </w:rPr>
        <w:t xml:space="preserve">gene‑held‑out generalization</w:t>
      </w:r>
      <w:r w:rsidDel="00000000" w:rsidR="00000000" w:rsidRPr="00000000">
        <w:rPr>
          <w:rtl w:val="0"/>
        </w:rPr>
        <w:t xml:space="preserve"> in mind, and none encode the specific structural features—like domain membership, interface proximity, or mechanical coupling—that make sarcomere biology distinctive.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m3196ezlvno" w:id="0"/>
      <w:bookmarkEnd w:id="0"/>
      <w:r w:rsidDel="00000000" w:rsidR="00000000" w:rsidRPr="00000000">
        <w:rPr>
          <w:b w:val="1"/>
          <w:bCs w:val="1"/>
          <w:color w:val="000000"/>
          <w:sz w:val="26"/>
          <w:szCs w:val="26"/>
          <w:rtl w:val="0"/>
        </w:rPr>
        <w:t xml:space="preserve">B. Disease‑Specific Tools for Inherited Cardiac Conditions</w:t>
      </w:r>
    </w:p>
    <w:p w:rsidR="00000000" w:rsidDel="00000000" w:rsidP="00000000" w:rsidRDefault="00000000" w:rsidRPr="00000000" w14:paraId="00000011">
      <w:pPr>
        <w:rPr/>
      </w:pPr>
      <w:r w:rsidDel="00000000" w:rsidR="00000000" w:rsidRPr="00000000">
        <w:rPr>
          <w:b w:val="1"/>
          <w:bCs w:val="1"/>
          <w:rtl w:val="0"/>
        </w:rPr>
        <w:t xml:space="preserve">CardioBoost</w:t>
      </w:r>
      <w:r w:rsidDel="00000000" w:rsidR="00000000" w:rsidRPr="00000000">
        <w:rPr>
          <w:rtl w:val="0"/>
        </w:rPr>
        <w:t xml:space="preserve"> is the closest precedent to our work. It’s a gradient‑boosted classifier built specifically for rare missense variants in inherited cardiomyopathies and arrhythmias, using a gnomAD frequency cutoff of 0.1% to minimize benign contamination. On its internal validation set, it reported an AUPRC of 91% for cardiomyopathy variants—an impressive result. CardioBoost is available through the CardioClassifier web platform and covers most major sarcomeric HCM genes, though </w:t>
      </w:r>
      <w:r w:rsidDel="00000000" w:rsidR="00000000" w:rsidRPr="00000000">
        <w:rPr>
          <w:b w:val="1"/>
          <w:bCs w:val="1"/>
          <w:rtl w:val="0"/>
        </w:rPr>
        <w:t xml:space="preserve">TNNC1</w:t>
      </w:r>
      <w:r w:rsidDel="00000000" w:rsidR="00000000" w:rsidRPr="00000000">
        <w:rPr>
          <w:rtl w:val="0"/>
        </w:rPr>
        <w:t xml:space="preserve"> is missing from its precomputed scores.</w:t>
      </w:r>
    </w:p>
    <w:p w:rsidR="00000000" w:rsidDel="00000000" w:rsidP="00000000" w:rsidRDefault="00000000" w:rsidRPr="00000000" w14:paraId="00000012">
      <w:pPr>
        <w:spacing w:after="240" w:before="240" w:lineRule="auto"/>
        <w:rPr/>
      </w:pPr>
      <w:r w:rsidDel="00000000" w:rsidR="00000000" w:rsidRPr="00000000">
        <w:rPr>
          <w:rtl w:val="0"/>
        </w:rPr>
        <w:t xml:space="preserve">The main methodological issue is that CardioBoost validated performance using random variant‑level train‑test splits. As we show in Section IV, this choice substantially overstates accuracy compared to gene‑held‑out evaluation.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npqzgalsrnv" w:id="1"/>
      <w:bookmarkEnd w:id="1"/>
      <w:r w:rsidDel="00000000" w:rsidR="00000000" w:rsidRPr="00000000">
        <w:rPr>
          <w:b w:val="1"/>
          <w:bCs w:val="1"/>
          <w:color w:val="000000"/>
          <w:sz w:val="26"/>
          <w:szCs w:val="26"/>
          <w:rtl w:val="0"/>
        </w:rPr>
        <w:t xml:space="preserve">C. Data Resources</w:t>
      </w:r>
    </w:p>
    <w:p w:rsidR="00000000" w:rsidDel="00000000" w:rsidP="00000000" w:rsidRDefault="00000000" w:rsidRPr="00000000" w14:paraId="00000014">
      <w:pPr>
        <w:spacing w:after="240" w:before="240" w:lineRule="auto"/>
        <w:rPr/>
      </w:pPr>
      <w:r w:rsidDel="00000000" w:rsidR="00000000" w:rsidRPr="00000000">
        <w:rPr>
          <w:rtl w:val="0"/>
        </w:rPr>
        <w:t xml:space="preserve">Building a leakage‑free HCM training set required pulling from three public repositories: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ClinVar</w:t>
      </w:r>
      <w:r w:rsidDel="00000000" w:rsidR="00000000" w:rsidRPr="00000000">
        <w:rPr>
          <w:rtl w:val="0"/>
        </w:rPr>
        <w:t xml:space="preserve"> for pathogenicity labels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UniProt Swiss‑Prot</w:t>
      </w:r>
      <w:r w:rsidDel="00000000" w:rsidR="00000000" w:rsidRPr="00000000">
        <w:rPr>
          <w:rtl w:val="0"/>
        </w:rPr>
        <w:t xml:space="preserve"> for structural and sequence annotations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gnomAD</w:t>
      </w:r>
      <w:r w:rsidDel="00000000" w:rsidR="00000000" w:rsidRPr="00000000">
        <w:rPr>
          <w:rtl w:val="0"/>
        </w:rPr>
        <w:t xml:space="preserve"> for population allele frequencies</w:t>
      </w:r>
    </w:p>
    <w:p w:rsidR="00000000" w:rsidDel="00000000" w:rsidP="00000000" w:rsidRDefault="00000000" w:rsidRPr="00000000" w14:paraId="00000018">
      <w:pPr>
        <w:spacing w:after="240" w:before="240" w:lineRule="auto"/>
        <w:rPr/>
      </w:pPr>
      <w:r w:rsidDel="00000000" w:rsidR="00000000" w:rsidRPr="00000000">
        <w:rPr>
          <w:rtl w:val="0"/>
        </w:rPr>
        <w:t xml:space="preserve">Section II‑A describes the retrieval pipeline and how each resource feeds into the framework.</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vbe4bttc4sz" w:id="2"/>
      <w:bookmarkEnd w:id="2"/>
      <w:r w:rsidDel="00000000" w:rsidR="00000000" w:rsidRPr="00000000">
        <w:rPr>
          <w:b w:val="1"/>
          <w:bCs w:val="1"/>
          <w:color w:val="000000"/>
          <w:sz w:val="26"/>
          <w:szCs w:val="26"/>
          <w:rtl w:val="0"/>
        </w:rPr>
        <w:t xml:space="preserve">D. Machine Learning for Variant Pathogenicity and the Leakage Problem</w:t>
      </w:r>
    </w:p>
    <w:p w:rsidR="00000000" w:rsidDel="00000000" w:rsidP="00000000" w:rsidRDefault="00000000" w:rsidRPr="00000000" w14:paraId="0000001A">
      <w:pPr>
        <w:rPr/>
      </w:pPr>
      <w:r w:rsidDel="00000000" w:rsidR="00000000" w:rsidRPr="00000000">
        <w:rPr>
          <w:b w:val="1"/>
          <w:bCs w:val="1"/>
          <w:rtl w:val="0"/>
        </w:rPr>
        <w:t xml:space="preserve">1) The Case for Disease‑Specific Machine Learning</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It’s no surprise that CardioBoost outperforms proteome‑wide tools on cardiac variants. Training on disease‑relevant examples and engineering features that reflect the biology—like sarcomere domain boundaries, proximity to force‑transmission interfaces, and cardiac‑specific evolutionary patterns—captures signals that cross‑gene averages simply miss. Proteome‑wide models are powerful, but they’re blunt instruments for targeted panel interpretation.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ESM‑2</w:t>
      </w:r>
      <w:r w:rsidDel="00000000" w:rsidR="00000000" w:rsidRPr="00000000">
        <w:rPr>
          <w:rtl w:val="0"/>
        </w:rPr>
        <w:t xml:space="preserve"> adds something genuinely new. It’s a transformer trained on hundreds of millions of protein sequences via masked language modeling. Its representations carry rich structural and evolutionary information without requiring multiple sequence alignments at inference time. The key property we use is that mutations cause perturbations in ESM‑2 embedding space that reflect evolutionary fitness cost—independent of clinical labels. This independence is crucial for avoiding leakage.</w:t>
      </w:r>
    </w:p>
    <w:p w:rsidR="00000000" w:rsidDel="00000000" w:rsidP="00000000" w:rsidRDefault="00000000" w:rsidRPr="00000000" w14:paraId="0000001D">
      <w:pPr>
        <w:rPr/>
      </w:pPr>
      <w:r w:rsidDel="00000000" w:rsidR="00000000" w:rsidRPr="00000000">
        <w:rPr>
          <w:b w:val="1"/>
          <w:bCs w:val="1"/>
          <w:rtl w:val="0"/>
        </w:rPr>
        <w:t xml:space="preserve">2) The Data Leakage Problem in Clinical Genomics</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Leakage is common enough in ML‑based science that it deserves careful attention here. In variant pathogenicity prediction, Grimm et al. identified two forms: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Type I</w:t>
      </w:r>
      <w:r w:rsidDel="00000000" w:rsidR="00000000" w:rsidRPr="00000000">
        <w:rPr>
          <w:rtl w:val="0"/>
        </w:rPr>
        <w:t xml:space="preserve">: the same variant appears in both training and test sets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Type II</w:t>
      </w:r>
      <w:r w:rsidDel="00000000" w:rsidR="00000000" w:rsidRPr="00000000">
        <w:rPr>
          <w:rtl w:val="0"/>
        </w:rPr>
        <w:t xml:space="preserve">: different variants from the same protein appear in both splits</w:t>
      </w:r>
    </w:p>
    <w:p w:rsidR="00000000" w:rsidDel="00000000" w:rsidP="00000000" w:rsidRDefault="00000000" w:rsidRPr="00000000" w14:paraId="00000021">
      <w:pPr>
        <w:spacing w:after="240" w:before="240" w:lineRule="auto"/>
        <w:rPr/>
      </w:pPr>
      <w:r w:rsidDel="00000000" w:rsidR="00000000" w:rsidRPr="00000000">
        <w:rPr>
          <w:rtl w:val="0"/>
        </w:rPr>
        <w:t xml:space="preserve">Both inflate reported metrics and mask poor generalization.</w:t>
      </w:r>
    </w:p>
    <w:p w:rsidR="00000000" w:rsidDel="00000000" w:rsidP="00000000" w:rsidRDefault="00000000" w:rsidRPr="00000000" w14:paraId="00000022">
      <w:pPr>
        <w:spacing w:after="240" w:before="240" w:lineRule="auto"/>
        <w:rPr/>
      </w:pPr>
      <w:r w:rsidDel="00000000" w:rsidR="00000000" w:rsidRPr="00000000">
        <w:rPr>
          <w:rtl w:val="0"/>
        </w:rPr>
        <w:t xml:space="preserve">Feature leakage is another issue. If input features include population allele frequencies, ACMG classification fields, or clinical assertion counts, the model can end up learning the curation process rather than the biology. We address both dimensions at once: all ACMG‑derivable features are excluded from our input vectors, and model evaluation uses </w:t>
      </w:r>
      <w:r w:rsidDel="00000000" w:rsidR="00000000" w:rsidRPr="00000000">
        <w:rPr>
          <w:b w:val="1"/>
          <w:bCs w:val="1"/>
          <w:rtl w:val="0"/>
        </w:rPr>
        <w:t xml:space="preserve">LOGO cross‑validation</w:t>
      </w:r>
      <w:r w:rsidDel="00000000" w:rsidR="00000000" w:rsidRPr="00000000">
        <w:rPr>
          <w:rtl w:val="0"/>
        </w:rPr>
        <w:t xml:space="preserve"> to enforce complete gene‑level separation.</w:t>
      </w:r>
    </w:p>
    <w:p w:rsidR="00000000" w:rsidDel="00000000" w:rsidP="00000000" w:rsidRDefault="00000000" w:rsidRPr="00000000" w14:paraId="0000002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A. Data Curation and Problem Formulation</w:t>
      </w:r>
    </w:p>
    <w:p w:rsidR="00000000" w:rsidDel="00000000" w:rsidP="00000000" w:rsidRDefault="00000000" w:rsidRPr="00000000" w14:paraId="00000024">
      <w:pPr>
        <w:spacing w:after="240" w:before="240" w:lineRule="auto"/>
        <w:rPr/>
      </w:pPr>
      <w:r w:rsidDel="00000000" w:rsidR="00000000" w:rsidRPr="00000000">
        <w:rPr>
          <w:rtl w:val="0"/>
        </w:rPr>
        <w:t xml:space="preserve">We built the training dataset by aggregating and filtering clinical and functional annotations from three public repositories: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ClinVar</w:t>
      </w:r>
      <w:r w:rsidDel="00000000" w:rsidR="00000000" w:rsidRPr="00000000">
        <w:rPr>
          <w:rtl w:val="0"/>
        </w:rPr>
        <w:t xml:space="preserve"> provided all clinical pathogenicity labels. We restricted training to variants with a two‑star or higher review status, meaning at least two independent submitters agreed on the classification. The ClinVar VUS set across our nine‑gene panel became the inference cohort.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UniProt Swiss‑Prot</w:t>
      </w:r>
      <w:r w:rsidDel="00000000" w:rsidR="00000000" w:rsidRPr="00000000">
        <w:rPr>
          <w:rtl w:val="0"/>
        </w:rPr>
        <w:t xml:space="preserve"> supplied manually curated structural and sequence annotations for the nine proteins: canonical sequences, domain boundaries, secondary structure assignments (helix, strand, coil), disordered regions, binding sites, post‑translational modifications, and active sites. Both UniProt and ClinVar data were retrieved programmatically through the EBI Proteins API.</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gnomAD</w:t>
      </w:r>
      <w:r w:rsidDel="00000000" w:rsidR="00000000" w:rsidRPr="00000000">
        <w:rPr>
          <w:rtl w:val="0"/>
        </w:rPr>
        <w:t xml:space="preserve"> was used to populate the benign class. Variants with a global allele frequency above 0.1% were treated as benign proxies, counteracting the pathogenic‑heavy reporting bias in ClinVar.</w:t>
      </w:r>
    </w:p>
    <w:p w:rsidR="00000000" w:rsidDel="00000000" w:rsidP="00000000" w:rsidRDefault="00000000" w:rsidRPr="00000000" w14:paraId="00000028">
      <w:pPr>
        <w:rPr/>
      </w:pPr>
      <w:r w:rsidDel="00000000" w:rsidR="00000000" w:rsidRPr="00000000">
        <w:rPr>
          <w:b w:val="1"/>
          <w:bCs w:val="1"/>
          <w:rtl w:val="0"/>
        </w:rPr>
        <w:t xml:space="preserve">Dataset Statistics.</w:t>
      </w: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The labeled training set contains 1,954 missense variants—1,441 pathogenic (73.7%) and 513 benign (26.3%)—across the nine sarcomeric genes. The inference cohort has 8,137 variants total, of which 4,524 are VUS. Per‑gene counts are shown in Table I.</w:t>
      </w:r>
    </w:p>
    <w:p w:rsidR="00000000" w:rsidDel="00000000" w:rsidP="00000000" w:rsidRDefault="00000000" w:rsidRPr="00000000" w14:paraId="0000002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B. Feature Engineering and Embeddings</w:t>
      </w:r>
    </w:p>
    <w:p w:rsidR="00000000" w:rsidDel="00000000" w:rsidP="00000000" w:rsidRDefault="00000000" w:rsidRPr="00000000" w14:paraId="0000002B">
      <w:pPr>
        <w:spacing w:after="240" w:before="240" w:lineRule="auto"/>
        <w:rPr/>
      </w:pPr>
      <w:r w:rsidDel="00000000" w:rsidR="00000000" w:rsidRPr="00000000">
        <w:rPr>
          <w:rtl w:val="0"/>
        </w:rPr>
        <w:t xml:space="preserve">We built two feature sets: one capturing local biophysical properties of each substitution, and one capturing evolutionary context from a protein language model.</w:t>
      </w:r>
    </w:p>
    <w:p w:rsidR="00000000" w:rsidDel="00000000" w:rsidP="00000000" w:rsidRDefault="00000000" w:rsidRPr="00000000" w14:paraId="0000002C">
      <w:pPr>
        <w:rPr/>
      </w:pPr>
      <w:r w:rsidDel="00000000" w:rsidR="00000000" w:rsidRPr="00000000">
        <w:rPr>
          <w:b w:val="1"/>
          <w:bCs w:val="1"/>
          <w:rtl w:val="0"/>
        </w:rPr>
        <w:t xml:space="preserve">Leakage Prevention.</w:t>
      </w: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Six columns were excluded from the feature matrix before modeling: </w:t>
      </w:r>
      <w:r w:rsidDel="00000000" w:rsidR="00000000" w:rsidRPr="00000000">
        <w:rPr>
          <w:i w:val="1"/>
          <w:iCs w:val="1"/>
          <w:rtl w:val="0"/>
        </w:rPr>
        <w:t xml:space="preserve">pop_freq, clin_sig, review_status, disease, sources,</w:t>
      </w:r>
      <w:r w:rsidDel="00000000" w:rsidR="00000000" w:rsidRPr="00000000">
        <w:rPr>
          <w:rtl w:val="0"/>
        </w:rPr>
        <w:t xml:space="preserve"> and </w:t>
      </w:r>
      <w:r w:rsidDel="00000000" w:rsidR="00000000" w:rsidRPr="00000000">
        <w:rPr>
          <w:i w:val="1"/>
          <w:iCs w:val="1"/>
          <w:rtl w:val="0"/>
        </w:rPr>
        <w:t xml:space="preserve">genomic_loc</w:t>
      </w:r>
      <w:r w:rsidDel="00000000" w:rsidR="00000000" w:rsidRPr="00000000">
        <w:rPr>
          <w:rtl w:val="0"/>
        </w:rPr>
        <w:t xml:space="preserve">. These fields either encode ACMG/AMP criteria directly or are co‑derived from the same clinical workflows that produced the training labels. Keeping them would risk teaching the model database patterns instead of molecular biology. After exclusion, the tabular feature vector is a 51‑dimensional mix of numeric and boolean values.</w:t>
      </w:r>
    </w:p>
    <w:p w:rsidR="00000000" w:rsidDel="00000000" w:rsidP="00000000" w:rsidRDefault="00000000" w:rsidRPr="00000000" w14:paraId="0000002E">
      <w:pPr>
        <w:rPr/>
      </w:pPr>
      <w:r w:rsidDel="00000000" w:rsidR="00000000" w:rsidRPr="00000000">
        <w:rPr>
          <w:b w:val="1"/>
          <w:bCs w:val="1"/>
          <w:rtl w:val="0"/>
        </w:rPr>
        <w:t xml:space="preserve">Biophysical Descriptors.</w:t>
      </w: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Each variant is described by a 51‑dimensional vector, organized into five groups: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Physicochemical distance:</w:t>
      </w:r>
      <w:r w:rsidDel="00000000" w:rsidR="00000000" w:rsidRPr="00000000">
        <w:rPr>
          <w:rtl w:val="0"/>
        </w:rPr>
        <w:t xml:space="preserve"> Grantham distance between wild‑type and mutant residues, based on composition, polarity, and molecular volume.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Charge and size alterations:</w:t>
      </w:r>
      <w:r w:rsidDel="00000000" w:rsidR="00000000" w:rsidRPr="00000000">
        <w:rPr>
          <w:rFonts w:ascii="Arial Unicode MS" w:cs="Arial Unicode MS" w:eastAsia="Arial Unicode MS" w:hAnsi="Arial Unicode MS"/>
          <w:rtl w:val="0"/>
        </w:rPr>
        <w:t xml:space="preserve"> Explicit encoding of wild‑type and mutant charge classes (−1, 0, +1) and size classes (1, 2, 3), plus signed deltas (Δcharge, Δsize).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Domain‑level context:</w:t>
      </w:r>
      <w:r w:rsidDel="00000000" w:rsidR="00000000" w:rsidRPr="00000000">
        <w:rPr>
          <w:rtl w:val="0"/>
        </w:rPr>
        <w:t xml:space="preserve"> Flags for whether the mutation falls in a motor domain, coiled‑coil segment, regulatory zone, or other annotated functional region.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Functional site proximity:</w:t>
      </w:r>
      <w:r w:rsidDel="00000000" w:rsidR="00000000" w:rsidRPr="00000000">
        <w:rPr>
          <w:rtl w:val="0"/>
        </w:rPr>
        <w:t xml:space="preserve"> Indicators for proximity to active sites, ligand‑binding sites, metal‑binding sites, phosphorylation targets, and local secondary structure type (helix, strand, coil).</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Relative position:</w:t>
      </w:r>
      <w:r w:rsidDel="00000000" w:rsidR="00000000" w:rsidRPr="00000000">
        <w:rPr>
          <w:rtl w:val="0"/>
        </w:rPr>
        <w:t xml:space="preserve"> Normalized sequence coordinate (ρ = position / protein length).</w:t>
      </w:r>
    </w:p>
    <w:p w:rsidR="00000000" w:rsidDel="00000000" w:rsidP="00000000" w:rsidRDefault="00000000" w:rsidRPr="00000000" w14:paraId="00000035">
      <w:pPr>
        <w:spacing w:after="240" w:before="240" w:lineRule="auto"/>
        <w:rPr/>
      </w:pPr>
      <w:r w:rsidDel="00000000" w:rsidR="00000000" w:rsidRPr="00000000">
        <w:rPr>
          <w:rtl w:val="0"/>
        </w:rPr>
        <w:t xml:space="preserve">Where UniProt annotations were missing, we imputed zeros—a conservative choice that avoids over‑interpreting unannotated regions.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