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ind w:left="2610" w:right="-360" w:firstLine="270"/>
        <w:contextualSpacing w:val="0"/>
        <w:jc w:val="left"/>
        <w:rPr>
          <w:rFonts w:ascii="Helvetica Neue" w:cs="Helvetica Neue" w:eastAsia="Helvetica Neue" w:hAnsi="Helvetica Neue"/>
          <w:b w:val="1"/>
          <w:sz w:val="32"/>
          <w:szCs w:val="32"/>
        </w:r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-257174</wp:posOffset>
            </wp:positionH>
            <wp:positionV relativeFrom="paragraph">
              <wp:posOffset>0</wp:posOffset>
            </wp:positionV>
            <wp:extent cx="1578728" cy="604838"/>
            <wp:effectExtent b="0" l="0" r="0" t="0"/>
            <wp:wrapSquare wrapText="bothSides" distB="0" distT="0" distL="0" distR="0"/>
            <wp:docPr descr="logo_v1.png" id="1" name="image2.png"/>
            <a:graphic>
              <a:graphicData uri="http://schemas.openxmlformats.org/drawingml/2006/picture">
                <pic:pic>
                  <pic:nvPicPr>
                    <pic:cNvPr descr="logo_v1.png" id="0" name="image2.png"/>
                    <pic:cNvPicPr preferRelativeResize="0"/>
                  </pic:nvPicPr>
                  <pic:blipFill>
                    <a:blip r:embed="rId5"/>
                    <a:srcRect b="0" l="0" r="0" t="0"/>
                    <a:stretch>
                      <a:fillRect/>
                    </a:stretch>
                  </pic:blipFill>
                  <pic:spPr>
                    <a:xfrm>
                      <a:off x="0" y="0"/>
                      <a:ext cx="1578728" cy="604838"/>
                    </a:xfrm>
                    <a:prstGeom prst="rect"/>
                    <a:ln/>
                  </pic:spPr>
                </pic:pic>
              </a:graphicData>
            </a:graphic>
          </wp:anchor>
        </w:drawing>
      </w:r>
    </w:p>
    <w:p w:rsidR="00000000" w:rsidDel="00000000" w:rsidP="00000000" w:rsidRDefault="00000000" w:rsidRPr="00000000">
      <w:pPr>
        <w:pBdr/>
        <w:ind w:left="2610" w:right="-360" w:firstLine="270"/>
        <w:contextualSpacing w:val="0"/>
        <w:jc w:val="left"/>
        <w:rPr>
          <w:rFonts w:ascii="Helvetica Neue" w:cs="Helvetica Neue" w:eastAsia="Helvetica Neue" w:hAnsi="Helvetica Neue"/>
          <w:b w:val="1"/>
          <w:sz w:val="32"/>
          <w:szCs w:val="32"/>
        </w:rPr>
      </w:pPr>
      <w:r w:rsidDel="00000000" w:rsidR="00000000" w:rsidRPr="00000000">
        <w:rPr>
          <w:rtl w:val="0"/>
        </w:rPr>
      </w:r>
    </w:p>
    <w:p w:rsidR="00000000" w:rsidDel="00000000" w:rsidP="00000000" w:rsidRDefault="00000000" w:rsidRPr="00000000">
      <w:pPr>
        <w:pBdr/>
        <w:ind w:left="2610" w:right="-360" w:firstLine="270"/>
        <w:contextualSpacing w:val="0"/>
        <w:jc w:val="left"/>
        <w:rPr>
          <w:rFonts w:ascii="Helvetica Neue" w:cs="Helvetica Neue" w:eastAsia="Helvetica Neue" w:hAnsi="Helvetica Neue"/>
          <w:b w:val="1"/>
          <w:sz w:val="30"/>
          <w:szCs w:val="30"/>
        </w:rPr>
      </w:pPr>
      <w:r w:rsidDel="00000000" w:rsidR="00000000" w:rsidRPr="00000000">
        <w:rPr>
          <w:rFonts w:ascii="Helvetica Neue" w:cs="Helvetica Neue" w:eastAsia="Helvetica Neue" w:hAnsi="Helvetica Neue"/>
          <w:b w:val="1"/>
          <w:sz w:val="32"/>
          <w:szCs w:val="32"/>
          <w:rtl w:val="0"/>
        </w:rPr>
        <w:t xml:space="preserve">Luminesense Mockup Guide</w:t>
      </w:r>
      <w:r w:rsidDel="00000000" w:rsidR="00000000" w:rsidRPr="00000000">
        <w:rPr>
          <w:rtl w:val="0"/>
        </w:rPr>
      </w:r>
    </w:p>
    <w:p w:rsidR="00000000" w:rsidDel="00000000" w:rsidP="00000000" w:rsidRDefault="00000000" w:rsidRPr="00000000">
      <w:pPr>
        <w:widowControl w:val="0"/>
        <w:pBdr/>
        <w:spacing w:line="240" w:lineRule="auto"/>
        <w:ind w:left="-270" w:right="-360" w:firstLine="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Michael Haley  - Tanatsigwa Hungwe - Caroline Jones</w:t>
      </w:r>
    </w:p>
    <w:p w:rsidR="00000000" w:rsidDel="00000000" w:rsidP="00000000" w:rsidRDefault="00000000" w:rsidRPr="00000000">
      <w:pPr>
        <w:widowControl w:val="0"/>
        <w:pBdr/>
        <w:spacing w:line="240" w:lineRule="auto"/>
        <w:ind w:left="-270" w:right="-360" w:firstLine="0"/>
        <w:contextualSpacing w:val="0"/>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Sneha Pradhan - Harry Zhao</w:t>
      </w:r>
    </w:p>
    <w:p w:rsidR="00000000" w:rsidDel="00000000" w:rsidP="00000000" w:rsidRDefault="00000000" w:rsidRPr="00000000">
      <w:pPr>
        <w:widowControl w:val="0"/>
        <w:pBdr/>
        <w:spacing w:line="240" w:lineRule="auto"/>
        <w:ind w:left="-270" w:right="-360" w:firstLine="0"/>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pPr>
        <w:widowControl w:val="0"/>
        <w:pBdr/>
        <w:spacing w:line="240" w:lineRule="auto"/>
        <w:ind w:left="-270" w:right="-360" w:firstLine="0"/>
        <w:contextualSpacing w:val="0"/>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pPr>
        <w:pBdr/>
        <w:ind w:left="-270" w:right="-360" w:firstLine="0"/>
        <w:contextualSpacing w:val="0"/>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pPr>
        <w:numPr>
          <w:ilvl w:val="0"/>
          <w:numId w:val="1"/>
        </w:numPr>
        <w:pBdr/>
        <w:ind w:left="-270" w:right="-360" w:firstLine="0"/>
        <w:contextualSpacing w:val="1"/>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sz w:val="26"/>
          <w:szCs w:val="26"/>
          <w:rtl w:val="0"/>
        </w:rPr>
        <w:t xml:space="preserve">Wearable Device</w:t>
      </w:r>
      <w:r w:rsidDel="00000000" w:rsidR="00000000" w:rsidRPr="00000000">
        <w:rPr>
          <w:rFonts w:ascii="Helvetica Neue" w:cs="Helvetica Neue" w:eastAsia="Helvetica Neue" w:hAnsi="Helvetica Neue"/>
          <w:sz w:val="26"/>
          <w:szCs w:val="26"/>
          <w:rtl w:val="0"/>
        </w:rPr>
        <w:t xml:space="preserve"> - This device is designed to be worn on the wrist like a watch. It contains the Intel Curie chip. The chip is designed specifically for wearables and it contains a 6-axis IMU (accelerometer and gyroscope), a low powered Bluetooth module. The device will also include a photodiode and battery to power the chip.</w:t>
      </w:r>
    </w:p>
    <w:p w:rsidR="00000000" w:rsidDel="00000000" w:rsidP="00000000" w:rsidRDefault="00000000" w:rsidRPr="00000000">
      <w:pPr>
        <w:pBdr/>
        <w:ind w:left="-270" w:right="-360" w:firstLine="0"/>
        <w:contextualSpacing w:val="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pPr>
        <w:numPr>
          <w:ilvl w:val="0"/>
          <w:numId w:val="1"/>
        </w:numPr>
        <w:pBdr/>
        <w:ind w:left="-270" w:right="-360" w:firstLine="0"/>
        <w:contextualSpacing w:val="1"/>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sz w:val="26"/>
          <w:szCs w:val="26"/>
          <w:rtl w:val="0"/>
        </w:rPr>
        <w:t xml:space="preserve">Luminaires</w:t>
      </w:r>
      <w:r w:rsidDel="00000000" w:rsidR="00000000" w:rsidRPr="00000000">
        <w:rPr>
          <w:rFonts w:ascii="Helvetica Neue" w:cs="Helvetica Neue" w:eastAsia="Helvetica Neue" w:hAnsi="Helvetica Neue"/>
          <w:sz w:val="26"/>
          <w:szCs w:val="26"/>
          <w:rtl w:val="0"/>
        </w:rPr>
        <w:t xml:space="preserve"> - The luminaires will be IP enabled and will be able to send unique optical codes to the wearable using pulse width modulation. The codes will include their unique identifier.  As the user interacts with the room (actively and passively), the Central Base will communicate with each luminaire over a local network via Photons.</w:t>
      </w:r>
    </w:p>
    <w:p w:rsidR="00000000" w:rsidDel="00000000" w:rsidP="00000000" w:rsidRDefault="00000000" w:rsidRPr="00000000">
      <w:pPr>
        <w:pBdr/>
        <w:ind w:left="-270" w:right="-360" w:firstLine="0"/>
        <w:contextualSpacing w:val="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pPr>
        <w:numPr>
          <w:ilvl w:val="0"/>
          <w:numId w:val="1"/>
        </w:numPr>
        <w:pBdr/>
        <w:ind w:left="-270" w:right="-360" w:firstLine="0"/>
        <w:contextualSpacing w:val="1"/>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sz w:val="26"/>
          <w:szCs w:val="26"/>
          <w:rtl w:val="0"/>
        </w:rPr>
        <w:t xml:space="preserve">Central Base</w:t>
      </w:r>
      <w:r w:rsidDel="00000000" w:rsidR="00000000" w:rsidRPr="00000000">
        <w:rPr>
          <w:rFonts w:ascii="Helvetica Neue" w:cs="Helvetica Neue" w:eastAsia="Helvetica Neue" w:hAnsi="Helvetica Neue"/>
          <w:sz w:val="26"/>
          <w:szCs w:val="26"/>
          <w:rtl w:val="0"/>
        </w:rPr>
        <w:t xml:space="preserve"> - The central base is comprised of a Raspberry Pi, Particle Photon and a router. The photon receives, processes and aggregates information sent from the wearable. The pi is used as a local server to the users who do not want to use the cloud based server. The central base controls the luminaires by sending instructions over wifi via Photon.</w:t>
      </w:r>
    </w:p>
    <w:p w:rsidR="00000000" w:rsidDel="00000000" w:rsidP="00000000" w:rsidRDefault="00000000" w:rsidRPr="00000000">
      <w:pPr>
        <w:pBdr/>
        <w:ind w:left="-270" w:right="-360" w:firstLine="0"/>
        <w:contextualSpacing w:val="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pPr>
        <w:numPr>
          <w:ilvl w:val="0"/>
          <w:numId w:val="1"/>
        </w:numPr>
        <w:pBdr/>
        <w:ind w:left="-270" w:right="-360" w:firstLine="0"/>
        <w:contextualSpacing w:val="1"/>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sz w:val="26"/>
          <w:szCs w:val="26"/>
          <w:rtl w:val="0"/>
        </w:rPr>
        <w:t xml:space="preserve">Cloud Server</w:t>
      </w:r>
      <w:r w:rsidDel="00000000" w:rsidR="00000000" w:rsidRPr="00000000">
        <w:rPr>
          <w:rFonts w:ascii="Helvetica Neue" w:cs="Helvetica Neue" w:eastAsia="Helvetica Neue" w:hAnsi="Helvetica Neue"/>
          <w:sz w:val="26"/>
          <w:szCs w:val="26"/>
          <w:rtl w:val="0"/>
        </w:rPr>
        <w:t xml:space="preserve"> - For the database, the cloud service (Amazon Web Services </w:t>
      </w:r>
      <w:r w:rsidDel="00000000" w:rsidR="00000000" w:rsidRPr="00000000">
        <w:rPr>
          <w:rFonts w:ascii="Helvetica Neue" w:cs="Helvetica Neue" w:eastAsia="Helvetica Neue" w:hAnsi="Helvetica Neue"/>
          <w:b w:val="1"/>
          <w:sz w:val="26"/>
          <w:szCs w:val="26"/>
          <w:highlight w:val="white"/>
          <w:vertAlign w:val="superscript"/>
          <w:rtl w:val="0"/>
        </w:rPr>
        <w:t xml:space="preserve">®</w:t>
      </w:r>
      <w:r w:rsidDel="00000000" w:rsidR="00000000" w:rsidRPr="00000000">
        <w:rPr>
          <w:rFonts w:ascii="Helvetica Neue" w:cs="Helvetica Neue" w:eastAsia="Helvetica Neue" w:hAnsi="Helvetica Neue"/>
          <w:sz w:val="26"/>
          <w:szCs w:val="26"/>
          <w:rtl w:val="0"/>
        </w:rPr>
        <w:t xml:space="preserve">) will be used t</w:t>
      </w:r>
      <w:r w:rsidDel="00000000" w:rsidR="00000000" w:rsidRPr="00000000">
        <w:rPr>
          <w:rFonts w:ascii="Helvetica Neue" w:cs="Helvetica Neue" w:eastAsia="Helvetica Neue" w:hAnsi="Helvetica Neue"/>
          <w:sz w:val="26"/>
          <w:szCs w:val="26"/>
          <w:rtl w:val="0"/>
        </w:rPr>
        <w:t xml:space="preserve">o store user preferences, energy consumption data and system functionality results.</w:t>
      </w:r>
    </w:p>
    <w:p w:rsidR="00000000" w:rsidDel="00000000" w:rsidP="00000000" w:rsidRDefault="00000000" w:rsidRPr="00000000">
      <w:pPr>
        <w:pBdr/>
        <w:ind w:right="-360"/>
        <w:contextualSpacing w:val="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pPr>
        <w:numPr>
          <w:ilvl w:val="0"/>
          <w:numId w:val="1"/>
        </w:numPr>
        <w:pBdr/>
        <w:ind w:left="-270" w:right="-360" w:firstLine="0"/>
        <w:contextualSpacing w:val="1"/>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sz w:val="26"/>
          <w:szCs w:val="26"/>
          <w:rtl w:val="0"/>
        </w:rPr>
        <w:t xml:space="preserve">Web Application </w:t>
      </w:r>
      <w:r w:rsidDel="00000000" w:rsidR="00000000" w:rsidRPr="00000000">
        <w:rPr>
          <w:rFonts w:ascii="Helvetica Neue" w:cs="Helvetica Neue" w:eastAsia="Helvetica Neue" w:hAnsi="Helvetica Neue"/>
          <w:sz w:val="26"/>
          <w:szCs w:val="26"/>
          <w:rtl w:val="0"/>
        </w:rPr>
        <w:t xml:space="preserve">- Sleek interface designed to access, restore user preferences, and view the user’s energy savings over time. </w:t>
      </w:r>
    </w:p>
    <w:p w:rsidR="00000000" w:rsidDel="00000000" w:rsidP="00000000" w:rsidRDefault="00000000" w:rsidRPr="00000000">
      <w:pPr>
        <w:pBdr/>
        <w:ind w:left="-270" w:right="-360" w:firstLine="0"/>
        <w:contextualSpacing w:val="0"/>
        <w:rPr>
          <w:rFonts w:ascii="Helvetica Neue" w:cs="Helvetica Neue" w:eastAsia="Helvetica Neue" w:hAnsi="Helvetica Neue"/>
          <w:sz w:val="26"/>
          <w:szCs w:val="26"/>
        </w:rPr>
      </w:pPr>
      <w:r w:rsidDel="00000000" w:rsidR="00000000" w:rsidRPr="00000000">
        <w:rPr>
          <w:rtl w:val="0"/>
        </w:rPr>
      </w:r>
    </w:p>
    <w:p w:rsidR="00000000" w:rsidDel="00000000" w:rsidP="00000000" w:rsidRDefault="00000000" w:rsidRPr="00000000">
      <w:pPr>
        <w:numPr>
          <w:ilvl w:val="0"/>
          <w:numId w:val="1"/>
        </w:numPr>
        <w:pBdr/>
        <w:ind w:left="-270" w:right="-360" w:firstLine="0"/>
        <w:contextualSpacing w:val="1"/>
        <w:rPr>
          <w:rFonts w:ascii="Helvetica Neue" w:cs="Helvetica Neue" w:eastAsia="Helvetica Neue" w:hAnsi="Helvetica Neue"/>
          <w:sz w:val="26"/>
          <w:szCs w:val="26"/>
        </w:rPr>
      </w:pPr>
      <w:r w:rsidDel="00000000" w:rsidR="00000000" w:rsidRPr="00000000">
        <w:rPr>
          <w:rFonts w:ascii="Helvetica Neue" w:cs="Helvetica Neue" w:eastAsia="Helvetica Neue" w:hAnsi="Helvetica Neue"/>
          <w:b w:val="1"/>
          <w:sz w:val="26"/>
          <w:szCs w:val="26"/>
          <w:rtl w:val="0"/>
        </w:rPr>
        <w:t xml:space="preserve">Router</w:t>
      </w:r>
      <w:r w:rsidDel="00000000" w:rsidR="00000000" w:rsidRPr="00000000">
        <w:rPr>
          <w:rFonts w:ascii="Helvetica Neue" w:cs="Helvetica Neue" w:eastAsia="Helvetica Neue" w:hAnsi="Helvetica Neue"/>
          <w:sz w:val="26"/>
          <w:szCs w:val="26"/>
          <w:rtl w:val="0"/>
        </w:rPr>
        <w:t xml:space="preserve"> - A router is used to provide a local network as well as connect the Luminesense system to the Internet through an Internet service provider.</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