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Contract</w:t>
      </w:r>
    </w:p>
    <w:p>
      <w:pPr>
        <w:jc w:val="center"/>
      </w:pPr>
      <w:r>
        <w:t>Retail Orders — KPI &amp; Business Intelligence Internship</w:t>
      </w:r>
    </w:p>
    <w:p>
      <w:pPr>
        <w:pStyle w:val="Heading1"/>
      </w:pPr>
      <w:r>
        <w:t>Purpose</w:t>
      </w:r>
    </w:p>
    <w:p>
      <w:r>
        <w:t>This contract defines the minimum data-quality expectations for the retail orders dataset before business KPIs are published. It establishes measurable rules, failure thresholds, severity and actions.</w:t>
      </w:r>
    </w:p>
    <w:p>
      <w:pPr>
        <w:pStyle w:val="Heading1"/>
      </w:pPr>
      <w:r>
        <w:t>Data owner and operating model</w:t>
      </w:r>
    </w:p>
    <w:p>
      <w:r>
        <w:t>Decision owner: Sales/Operations. Supporting owners: Finance, Payments and Data Engineering. The dataset is expected to refresh daily; payment monitoring can be refreshed hourly.</w:t>
      </w:r>
    </w:p>
    <w:p>
      <w:pPr>
        <w:pStyle w:val="Heading1"/>
      </w:pPr>
      <w:r>
        <w:t>Quality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Check ID</w:t>
            </w:r>
          </w:p>
        </w:tc>
        <w:tc>
          <w:tcPr>
            <w:tcW w:type="dxa" w:w="1440"/>
          </w:tcPr>
          <w:p>
            <w:r>
              <w:t>Dimension</w:t>
            </w:r>
          </w:p>
        </w:tc>
        <w:tc>
          <w:tcPr>
            <w:tcW w:type="dxa" w:w="1440"/>
          </w:tcPr>
          <w:p>
            <w:r>
              <w:t>Rule</w:t>
            </w:r>
          </w:p>
        </w:tc>
        <w:tc>
          <w:tcPr>
            <w:tcW w:type="dxa" w:w="1440"/>
          </w:tcPr>
          <w:p>
            <w:r>
              <w:t>Failure Threshold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Escalation / Action</w:t>
            </w:r>
          </w:p>
        </w:tc>
      </w:tr>
      <w:tr>
        <w:tc>
          <w:tcPr>
            <w:tcW w:type="dxa" w:w="1440"/>
          </w:tcPr>
          <w:p>
            <w:r>
              <w:t>DQ-01</w:t>
            </w:r>
          </w:p>
        </w:tc>
        <w:tc>
          <w:tcPr>
            <w:tcW w:type="dxa" w:w="1440"/>
          </w:tcPr>
          <w:p>
            <w:r>
              <w:t>Completeness</w:t>
            </w:r>
          </w:p>
        </w:tc>
        <w:tc>
          <w:tcPr>
            <w:tcW w:type="dxa" w:w="1440"/>
          </w:tcPr>
          <w:p>
            <w:r>
              <w:t>Required fields order_id, order_date, customer_segment, city, category, quantity, unit_price, payment_status must be non-null</w:t>
            </w:r>
          </w:p>
        </w:tc>
        <w:tc>
          <w:tcPr>
            <w:tcW w:type="dxa" w:w="1440"/>
          </w:tcPr>
          <w:p>
            <w:r>
              <w:t>Any missing value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Block KPI publication; fix source and rerun profile.</w:t>
            </w:r>
          </w:p>
        </w:tc>
      </w:tr>
      <w:tr>
        <w:tc>
          <w:tcPr>
            <w:tcW w:type="dxa" w:w="1440"/>
          </w:tcPr>
          <w:p>
            <w:r>
              <w:t>DQ-02</w:t>
            </w:r>
          </w:p>
        </w:tc>
        <w:tc>
          <w:tcPr>
            <w:tcW w:type="dxa" w:w="1440"/>
          </w:tcPr>
          <w:p>
            <w:r>
              <w:t>Uniqueness</w:t>
            </w:r>
          </w:p>
        </w:tc>
        <w:tc>
          <w:tcPr>
            <w:tcW w:type="dxa" w:w="1440"/>
          </w:tcPr>
          <w:p>
            <w:r>
              <w:t>order_id must be unique</w:t>
            </w:r>
          </w:p>
        </w:tc>
        <w:tc>
          <w:tcPr>
            <w:tcW w:type="dxa" w:w="1440"/>
          </w:tcPr>
          <w:p>
            <w:r>
              <w:t>Any duplicate order_id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Quarantine duplicate rows; confirm source-of-truth order record.</w:t>
            </w:r>
          </w:p>
        </w:tc>
      </w:tr>
      <w:tr>
        <w:tc>
          <w:tcPr>
            <w:tcW w:type="dxa" w:w="1440"/>
          </w:tcPr>
          <w:p>
            <w:r>
              <w:t>DQ-03</w:t>
            </w:r>
          </w:p>
        </w:tc>
        <w:tc>
          <w:tcPr>
            <w:tcW w:type="dxa" w:w="1440"/>
          </w:tcPr>
          <w:p>
            <w:r>
              <w:t>Validity</w:t>
            </w:r>
          </w:p>
        </w:tc>
        <w:tc>
          <w:tcPr>
            <w:tcW w:type="dxa" w:w="1440"/>
          </w:tcPr>
          <w:p>
            <w:r>
              <w:t>order_date parses as date and falls within 2025-01-01 through today</w:t>
            </w:r>
          </w:p>
        </w:tc>
        <w:tc>
          <w:tcPr>
            <w:tcW w:type="dxa" w:w="1440"/>
          </w:tcPr>
          <w:p>
            <w:r>
              <w:t>Any invalid/out-of-range date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Reject affected rows and correct source date.</w:t>
            </w:r>
          </w:p>
        </w:tc>
      </w:tr>
      <w:tr>
        <w:tc>
          <w:tcPr>
            <w:tcW w:type="dxa" w:w="1440"/>
          </w:tcPr>
          <w:p>
            <w:r>
              <w:t>DQ-04</w:t>
            </w:r>
          </w:p>
        </w:tc>
        <w:tc>
          <w:tcPr>
            <w:tcW w:type="dxa" w:w="1440"/>
          </w:tcPr>
          <w:p>
            <w:r>
              <w:t>Validity</w:t>
            </w:r>
          </w:p>
        </w:tc>
        <w:tc>
          <w:tcPr>
            <w:tcW w:type="dxa" w:w="1440"/>
          </w:tcPr>
          <w:p>
            <w:r>
              <w:t>quantity is an integer &gt; 0</w:t>
            </w:r>
          </w:p>
        </w:tc>
        <w:tc>
          <w:tcPr>
            <w:tcW w:type="dxa" w:w="1440"/>
          </w:tcPr>
          <w:p>
            <w:r>
              <w:t>Any invalid quantity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Reject affected rows; investigate source typing/entry.</w:t>
            </w:r>
          </w:p>
        </w:tc>
      </w:tr>
      <w:tr>
        <w:tc>
          <w:tcPr>
            <w:tcW w:type="dxa" w:w="1440"/>
          </w:tcPr>
          <w:p>
            <w:r>
              <w:t>DQ-05</w:t>
            </w:r>
          </w:p>
        </w:tc>
        <w:tc>
          <w:tcPr>
            <w:tcW w:type="dxa" w:w="1440"/>
          </w:tcPr>
          <w:p>
            <w:r>
              <w:t>Validity</w:t>
            </w:r>
          </w:p>
        </w:tc>
        <w:tc>
          <w:tcPr>
            <w:tcW w:type="dxa" w:w="1440"/>
          </w:tcPr>
          <w:p>
            <w:r>
              <w:t>unit_price is numeric and &gt;= 0</w:t>
            </w:r>
          </w:p>
        </w:tc>
        <w:tc>
          <w:tcPr>
            <w:tcW w:type="dxa" w:w="1440"/>
          </w:tcPr>
          <w:p>
            <w:r>
              <w:t>Any invalid price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Quarantine affected rows and validate pricing master.</w:t>
            </w:r>
          </w:p>
        </w:tc>
      </w:tr>
      <w:tr>
        <w:tc>
          <w:tcPr>
            <w:tcW w:type="dxa" w:w="1440"/>
          </w:tcPr>
          <w:p>
            <w:r>
              <w:t>DQ-06</w:t>
            </w:r>
          </w:p>
        </w:tc>
        <w:tc>
          <w:tcPr>
            <w:tcW w:type="dxa" w:w="1440"/>
          </w:tcPr>
          <w:p>
            <w:r>
              <w:t>Validity</w:t>
            </w:r>
          </w:p>
        </w:tc>
        <w:tc>
          <w:tcPr>
            <w:tcW w:type="dxa" w:w="1440"/>
          </w:tcPr>
          <w:p>
            <w:r>
              <w:t>discount_pct is numeric and between 0 and 100</w:t>
            </w:r>
          </w:p>
        </w:tc>
        <w:tc>
          <w:tcPr>
            <w:tcW w:type="dxa" w:w="1440"/>
          </w:tcPr>
          <w:p>
            <w:r>
              <w:t>Any out-of-range value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Quarantine row; correct discount before KPI use.</w:t>
            </w:r>
          </w:p>
        </w:tc>
      </w:tr>
      <w:tr>
        <w:tc>
          <w:tcPr>
            <w:tcW w:type="dxa" w:w="1440"/>
          </w:tcPr>
          <w:p>
            <w:r>
              <w:t>DQ-07</w:t>
            </w:r>
          </w:p>
        </w:tc>
        <w:tc>
          <w:tcPr>
            <w:tcW w:type="dxa" w:w="1440"/>
          </w:tcPr>
          <w:p>
            <w:r>
              <w:t>Consistency</w:t>
            </w:r>
          </w:p>
        </w:tc>
        <w:tc>
          <w:tcPr>
            <w:tcW w:type="dxa" w:w="1440"/>
          </w:tcPr>
          <w:p>
            <w:r>
              <w:t>customer_segment normalized to Student/Fresher/Professional</w:t>
            </w:r>
          </w:p>
        </w:tc>
        <w:tc>
          <w:tcPr>
            <w:tcW w:type="dxa" w:w="1440"/>
          </w:tcPr>
          <w:p>
            <w:r>
              <w:t>Any value outside allowed set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Normalize case/spacing; if unresolved, route to data owner.</w:t>
            </w:r>
          </w:p>
        </w:tc>
      </w:tr>
      <w:tr>
        <w:tc>
          <w:tcPr>
            <w:tcW w:type="dxa" w:w="1440"/>
          </w:tcPr>
          <w:p>
            <w:r>
              <w:t>DQ-08</w:t>
            </w:r>
          </w:p>
        </w:tc>
        <w:tc>
          <w:tcPr>
            <w:tcW w:type="dxa" w:w="1440"/>
          </w:tcPr>
          <w:p>
            <w:r>
              <w:t>Consistency</w:t>
            </w:r>
          </w:p>
        </w:tc>
        <w:tc>
          <w:tcPr>
            <w:tcW w:type="dxa" w:w="1440"/>
          </w:tcPr>
          <w:p>
            <w:r>
              <w:t>category normalized to Learning Kit/Course Access/Mentor Session</w:t>
            </w:r>
          </w:p>
        </w:tc>
        <w:tc>
          <w:tcPr>
            <w:tcW w:type="dxa" w:w="1440"/>
          </w:tcPr>
          <w:p>
            <w:r>
              <w:t>Any value outside allowed set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Normalize labels; unresolved values require business-owner review.</w:t>
            </w:r>
          </w:p>
        </w:tc>
      </w:tr>
      <w:tr>
        <w:tc>
          <w:tcPr>
            <w:tcW w:type="dxa" w:w="1440"/>
          </w:tcPr>
          <w:p>
            <w:r>
              <w:t>DQ-09</w:t>
            </w:r>
          </w:p>
        </w:tc>
        <w:tc>
          <w:tcPr>
            <w:tcW w:type="dxa" w:w="1440"/>
          </w:tcPr>
          <w:p>
            <w:r>
              <w:t>Consistency</w:t>
            </w:r>
          </w:p>
        </w:tc>
        <w:tc>
          <w:tcPr>
            <w:tcW w:type="dxa" w:w="1440"/>
          </w:tcPr>
          <w:p>
            <w:r>
              <w:t>payment_status normalized to Paid/Pending/Failed/Refunded</w:t>
            </w:r>
          </w:p>
        </w:tc>
        <w:tc>
          <w:tcPr>
            <w:tcW w:type="dxa" w:w="1440"/>
          </w:tcPr>
          <w:p>
            <w:r>
              <w:t>Any value outside allowed set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Correct status mapping and re-run payment KPIs.</w:t>
            </w:r>
          </w:p>
        </w:tc>
      </w:tr>
      <w:tr>
        <w:tc>
          <w:tcPr>
            <w:tcW w:type="dxa" w:w="1440"/>
          </w:tcPr>
          <w:p>
            <w:r>
              <w:t>DQ-10</w:t>
            </w:r>
          </w:p>
        </w:tc>
        <w:tc>
          <w:tcPr>
            <w:tcW w:type="dxa" w:w="1440"/>
          </w:tcPr>
          <w:p>
            <w:r>
              <w:t>Freshness</w:t>
            </w:r>
          </w:p>
        </w:tc>
        <w:tc>
          <w:tcPr>
            <w:tcW w:type="dxa" w:w="1440"/>
          </w:tcPr>
          <w:p>
            <w:r>
              <w:t>Latest order_date must be within the expected daily ingestion window</w:t>
            </w:r>
          </w:p>
        </w:tc>
        <w:tc>
          <w:tcPr>
            <w:tcW w:type="dxa" w:w="1440"/>
          </w:tcPr>
          <w:p>
            <w:r>
              <w:t>No record in expected window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Alert data engineering/operations and hold daily report.</w:t>
            </w:r>
          </w:p>
        </w:tc>
      </w:tr>
    </w:tbl>
    <w:p>
      <w:pPr>
        <w:pStyle w:val="Heading1"/>
      </w:pPr>
      <w:r>
        <w:t>Release gate</w:t>
      </w:r>
    </w:p>
    <w:p>
      <w:r>
        <w:t>A KPI publication is blocked when any Critical rule fails. High-severity failures require the affected rows or KPI scope to be quarantined and the owner notified. Medium failures may be corrected through documented normalization; unresolved exceptions must be recorded before publication.</w:t>
      </w:r>
    </w:p>
    <w:p>
      <w:pPr>
        <w:pStyle w:val="Heading1"/>
      </w:pPr>
      <w:r>
        <w:t>Escalation sequence</w:t>
      </w:r>
    </w:p>
    <w:p>
      <w:pPr>
        <w:pStyle w:val="ListNumber"/>
      </w:pPr>
      <w:r>
        <w:t>Detect and log the failed rule with row count and affected order IDs.</w:t>
      </w:r>
    </w:p>
    <w:p>
      <w:pPr>
        <w:pStyle w:val="ListNumber"/>
      </w:pPr>
      <w:r>
        <w:t>Quarantine affected records from KPI calculations where applicable.</w:t>
      </w:r>
    </w:p>
    <w:p>
      <w:pPr>
        <w:pStyle w:val="ListNumber"/>
      </w:pPr>
      <w:r>
        <w:t>Notify the relevant data owner and data engineering/operations.</w:t>
      </w:r>
    </w:p>
    <w:p>
      <w:pPr>
        <w:pStyle w:val="ListNumber"/>
      </w:pPr>
      <w:r>
        <w:t>Correct or map the source values, then rerun the executable profile.</w:t>
      </w:r>
    </w:p>
    <w:p>
      <w:pPr>
        <w:pStyle w:val="ListNumber"/>
      </w:pPr>
      <w:r>
        <w:t>Publish KPIs only when Critical failures are cleared and High failures are resolved or formally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