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sz w:val="34"/>
          <w:szCs w:val="34"/>
        </w:rPr>
        <w:t xml:space="preserve">Fourier</w:t>
      </w:r>
    </w:p>
    <w:p>
      <w:pPr>
        <w:spacing w:after="20"/>
        <w:jc w:val="center"/>
      </w:pPr>
      <w:r>
        <w:rPr>
          <w:rFonts w:ascii="Times New Roman" w:cs="Times New Roman" w:eastAsia="Times New Roman" w:hAnsi="Times New Roman"/>
          <w:i/>
          <w:iCs/>
          <w:color w:val="444444"/>
          <w:sz w:val="22"/>
          <w:szCs w:val="22"/>
        </w:rPr>
        <w:t xml:space="preserve">The Autonomous Datacenter Infrastructure Engineer</w:t>
      </w:r>
    </w:p>
    <w:p>
      <w:pPr>
        <w:pBdr>
          <w:bottom w:val="single" w:color="000000" w:sz="4" w:space="6"/>
        </w:pBdr>
        <w:spacing w:after="220"/>
        <w:jc w:val="center"/>
      </w:pPr>
      <w:r>
        <w:rPr>
          <w:rFonts w:ascii="Times New Roman" w:cs="Times New Roman" w:eastAsia="Times New Roman" w:hAnsi="Times New Roman"/>
          <w:color w:val="777777"/>
          <w:sz w:val="19"/>
          <w:szCs w:val="19"/>
        </w:rPr>
        <w:t xml:space="preserve">Product Requirements Document  |  March 2026  |  v3.0</w:t>
      </w:r>
    </w:p>
    <w:p>
      <w:pPr>
        <w:pStyle w:val="Heading1"/>
      </w:pPr>
      <w:r>
        <w:t xml:space="preserve">1. Product Definition</w:t>
      </w:r>
    </w:p>
    <w:p>
      <w:pPr>
        <w:spacing w:after="170" w:line="259"/>
      </w:pPr>
      <w:r>
        <w:rPr>
          <w:rFonts w:ascii="Times New Roman" w:cs="Times New Roman" w:eastAsia="Times New Roman" w:hAnsi="Times New Roman"/>
          <w:sz w:val="23"/>
          <w:szCs w:val="23"/>
        </w:rPr>
        <w:t xml:space="preserve">Fourier is a unified platform that treats datacenter hardware with the same operational rigor that CI/CD brought to software. It spans the full lifecycle of physical infrastructure—from the moment a semiconductor vendor’s silicon is integrated into a customer’s server design, through bare-metal provisioning, validation, production deployment, and continuous fleet operation—under a single architecture. The platform has three layers. A </w:t>
      </w:r>
      <w:r>
        <w:rPr>
          <w:rFonts w:ascii="Times New Roman" w:cs="Times New Roman" w:eastAsia="Times New Roman" w:hAnsi="Times New Roman"/>
          <w:b/>
          <w:bCs/>
          <w:sz w:val="23"/>
          <w:szCs w:val="23"/>
        </w:rPr>
        <w:t xml:space="preserve">Perception Layer</w:t>
      </w:r>
      <w:r>
        <w:rPr>
          <w:rFonts w:ascii="Times New Roman" w:cs="Times New Roman" w:eastAsia="Times New Roman" w:hAnsi="Times New Roman"/>
          <w:sz w:val="23"/>
          <w:szCs w:val="23"/>
        </w:rPr>
        <w:t xml:space="preserve"> normalizes telemetry from every vendor and subsystem into a unified event schema and applies learned anomaly detection and causal inference to identify failures before they surface as incidents. An </w:t>
      </w:r>
      <w:r>
        <w:rPr>
          <w:rFonts w:ascii="Times New Roman" w:cs="Times New Roman" w:eastAsia="Times New Roman" w:hAnsi="Times New Roman"/>
          <w:b/>
          <w:bCs/>
          <w:sz w:val="23"/>
          <w:szCs w:val="23"/>
        </w:rPr>
        <w:t xml:space="preserve">Agent Layer</w:t>
      </w:r>
      <w:r>
        <w:rPr>
          <w:rFonts w:ascii="Times New Roman" w:cs="Times New Roman" w:eastAsia="Times New Roman" w:hAnsi="Times New Roman"/>
          <w:sz w:val="23"/>
          <w:szCs w:val="23"/>
        </w:rPr>
        <w:t xml:space="preserve"> wraps a foundation model in a domain-specific harness that reasons over the perception layer’s output, forms diagnostic hypotheses, and plans multi-step interventions. An </w:t>
      </w:r>
      <w:r>
        <w:rPr>
          <w:rFonts w:ascii="Times New Roman" w:cs="Times New Roman" w:eastAsia="Times New Roman" w:hAnsi="Times New Roman"/>
          <w:b/>
          <w:bCs/>
          <w:sz w:val="23"/>
          <w:szCs w:val="23"/>
        </w:rPr>
        <w:t xml:space="preserve">Execution Layer</w:t>
      </w:r>
      <w:r>
        <w:rPr>
          <w:rFonts w:ascii="Times New Roman" w:cs="Times New Roman" w:eastAsia="Times New Roman" w:hAnsi="Times New Roman"/>
          <w:sz w:val="23"/>
          <w:szCs w:val="23"/>
        </w:rPr>
        <w:t xml:space="preserve"> gives the agent authenticated, audited, permission-scoped access to live systems—vendor CLIs, MCP servers, SSH, JTAG probes, provisioning pipelines, and validation suites—to run tests, apply fixes, and verify resolution. The result is a closed loop: the platform detects an anomaly, diagnoses the root cause, executes the remediation, and confirms the fix, without a human in the critical path unless the operation exceeds the configured trust boundary.</w:t>
      </w:r>
    </w:p>
    <w:p>
      <w:pPr>
        <w:spacing w:after="170" w:line="259"/>
      </w:pPr>
      <w:r>
        <w:rPr>
          <w:rFonts w:ascii="Times New Roman" w:cs="Times New Roman" w:eastAsia="Times New Roman" w:hAnsi="Times New Roman"/>
          <w:sz w:val="23"/>
          <w:szCs w:val="23"/>
        </w:rPr>
        <w:t xml:space="preserve">The product-market fit operates across two surfaces that share the same core. On the </w:t>
      </w:r>
      <w:r>
        <w:rPr>
          <w:rFonts w:ascii="Times New Roman" w:cs="Times New Roman" w:eastAsia="Times New Roman" w:hAnsi="Times New Roman"/>
          <w:b/>
          <w:bCs/>
          <w:sz w:val="23"/>
          <w:szCs w:val="23"/>
        </w:rPr>
        <w:t xml:space="preserve">design-in surface</w:t>
      </w:r>
      <w:r>
        <w:rPr>
          <w:rFonts w:ascii="Times New Roman" w:cs="Times New Roman" w:eastAsia="Times New Roman" w:hAnsi="Times New Roman"/>
          <w:sz w:val="23"/>
          <w:szCs w:val="23"/>
        </w:rPr>
        <w:t xml:space="preserve">, the platform operates as an autonomous integration engineer for semiconductor vendors competing to win datacenter sockets. The agent ingests the vendor’s spec, firmware, and SDK alongside the customer’s system topology and debug logs, then executes the same iterative debug loop a senior FAE would: hypothesize, test on the live system, analyze, modify, re-test. The buyer is the VP of Applications Engineering at a semiconductor company who cannot hire fast enough and loses design-ins because debug cycles take too long. On the </w:t>
      </w:r>
      <w:r>
        <w:rPr>
          <w:rFonts w:ascii="Times New Roman" w:cs="Times New Roman" w:eastAsia="Times New Roman" w:hAnsi="Times New Roman"/>
          <w:b/>
          <w:bCs/>
          <w:sz w:val="23"/>
          <w:szCs w:val="23"/>
        </w:rPr>
        <w:t xml:space="preserve">fleet operations surface</w:t>
      </w:r>
      <w:r>
        <w:rPr>
          <w:rFonts w:ascii="Times New Roman" w:cs="Times New Roman" w:eastAsia="Times New Roman" w:hAnsi="Times New Roman"/>
          <w:sz w:val="23"/>
          <w:szCs w:val="23"/>
        </w:rPr>
        <w:t xml:space="preserve">, the platform operates as a continuous infrastructure control plane for GPU cloud operators and hyperscalers. The perception layer monitors thousands of nodes for cross-vendor anomalies; the agent layer triages and remediates autonomously; the validation pipeline gates every node before it enters production. The buyer is the infrastructure or SRE lead who currently loses days to reactive manual root-cause analysis after jobs crash or nodes drop. Both surfaces are served by the same telemetry pipeline, the same ML models, the same agent harness, and the same execution layer—the difference is operational context, not architecture.</w:t>
      </w:r>
    </w:p>
    <w:p>
      <w:pPr>
        <w:pStyle w:val="Heading1"/>
      </w:pPr>
      <w:r>
        <w:t xml:space="preserve">2. Perception Layer: Telemetry, Anomaly Detection, and Causal Inference</w:t>
      </w:r>
    </w:p>
    <w:p>
      <w:pPr>
        <w:pStyle w:val="Heading2"/>
      </w:pPr>
      <w:r>
        <w:t xml:space="preserve">2.1 Unified Telemetry Normalization</w:t>
      </w:r>
    </w:p>
    <w:p>
      <w:pPr>
        <w:spacing w:after="170" w:line="259"/>
      </w:pPr>
      <w:r>
        <w:rPr>
          <w:rFonts w:ascii="Times New Roman" w:cs="Times New Roman" w:eastAsia="Times New Roman" w:hAnsi="Times New Roman"/>
          <w:sz w:val="23"/>
          <w:szCs w:val="23"/>
        </w:rPr>
        <w:t xml:space="preserve">Every hardware subsystem in a datacenter—GPUs, PCIe retimers, CXL switches, NICs, NVMe drives, InfiniBand fabric, power delivery, cooling—emits telemetry in a vendor-specific format. NVIDIA exposes XID errors, ECC counts, and thermal data via DCGM. Astera Labs exposes PCIe/CXL signal quality and symbol errors via COSMOS. Mellanox exposes port state, packet loss, and tail latency via InfiniBand counters. No single vendor sees the full picture. The foundational architectural decision is to </w:t>
      </w:r>
      <w:r>
        <w:rPr>
          <w:rFonts w:ascii="Times New Roman" w:cs="Times New Roman" w:eastAsia="Times New Roman" w:hAnsi="Times New Roman"/>
          <w:b/>
          <w:bCs/>
          <w:sz w:val="23"/>
          <w:szCs w:val="23"/>
        </w:rPr>
        <w:t xml:space="preserve">normalize all telemetry into a single timestamped event schema before it enters any analysis layer</w:t>
      </w:r>
      <w:r>
        <w:rPr>
          <w:rFonts w:ascii="Times New Roman" w:cs="Times New Roman" w:eastAsia="Times New Roman" w:hAnsi="Times New Roman"/>
          <w:sz w:val="23"/>
          <w:szCs w:val="23"/>
        </w:rPr>
        <w:t xml:space="preserve">. Each vendor requires one normalization adapter—a stateless transform that maps raw telemetry into the unified schema—and once written, that vendor’s data feeds every downstream system identically: the baseline detection engine, the ML anomaly detector, the causal inference model, and the agent’s context store. The schema is stored in PostgreSQL with TimescaleDB for time-series queries. This normalization is what makes the platform vendor-agnostic at the ML and agent layers. The models operate on events, not on DCGM or COSMOS or InfiniBand specifically.</w:t>
      </w:r>
    </w:p>
    <w:p>
      <w:pPr>
        <w:pStyle w:val="Heading2"/>
      </w:pPr>
      <w:r>
        <w:t xml:space="preserve">2.2 Baseline Detection</w:t>
      </w:r>
    </w:p>
    <w:p>
      <w:pPr>
        <w:spacing w:after="170" w:line="259"/>
      </w:pPr>
      <w:r>
        <w:rPr>
          <w:rFonts w:ascii="Times New Roman" w:cs="Times New Roman" w:eastAsia="Times New Roman" w:hAnsi="Times New Roman"/>
          <w:sz w:val="23"/>
          <w:szCs w:val="23"/>
        </w:rPr>
        <w:t xml:space="preserve">The first analysis layer is deterministic and always running. </w:t>
      </w:r>
      <w:r>
        <w:rPr>
          <w:rFonts w:ascii="Times New Roman" w:cs="Times New Roman" w:eastAsia="Times New Roman" w:hAnsi="Times New Roman"/>
          <w:b/>
          <w:bCs/>
          <w:sz w:val="23"/>
          <w:szCs w:val="23"/>
        </w:rPr>
        <w:t xml:space="preserve">Fleet-relative z-scoring</w:t>
      </w:r>
      <w:r>
        <w:rPr>
          <w:rFonts w:ascii="Times New Roman" w:cs="Times New Roman" w:eastAsia="Times New Roman" w:hAnsi="Times New Roman"/>
          <w:sz w:val="23"/>
          <w:szCs w:val="23"/>
        </w:rPr>
        <w:t xml:space="preserve"> identifies stragglers: a node whose GPU memory bandwidth is 2σ below the fleet mean for its SKU is flagged regardless of whether it crosses an absolute threshold. </w:t>
      </w:r>
      <w:r>
        <w:rPr>
          <w:rFonts w:ascii="Times New Roman" w:cs="Times New Roman" w:eastAsia="Times New Roman" w:hAnsi="Times New Roman"/>
          <w:b/>
          <w:bCs/>
          <w:sz w:val="23"/>
          <w:szCs w:val="23"/>
        </w:rPr>
        <w:t xml:space="preserve">Static thresholds</w:t>
      </w:r>
      <w:r>
        <w:rPr>
          <w:rFonts w:ascii="Times New Roman" w:cs="Times New Roman" w:eastAsia="Times New Roman" w:hAnsi="Times New Roman"/>
          <w:sz w:val="23"/>
          <w:szCs w:val="23"/>
        </w:rPr>
        <w:t xml:space="preserve"> enforce hard physical limits per metric (ECC uncorrectable error count &gt; 0 is always critical). </w:t>
      </w:r>
      <w:r>
        <w:rPr>
          <w:rFonts w:ascii="Times New Roman" w:cs="Times New Roman" w:eastAsia="Times New Roman" w:hAnsi="Times New Roman"/>
          <w:b/>
          <w:bCs/>
          <w:sz w:val="23"/>
          <w:szCs w:val="23"/>
        </w:rPr>
        <w:t xml:space="preserve">Rolling-window drift detection</w:t>
      </w:r>
      <w:r>
        <w:rPr>
          <w:rFonts w:ascii="Times New Roman" w:cs="Times New Roman" w:eastAsia="Times New Roman" w:hAnsi="Times New Roman"/>
          <w:sz w:val="23"/>
          <w:szCs w:val="23"/>
        </w:rPr>
        <w:t xml:space="preserve"> tracks per-node temporal deviation: a PCIe link that was training at Gen5 last week and is now Gen4 is caught even if Gen4 is within spec. </w:t>
      </w:r>
      <w:r>
        <w:rPr>
          <w:rFonts w:ascii="Times New Roman" w:cs="Times New Roman" w:eastAsia="Times New Roman" w:hAnsi="Times New Roman"/>
          <w:b/>
          <w:bCs/>
          <w:sz w:val="23"/>
          <w:szCs w:val="23"/>
        </w:rPr>
        <w:t xml:space="preserve">DBSCAN clustering</w:t>
      </w:r>
      <w:r>
        <w:rPr>
          <w:rFonts w:ascii="Times New Roman" w:cs="Times New Roman" w:eastAsia="Times New Roman" w:hAnsi="Times New Roman"/>
          <w:sz w:val="23"/>
          <w:szCs w:val="23"/>
        </w:rPr>
        <w:t xml:space="preserve"> groups temporally co-located events that don’t match known patterns, surfacing novel correlated failure modes. The baseline layer is fast, cheap, interpretable, and catches the 60–70% of issues that are structurally simple. Everything it cannot catch—cross-sensor dependency breaks, complex multi-vendor causal chains, gradual degradation below any individual threshold—is the ML layer’s job.</w:t>
      </w:r>
    </w:p>
    <w:p>
      <w:pPr>
        <w:pStyle w:val="Heading2"/>
      </w:pPr>
      <w:r>
        <w:t xml:space="preserve">2.3 ML Layer</w:t>
      </w:r>
    </w:p>
    <w:p>
      <w:pPr>
        <w:spacing w:after="170" w:line="259"/>
      </w:pPr>
      <w:r>
        <w:rPr>
          <w:rFonts w:ascii="Times New Roman" w:cs="Times New Roman" w:eastAsia="Times New Roman" w:hAnsi="Times New Roman"/>
          <w:sz w:val="23"/>
          <w:szCs w:val="23"/>
        </w:rPr>
        <w:t xml:space="preserve">Three models operate in sequence, each solving a problem the prior layer cannot. </w:t>
      </w:r>
      <w:r>
        <w:rPr>
          <w:rFonts w:ascii="Times New Roman" w:cs="Times New Roman" w:eastAsia="Times New Roman" w:hAnsi="Times New Roman"/>
          <w:b/>
          <w:bCs/>
          <w:sz w:val="23"/>
          <w:szCs w:val="23"/>
        </w:rPr>
        <w:t xml:space="preserve">GDN (Graph Deviation Network)</w:t>
      </w:r>
      <w:r>
        <w:rPr>
          <w:rFonts w:ascii="Times New Roman" w:cs="Times New Roman" w:eastAsia="Times New Roman" w:hAnsi="Times New Roman"/>
          <w:sz w:val="23"/>
          <w:szCs w:val="23"/>
        </w:rPr>
        <w:t xml:space="preserve"> learns cross-sensor dependency graphs from the multivariate telemetry stream during normal operation. It models the expected relationship between, say, GPU power draw and PCIe retimer temperature, or NVLink error rate and memory controller throughput. When a learned relationship breaks—a sensor deviates in a way that is inconsistent with the sensors it normally correlates with—GDN flags an anomaly window with per-sensor attribution, identifying which specific sensors are deviating and how. This catches failures that are invisible to per-metric thresholds: a retimer whose error rate is within spec but whose relationship to downstream NIC packet loss has shifted. GDN is trained unsupervised on normal-regime data; no labeled failures are required at deploy time.</w:t>
      </w:r>
    </w:p>
    <w:p>
      <w:pPr>
        <w:spacing w:after="170" w:line="259"/>
      </w:pPr>
      <w:r>
        <w:rPr>
          <w:rFonts w:ascii="Times New Roman" w:cs="Times New Roman" w:eastAsia="Times New Roman" w:hAnsi="Times New Roman"/>
          <w:b/>
          <w:bCs/>
          <w:sz w:val="23"/>
          <w:szCs w:val="23"/>
        </w:rPr>
        <w:t xml:space="preserve">Cascade</w:t>
      </w:r>
      <w:r>
        <w:rPr>
          <w:rFonts w:ascii="Times New Roman" w:cs="Times New Roman" w:eastAsia="Times New Roman" w:hAnsi="Times New Roman"/>
          <w:sz w:val="23"/>
          <w:szCs w:val="23"/>
        </w:rPr>
        <w:t xml:space="preserve"> takes the discrete event stream within a GDN-flagged anomaly window and reconstructs the causal DAG across vendor boundaries. When Astera symbol errors, a Mellanox port flap, and an NVIDIA XID 74 all occur within a time window, Cascade determines the directed causal chain—symbol errors </w:t>
      </w:r>
      <w:r>
        <w:rPr>
          <w:rFonts w:ascii="Times New Roman" w:cs="Times New Roman" w:eastAsia="Times New Roman" w:hAnsi="Times New Roman"/>
          <w:i/>
          <w:iCs/>
          <w:sz w:val="23"/>
          <w:szCs w:val="23"/>
        </w:rPr>
        <w:t xml:space="preserve">caused</w:t>
      </w:r>
      <w:r>
        <w:rPr>
          <w:rFonts w:ascii="Times New Roman" w:cs="Times New Roman" w:eastAsia="Times New Roman" w:hAnsi="Times New Roman"/>
          <w:sz w:val="23"/>
          <w:szCs w:val="23"/>
        </w:rPr>
        <w:t xml:space="preserve"> the port flap </w:t>
      </w:r>
      <w:r>
        <w:rPr>
          <w:rFonts w:ascii="Times New Roman" w:cs="Times New Roman" w:eastAsia="Times New Roman" w:hAnsi="Times New Roman"/>
          <w:i/>
          <w:iCs/>
          <w:sz w:val="23"/>
          <w:szCs w:val="23"/>
        </w:rPr>
        <w:t xml:space="preserve">caused</w:t>
      </w:r>
      <w:r>
        <w:rPr>
          <w:rFonts w:ascii="Times New Roman" w:cs="Times New Roman" w:eastAsia="Times New Roman" w:hAnsi="Times New Roman"/>
          <w:sz w:val="23"/>
          <w:szCs w:val="23"/>
        </w:rPr>
        <w:t xml:space="preserve"> the XID—separating causally related events from coincidental co-occurrence using minimum description length (MDL) based causal inference. This is what eliminates hand-coded dependency rules: the model learns which event types cause which other event types from the data itself, and it does so across vendor boundaries that no single vendor’s monitoring can see. The output is a structured causal DAG with confidence-scored edges, attributed root-cause events, and affected downstream components.</w:t>
      </w:r>
    </w:p>
    <w:p>
      <w:pPr>
        <w:spacing w:after="170" w:line="259"/>
      </w:pPr>
      <w:r>
        <w:rPr>
          <w:rFonts w:ascii="Times New Roman" w:cs="Times New Roman" w:eastAsia="Times New Roman" w:hAnsi="Times New Roman"/>
          <w:b/>
          <w:bCs/>
          <w:sz w:val="23"/>
          <w:szCs w:val="23"/>
        </w:rPr>
        <w:t xml:space="preserve">HITL Refinement</w:t>
      </w:r>
      <w:r>
        <w:rPr>
          <w:rFonts w:ascii="Times New Roman" w:cs="Times New Roman" w:eastAsia="Times New Roman" w:hAnsi="Times New Roman"/>
          <w:sz w:val="23"/>
          <w:szCs w:val="23"/>
        </w:rPr>
        <w:t xml:space="preserve"> closes the learning loop. Engineers confirm or reject Cascade’s diagnosed causal chains. Each signal updates the anomaly scoring model via online convex optimization: false positives are suppressed, confirmed failure signatures are boosted. Over time, the pattern library—a growing corpus of labeled (event-sequence → causal-chain → root-cause → resolution) tuples—compounds knowledge across every incident the fleet encounters. This is also the data that trains the agent layer: each confirmed causal chain with its associated resolution becomes a searchable precedent in the agent’s context corpus.</w:t>
      </w:r>
    </w:p>
    <w:p>
      <w:pPr>
        <w:pStyle w:val="Heading1"/>
      </w:pPr>
      <w:r>
        <w:t xml:space="preserve">3. Agent Layer: Reasoning, Planning, and Diagnosis</w:t>
      </w:r>
    </w:p>
    <w:p>
      <w:pPr>
        <w:spacing w:after="170" w:line="259"/>
      </w:pPr>
      <w:r>
        <w:rPr>
          <w:rFonts w:ascii="Times New Roman" w:cs="Times New Roman" w:eastAsia="Times New Roman" w:hAnsi="Times New Roman"/>
          <w:sz w:val="23"/>
          <w:szCs w:val="23"/>
        </w:rPr>
        <w:t xml:space="preserve">The agent layer wraps a foundation model in a domain-specific harness that transforms perception layer outputs into diagnostic reasoning and actionable intervention plans. It operates in an </w:t>
      </w:r>
      <w:r>
        <w:rPr>
          <w:rFonts w:ascii="Times New Roman" w:cs="Times New Roman" w:eastAsia="Times New Roman" w:hAnsi="Times New Roman"/>
          <w:b/>
          <w:bCs/>
          <w:sz w:val="23"/>
          <w:szCs w:val="23"/>
        </w:rPr>
        <w:t xml:space="preserve">Observe-Plan-Act-Test-Reflect (OPATR)</w:t>
      </w:r>
      <w:r>
        <w:rPr>
          <w:rFonts w:ascii="Times New Roman" w:cs="Times New Roman" w:eastAsia="Times New Roman" w:hAnsi="Times New Roman"/>
          <w:sz w:val="23"/>
          <w:szCs w:val="23"/>
        </w:rPr>
        <w:t xml:space="preserve"> loop. In </w:t>
      </w:r>
      <w:r>
        <w:rPr>
          <w:rFonts w:ascii="Times New Roman" w:cs="Times New Roman" w:eastAsia="Times New Roman" w:hAnsi="Times New Roman"/>
          <w:b/>
          <w:bCs/>
          <w:sz w:val="23"/>
          <w:szCs w:val="23"/>
        </w:rPr>
        <w:t xml:space="preserve">Observe</w:t>
      </w:r>
      <w:r>
        <w:rPr>
          <w:rFonts w:ascii="Times New Roman" w:cs="Times New Roman" w:eastAsia="Times New Roman" w:hAnsi="Times New Roman"/>
          <w:sz w:val="23"/>
          <w:szCs w:val="23"/>
        </w:rPr>
        <w:t xml:space="preserve">, the agent ingests context from two sources: the perception layer’s output (anomaly attributions, causal DAGs, baseline violations, raw telemetry summaries) and direct system artifacts (LTSSM logs, firmware register dumps, topology descriptors, prior test results). In the design-in context, Observe is primarily log-and-artifact driven; in fleet ops, it is primarily perception-layer driven. In </w:t>
      </w:r>
      <w:r>
        <w:rPr>
          <w:rFonts w:ascii="Times New Roman" w:cs="Times New Roman" w:eastAsia="Times New Roman" w:hAnsi="Times New Roman"/>
          <w:b/>
          <w:bCs/>
          <w:sz w:val="23"/>
          <w:szCs w:val="23"/>
        </w:rPr>
        <w:t xml:space="preserve">Plan</w:t>
      </w:r>
      <w:r>
        <w:rPr>
          <w:rFonts w:ascii="Times New Roman" w:cs="Times New Roman" w:eastAsia="Times New Roman" w:hAnsi="Times New Roman"/>
          <w:sz w:val="23"/>
          <w:szCs w:val="23"/>
        </w:rPr>
        <w:t xml:space="preserve">, the agent generates a ranked hypothesis set. Each hypothesis is paired with a concrete test plan—the specific CLI command, register read, PRBS sweep, or system query that would confirm or falsify it—ranked by expected information gain per test-cycle cost. When a Cascade causal DAG is available, it is injected as the agent’s initial hypothesis; the agent’s job is then to </w:t>
      </w:r>
      <w:r>
        <w:rPr>
          <w:rFonts w:ascii="Times New Roman" w:cs="Times New Roman" w:eastAsia="Times New Roman" w:hAnsi="Times New Roman"/>
          <w:i/>
          <w:iCs/>
          <w:sz w:val="23"/>
          <w:szCs w:val="23"/>
        </w:rPr>
        <w:t xml:space="preserve">verify</w:t>
      </w:r>
      <w:r>
        <w:rPr>
          <w:rFonts w:ascii="Times New Roman" w:cs="Times New Roman" w:eastAsia="Times New Roman" w:hAnsi="Times New Roman"/>
          <w:sz w:val="23"/>
          <w:szCs w:val="23"/>
        </w:rPr>
        <w:t xml:space="preserve"> the ML-proposed causal chain via targeted system tests rather than diagnose from scratch. In </w:t>
      </w:r>
      <w:r>
        <w:rPr>
          <w:rFonts w:ascii="Times New Roman" w:cs="Times New Roman" w:eastAsia="Times New Roman" w:hAnsi="Times New Roman"/>
          <w:b/>
          <w:bCs/>
          <w:sz w:val="23"/>
          <w:szCs w:val="23"/>
        </w:rPr>
        <w:t xml:space="preserve">Act</w:t>
      </w:r>
      <w:r>
        <w:rPr>
          <w:rFonts w:ascii="Times New Roman" w:cs="Times New Roman" w:eastAsia="Times New Roman" w:hAnsi="Times New Roman"/>
          <w:sz w:val="23"/>
          <w:szCs w:val="23"/>
        </w:rPr>
        <w:t xml:space="preserve">, the agent calls analysis tools: RAG retrieval over the spec corpus (PCIe 6.0, CXL 3.1, NVMe, InfiniBand), register-map lookup and decode, firmware config diff against known-good baselines, errata search, and log-pattern matching against the historical pattern library. In </w:t>
      </w:r>
      <w:r>
        <w:rPr>
          <w:rFonts w:ascii="Times New Roman" w:cs="Times New Roman" w:eastAsia="Times New Roman" w:hAnsi="Times New Roman"/>
          <w:b/>
          <w:bCs/>
          <w:sz w:val="23"/>
          <w:szCs w:val="23"/>
        </w:rPr>
        <w:t xml:space="preserve">Test</w:t>
      </w:r>
      <w:r>
        <w:rPr>
          <w:rFonts w:ascii="Times New Roman" w:cs="Times New Roman" w:eastAsia="Times New Roman" w:hAnsi="Times New Roman"/>
          <w:sz w:val="23"/>
          <w:szCs w:val="23"/>
        </w:rPr>
        <w:t xml:space="preserve">, the agent executes commands on the live system via the execution layer. In </w:t>
      </w:r>
      <w:r>
        <w:rPr>
          <w:rFonts w:ascii="Times New Roman" w:cs="Times New Roman" w:eastAsia="Times New Roman" w:hAnsi="Times New Roman"/>
          <w:b/>
          <w:bCs/>
          <w:sz w:val="23"/>
          <w:szCs w:val="23"/>
        </w:rPr>
        <w:t xml:space="preserve">Reflect</w:t>
      </w:r>
      <w:r>
        <w:rPr>
          <w:rFonts w:ascii="Times New Roman" w:cs="Times New Roman" w:eastAsia="Times New Roman" w:hAnsi="Times New Roman"/>
          <w:sz w:val="23"/>
          <w:szCs w:val="23"/>
        </w:rPr>
        <w:t xml:space="preserve">, it evaluates test results against hypotheses, updates the hypothesis DAG (confirming, falsifying, or refining), and decides whether to converge, iterate, or escalate.</w:t>
      </w:r>
    </w:p>
    <w:p>
      <w:pPr>
        <w:spacing w:after="170" w:line="259"/>
      </w:pPr>
      <w:r>
        <w:rPr>
          <w:rFonts w:ascii="Times New Roman" w:cs="Times New Roman" w:eastAsia="Times New Roman" w:hAnsi="Times New Roman"/>
          <w:sz w:val="23"/>
          <w:szCs w:val="23"/>
        </w:rPr>
        <w:t xml:space="preserve">The </w:t>
      </w:r>
      <w:r>
        <w:rPr>
          <w:rFonts w:ascii="Times New Roman" w:cs="Times New Roman" w:eastAsia="Times New Roman" w:hAnsi="Times New Roman"/>
          <w:b/>
          <w:bCs/>
          <w:sz w:val="23"/>
          <w:szCs w:val="23"/>
        </w:rPr>
        <w:t xml:space="preserve">hypothesis DAG</w:t>
      </w:r>
      <w:r>
        <w:rPr>
          <w:rFonts w:ascii="Times New Roman" w:cs="Times New Roman" w:eastAsia="Times New Roman" w:hAnsi="Times New Roman"/>
          <w:sz w:val="23"/>
          <w:szCs w:val="23"/>
        </w:rPr>
        <w:t xml:space="preserve"> is a directed acyclic graph where each node carries a status (active, confirmed, falsified, escalated), supporting evidence (tool outputs, test results, spec citations, log references, perception-layer attributions), and child nodes representing refinements. The planner generates both analysis plans (which tools to invoke) and test plans (which system commands to execute, in what order, with what parameters), scheduling cheap-to-verify hypotheses (a 200ms register read) before expensive ones (a 60-second PRBS sweep). In fleet operations, the planner also schedules across nodes: if GDN flags correlated anomalies on five nodes sharing a common TOR switch, the agent can plan a parallel investigation that tests the shared-cause hypothesis (switch fault) before per-node hypotheses (individual device faults). When a hypothesis chain dead-ends, the engine backtracks to the nearest unexplored branch. In autonomous mode, the loop runs to convergence, a configurable iteration ceiling, or a safety checkpoint.</w:t>
      </w:r>
    </w:p>
    <w:p>
      <w:pPr>
        <w:spacing w:after="170" w:line="259"/>
      </w:pPr>
      <w:r>
        <w:rPr>
          <w:rFonts w:ascii="Times New Roman" w:cs="Times New Roman" w:eastAsia="Times New Roman" w:hAnsi="Times New Roman"/>
          <w:b/>
          <w:bCs/>
          <w:sz w:val="23"/>
          <w:szCs w:val="23"/>
        </w:rPr>
        <w:t xml:space="preserve">Context management</w:t>
      </w:r>
      <w:r>
        <w:rPr>
          <w:rFonts w:ascii="Times New Roman" w:cs="Times New Roman" w:eastAsia="Times New Roman" w:hAnsi="Times New Roman"/>
          <w:sz w:val="23"/>
          <w:szCs w:val="23"/>
        </w:rPr>
        <w:t xml:space="preserve"> handles the mismatch between LLM context windows and the scale of debug artifacts. Hierarchical summarization compresses raw logs into state-transition-only and anomaly-only views; sliding-window analysis processes 100K+ line logs sequentially with a running state summary; test-result accumulation maintains a structured evidence graph across iterations; and a domain-aware priority function evicts resolved content while retaining active hypotheses and latest test outputs when the window fills. In fleet mode, context management additionally handles cross-node correlation: the agent maintains a fleet-level view summarizing which nodes are affected, which share common infrastructure (TOR, power rail, firmware version), and which have been tested, enabling efficient parallel triage. Sessions persist across days via serialized hypothesis DAGs and evidence graphs.</w:t>
      </w:r>
    </w:p>
    <w:p>
      <w:pPr>
        <w:pStyle w:val="Heading1"/>
      </w:pPr>
      <w:r>
        <w:t xml:space="preserve">4. Execution Layer: System Access, Test Orchestration, and Provisioning</w:t>
      </w:r>
    </w:p>
    <w:p>
      <w:pPr>
        <w:pStyle w:val="Heading2"/>
      </w:pPr>
      <w:r>
        <w:t xml:space="preserve">4.1 System Execution Interfaces</w:t>
      </w:r>
    </w:p>
    <w:p>
      <w:pPr>
        <w:spacing w:after="170" w:line="259"/>
      </w:pPr>
      <w:r>
        <w:rPr>
          <w:rFonts w:ascii="Times New Roman" w:cs="Times New Roman" w:eastAsia="Times New Roman" w:hAnsi="Times New Roman"/>
          <w:sz w:val="23"/>
          <w:szCs w:val="23"/>
        </w:rPr>
        <w:t xml:space="preserve">The execution layer provides the agent with four interface types into live systems, unified behind a single typed tool abstraction. </w:t>
      </w:r>
      <w:r>
        <w:rPr>
          <w:rFonts w:ascii="Times New Roman" w:cs="Times New Roman" w:eastAsia="Times New Roman" w:hAnsi="Times New Roman"/>
          <w:b/>
          <w:bCs/>
          <w:sz w:val="23"/>
          <w:szCs w:val="23"/>
        </w:rPr>
        <w:t xml:space="preserve">Vendor CLI/SDK:</w:t>
      </w:r>
      <w:r>
        <w:rPr>
          <w:rFonts w:ascii="Times New Roman" w:cs="Times New Roman" w:eastAsia="Times New Roman" w:hAnsi="Times New Roman"/>
          <w:sz w:val="23"/>
          <w:szCs w:val="23"/>
        </w:rPr>
        <w:t xml:space="preserve"> the agent wraps vendor command-line tools (cSDK, pSDK, DCGM CLI, ibstat, nvme-cli, or any proprietary tool) as typed tool definitions with argument schemas, output parsers, and permission classifications. </w:t>
      </w:r>
      <w:r>
        <w:rPr>
          <w:rFonts w:ascii="Times New Roman" w:cs="Times New Roman" w:eastAsia="Times New Roman" w:hAnsi="Times New Roman"/>
          <w:b/>
          <w:bCs/>
          <w:sz w:val="23"/>
          <w:szCs w:val="23"/>
        </w:rPr>
        <w:t xml:space="preserve">MCP Servers:</w:t>
      </w:r>
      <w:r>
        <w:rPr>
          <w:rFonts w:ascii="Times New Roman" w:cs="Times New Roman" w:eastAsia="Times New Roman" w:hAnsi="Times New Roman"/>
          <w:sz w:val="23"/>
          <w:szCs w:val="23"/>
        </w:rPr>
        <w:t xml:space="preserve"> any MCP-compatible server the customer connects is auto-discovered, its tools registered with typed schemas, and immediately usable in the OPATR loop—this is the primary extensibility interface for customer-provided test frameworks, lab equipment APIs, and internal tools. </w:t>
      </w:r>
      <w:r>
        <w:rPr>
          <w:rFonts w:ascii="Times New Roman" w:cs="Times New Roman" w:eastAsia="Times New Roman" w:hAnsi="Times New Roman"/>
          <w:b/>
          <w:bCs/>
          <w:sz w:val="23"/>
          <w:szCs w:val="23"/>
        </w:rPr>
        <w:t xml:space="preserve">SSH/Remote Shell:</w:t>
      </w:r>
      <w:r>
        <w:rPr>
          <w:rFonts w:ascii="Times New Roman" w:cs="Times New Roman" w:eastAsia="Times New Roman" w:hAnsi="Times New Roman"/>
          <w:sz w:val="23"/>
          <w:szCs w:val="23"/>
        </w:rPr>
        <w:t xml:space="preserve"> key-based authenticated remote command execution with session recording, command allowlisting, and full audit capture. </w:t>
      </w:r>
      <w:r>
        <w:rPr>
          <w:rFonts w:ascii="Times New Roman" w:cs="Times New Roman" w:eastAsia="Times New Roman" w:hAnsi="Times New Roman"/>
          <w:b/>
          <w:bCs/>
          <w:sz w:val="23"/>
          <w:szCs w:val="23"/>
        </w:rPr>
        <w:t xml:space="preserve">JTAG/Debug Probe API:</w:t>
      </w:r>
      <w:r>
        <w:rPr>
          <w:rFonts w:ascii="Times New Roman" w:cs="Times New Roman" w:eastAsia="Times New Roman" w:hAnsi="Times New Roman"/>
          <w:sz w:val="23"/>
          <w:szCs w:val="23"/>
        </w:rPr>
        <w:t xml:space="preserve"> integration with Lauterbach, Segger, and OpenOCD for low-level register access bypassing firmware. The agent’s planner does not distinguish between these interfaces: a built-in log parser, a customer MCP tool, a vendor CLI invoked over SSH, and a JTAG register read are all first-class tools with identical schema contracts, composable in a single OPATR iteration.</w:t>
      </w:r>
    </w:p>
    <w:p>
      <w:pPr>
        <w:pStyle w:val="Heading2"/>
      </w:pPr>
      <w:r>
        <w:t xml:space="preserve">4.2 Test Orchestration</w:t>
      </w:r>
    </w:p>
    <w:p>
      <w:pPr>
        <w:spacing w:after="170" w:line="259"/>
      </w:pPr>
      <w:r>
        <w:rPr>
          <w:rFonts w:ascii="Times New Roman" w:cs="Times New Roman" w:eastAsia="Times New Roman" w:hAnsi="Times New Roman"/>
          <w:sz w:val="23"/>
          <w:szCs w:val="23"/>
        </w:rPr>
        <w:t xml:space="preserve">The agent orchestrates multi-step test sequences across both single-system and fleet-scale contexts. For </w:t>
      </w:r>
      <w:r>
        <w:rPr>
          <w:rFonts w:ascii="Times New Roman" w:cs="Times New Roman" w:eastAsia="Times New Roman" w:hAnsi="Times New Roman"/>
          <w:b/>
          <w:bCs/>
          <w:sz w:val="23"/>
          <w:szCs w:val="23"/>
        </w:rPr>
        <w:t xml:space="preserve">design-in debug</w:t>
      </w:r>
      <w:r>
        <w:rPr>
          <w:rFonts w:ascii="Times New Roman" w:cs="Times New Roman" w:eastAsia="Times New Roman" w:hAnsi="Times New Roman"/>
          <w:sz w:val="23"/>
          <w:szCs w:val="23"/>
        </w:rPr>
        <w:t xml:space="preserve">, this means parameterized PRBS sweeps (configurable lane, speed, pattern, duration), compliance test execution, link retrain sequences, eye-diagram captures, EQ coefficient sweeps, power-state cycling, and register read/write sequences—the full repertoire of an FAE’s bench work. For </w:t>
      </w:r>
      <w:r>
        <w:rPr>
          <w:rFonts w:ascii="Times New Roman" w:cs="Times New Roman" w:eastAsia="Times New Roman" w:hAnsi="Times New Roman"/>
          <w:b/>
          <w:bCs/>
          <w:sz w:val="23"/>
          <w:szCs w:val="23"/>
        </w:rPr>
        <w:t xml:space="preserve">fleet validation and remediation</w:t>
      </w:r>
      <w:r>
        <w:rPr>
          <w:rFonts w:ascii="Times New Roman" w:cs="Times New Roman" w:eastAsia="Times New Roman" w:hAnsi="Times New Roman"/>
          <w:sz w:val="23"/>
          <w:szCs w:val="23"/>
        </w:rPr>
        <w:t xml:space="preserve">, this means gpu-burn stress tests, NCCL bandwidth benchmarks, PCIe link-generation checks, NVLink topology validation, InfiniBand fabric verification, and firmware consistency checks—executed across node cohorts in parallel. In both contexts, the engine maintains known-good baselines per test-and-configuration, automatically flags deviations, and supports </w:t>
      </w:r>
      <w:r>
        <w:rPr>
          <w:rFonts w:ascii="Times New Roman" w:cs="Times New Roman" w:eastAsia="Times New Roman" w:hAnsi="Times New Roman"/>
          <w:b/>
          <w:bCs/>
          <w:sz w:val="23"/>
          <w:szCs w:val="23"/>
        </w:rPr>
        <w:t xml:space="preserve">failure reproduction</w:t>
      </w:r>
      <w:r>
        <w:rPr>
          <w:rFonts w:ascii="Times New Roman" w:cs="Times New Roman" w:eastAsia="Times New Roman" w:hAnsi="Times New Roman"/>
          <w:sz w:val="23"/>
          <w:szCs w:val="23"/>
        </w:rPr>
        <w:t xml:space="preserve">: given a failure description, it constructs and iterates on a reproduction sequence until the failure triggers reliably, then hands the reproducible case to the diagnostic loop. Every test result is captured, parsed, baseline-compared, and indexed in the session’s evidence graph.</w:t>
      </w:r>
    </w:p>
    <w:p>
      <w:pPr>
        <w:pStyle w:val="Heading2"/>
      </w:pPr>
      <w:r>
        <w:t xml:space="preserve">4.3 Zero-Touch Provisioning and Validation Pipeline</w:t>
      </w:r>
    </w:p>
    <w:p>
      <w:pPr>
        <w:spacing w:after="170" w:line="259"/>
      </w:pPr>
      <w:r>
        <w:rPr>
          <w:rFonts w:ascii="Times New Roman" w:cs="Times New Roman" w:eastAsia="Times New Roman" w:hAnsi="Times New Roman"/>
          <w:sz w:val="23"/>
          <w:szCs w:val="23"/>
        </w:rPr>
        <w:t xml:space="preserve">Before any node reaches a production workload, it passes through an automated provisioning and validation pipeline that requires no human steps. </w:t>
      </w:r>
      <w:r>
        <w:rPr>
          <w:rFonts w:ascii="Times New Roman" w:cs="Times New Roman" w:eastAsia="Times New Roman" w:hAnsi="Times New Roman"/>
          <w:b/>
          <w:bCs/>
          <w:sz w:val="23"/>
          <w:szCs w:val="23"/>
        </w:rPr>
        <w:t xml:space="preserve">Zero-touch provisioning</w:t>
      </w:r>
      <w:r>
        <w:rPr>
          <w:rFonts w:ascii="Times New Roman" w:cs="Times New Roman" w:eastAsia="Times New Roman" w:hAnsi="Times New Roman"/>
          <w:sz w:val="23"/>
          <w:szCs w:val="23"/>
        </w:rPr>
        <w:t xml:space="preserve"> handles bare-metal bring-up end-to-end: firmware flashing to the specified version matrix, BIOS configuration against a declared-state template, RAID setup, OS deployment, network fabric configuration (InfiniBand subnet manager enrollment, RoCE QoS policy), and GPU driver and toolkit installation. </w:t>
      </w:r>
      <w:r>
        <w:rPr>
          <w:rFonts w:ascii="Times New Roman" w:cs="Times New Roman" w:eastAsia="Times New Roman" w:hAnsi="Times New Roman"/>
          <w:b/>
          <w:bCs/>
          <w:sz w:val="23"/>
          <w:szCs w:val="23"/>
        </w:rPr>
        <w:t xml:space="preserve">The automated validation pipeline</w:t>
      </w:r>
      <w:r>
        <w:rPr>
          <w:rFonts w:ascii="Times New Roman" w:cs="Times New Roman" w:eastAsia="Times New Roman" w:hAnsi="Times New Roman"/>
          <w:sz w:val="23"/>
          <w:szCs w:val="23"/>
        </w:rPr>
        <w:t xml:space="preserve"> is the gatekeeper: every provisioned node runs a battery of tests (gpu-burn thermal soak, NCCL all-reduce bandwidth, PCIe link-generation verification, NVLink topology check, memory stress, storage throughput) and either passes into the production pool or is flagged with a structured failure report. The agent operates on validation failures the same way it operates on production incidents or design-in debug: it receives the structured failure output, enters the OPATR loop, runs targeted diagnostic tests on the failing node, and either resolves the issue and re-validates or escalates with a complete diagnostic workup. </w:t>
      </w:r>
      <w:r>
        <w:rPr>
          <w:rFonts w:ascii="Times New Roman" w:cs="Times New Roman" w:eastAsia="Times New Roman" w:hAnsi="Times New Roman"/>
          <w:b/>
          <w:bCs/>
          <w:sz w:val="23"/>
          <w:szCs w:val="23"/>
        </w:rPr>
        <w:t xml:space="preserve">Continuous drift detection</w:t>
      </w:r>
      <w:r>
        <w:rPr>
          <w:rFonts w:ascii="Times New Roman" w:cs="Times New Roman" w:eastAsia="Times New Roman" w:hAnsi="Times New Roman"/>
          <w:sz w:val="23"/>
          <w:szCs w:val="23"/>
        </w:rPr>
        <w:t xml:space="preserve"> extends validation into production: once a node is serving workloads, the perception layer monitors for configuration drift (BIOS version mismatch, degraded PCIe link generation, misconfigured Fabric Manager settings, firmware version skew) and behavioral drift (performance regression relative to fleet baseline). When drift is detected, the agent can autonomously re-validate the node, diagnose the cause, and remediate—or drain the node from the scheduler and flag it for manual intervention if the required action exceeds its permission tier.</w:t>
      </w:r>
    </w:p>
    <w:p>
      <w:pPr>
        <w:pStyle w:val="Heading1"/>
      </w:pPr>
      <w:r>
        <w:t xml:space="preserve">5. Safety Architecture, Deployment, and the Compounding Feedback Loop</w:t>
      </w:r>
    </w:p>
    <w:p>
      <w:pPr>
        <w:pStyle w:val="Heading2"/>
      </w:pPr>
      <w:r>
        <w:t xml:space="preserve">5.1 Tiered Permission Model with Fleet Awareness</w:t>
      </w:r>
    </w:p>
    <w:p>
      <w:pPr>
        <w:spacing w:after="170" w:line="259"/>
      </w:pPr>
      <w:r>
        <w:rPr>
          <w:rFonts w:ascii="Times New Roman" w:cs="Times New Roman" w:eastAsia="Times New Roman" w:hAnsi="Times New Roman"/>
          <w:sz w:val="23"/>
          <w:szCs w:val="23"/>
        </w:rPr>
        <w:t xml:space="preserve">The agent operates on systems where incorrect actions can corrupt firmware, destabilize links, crash training jobs, or damage hardware. Safety is enforced through a </w:t>
      </w:r>
      <w:r>
        <w:rPr>
          <w:rFonts w:ascii="Times New Roman" w:cs="Times New Roman" w:eastAsia="Times New Roman" w:hAnsi="Times New Roman"/>
          <w:b/>
          <w:bCs/>
          <w:sz w:val="23"/>
          <w:szCs w:val="23"/>
        </w:rPr>
        <w:t xml:space="preserve">five-tier permission model</w:t>
      </w:r>
      <w:r>
        <w:rPr>
          <w:rFonts w:ascii="Times New Roman" w:cs="Times New Roman" w:eastAsia="Times New Roman" w:hAnsi="Times New Roman"/>
          <w:sz w:val="23"/>
          <w:szCs w:val="23"/>
        </w:rPr>
        <w:t xml:space="preserve"> implemented at the harness level. Tier 0 is read-only analysis: log parsing, spec retrieval, hypothesis generation. Tier 1 is system read: register reads, status queries, log collection via allowlisted commands. Tier 2 is test execution: PRBS sweeps, compliance tests, gpu-burn, NCCL benchmarks—anything that exercises hardware without modifying persistent state. Tier 3 is config write: register writes, EQ preset changes, firmware parameters, BIOS settings—requiring human approval, pre-staged rollback, and post-write verification. Tier 4 is firmware flash: persistent image writes gated by backup verification, human approval, and post-flash validation. In fleet operations, the permission model gains three additional dimensions. </w:t>
      </w:r>
      <w:r>
        <w:rPr>
          <w:rFonts w:ascii="Times New Roman" w:cs="Times New Roman" w:eastAsia="Times New Roman" w:hAnsi="Times New Roman"/>
          <w:b/>
          <w:bCs/>
          <w:sz w:val="23"/>
          <w:szCs w:val="23"/>
        </w:rPr>
        <w:t xml:space="preserve">Workload awareness:</w:t>
      </w:r>
      <w:r>
        <w:rPr>
          <w:rFonts w:ascii="Times New Roman" w:cs="Times New Roman" w:eastAsia="Times New Roman" w:hAnsi="Times New Roman"/>
          <w:sz w:val="23"/>
          <w:szCs w:val="23"/>
        </w:rPr>
        <w:t xml:space="preserve"> the agent queries the cluster scheduler before any Tier 2+ action; if the target node is running an active job, it must drain the node first or defer the action. </w:t>
      </w:r>
      <w:r>
        <w:rPr>
          <w:rFonts w:ascii="Times New Roman" w:cs="Times New Roman" w:eastAsia="Times New Roman" w:hAnsi="Times New Roman"/>
          <w:b/>
          <w:bCs/>
          <w:sz w:val="23"/>
          <w:szCs w:val="23"/>
        </w:rPr>
        <w:t xml:space="preserve">Fleet-level rate limiting:</w:t>
      </w:r>
      <w:r>
        <w:rPr>
          <w:rFonts w:ascii="Times New Roman" w:cs="Times New Roman" w:eastAsia="Times New Roman" w:hAnsi="Times New Roman"/>
          <w:sz w:val="23"/>
          <w:szCs w:val="23"/>
        </w:rPr>
        <w:t xml:space="preserve"> the agent cannot simultaneously execute Tier 3+ operations on more than a configurable percentage of the fleet, preventing a misdiagnosis from cascading into a fleet-wide incident. </w:t>
      </w:r>
      <w:r>
        <w:rPr>
          <w:rFonts w:ascii="Times New Roman" w:cs="Times New Roman" w:eastAsia="Times New Roman" w:hAnsi="Times New Roman"/>
          <w:b/>
          <w:bCs/>
          <w:sz w:val="23"/>
          <w:szCs w:val="23"/>
        </w:rPr>
        <w:t xml:space="preserve">Correlated-action gating:</w:t>
      </w:r>
      <w:r>
        <w:rPr>
          <w:rFonts w:ascii="Times New Roman" w:cs="Times New Roman" w:eastAsia="Times New Roman" w:hAnsi="Times New Roman"/>
          <w:sz w:val="23"/>
          <w:szCs w:val="23"/>
        </w:rPr>
        <w:t xml:space="preserve"> if the agent proposes the same config write to multiple nodes (suggesting a systemic issue), it must execute on a canary set first, verify, and only then proceed to the broader cohort.</w:t>
      </w:r>
    </w:p>
    <w:p>
      <w:pPr>
        <w:spacing w:after="170" w:line="259"/>
      </w:pPr>
      <w:r>
        <w:rPr>
          <w:rFonts w:ascii="Times New Roman" w:cs="Times New Roman" w:eastAsia="Times New Roman" w:hAnsi="Times New Roman"/>
          <w:sz w:val="23"/>
          <w:szCs w:val="23"/>
        </w:rPr>
        <w:t xml:space="preserve">Cross-cutting safety mechanisms apply at all tiers: </w:t>
      </w:r>
      <w:r>
        <w:rPr>
          <w:rFonts w:ascii="Times New Roman" w:cs="Times New Roman" w:eastAsia="Times New Roman" w:hAnsi="Times New Roman"/>
          <w:b/>
          <w:bCs/>
          <w:sz w:val="23"/>
          <w:szCs w:val="23"/>
        </w:rPr>
        <w:t xml:space="preserve">command allowlisting</w:t>
      </w:r>
      <w:r>
        <w:rPr>
          <w:rFonts w:ascii="Times New Roman" w:cs="Times New Roman" w:eastAsia="Times New Roman" w:hAnsi="Times New Roman"/>
          <w:sz w:val="23"/>
          <w:szCs w:val="23"/>
        </w:rPr>
        <w:t xml:space="preserve"> defines the exact commands and register addresses the agent may access per target, enforced at the harness level. </w:t>
      </w:r>
      <w:r>
        <w:rPr>
          <w:rFonts w:ascii="Times New Roman" w:cs="Times New Roman" w:eastAsia="Times New Roman" w:hAnsi="Times New Roman"/>
          <w:b/>
          <w:bCs/>
          <w:sz w:val="23"/>
          <w:szCs w:val="23"/>
        </w:rPr>
        <w:t xml:space="preserve">Rollback pre-staging</w:t>
      </w:r>
      <w:r>
        <w:rPr>
          <w:rFonts w:ascii="Times New Roman" w:cs="Times New Roman" w:eastAsia="Times New Roman" w:hAnsi="Times New Roman"/>
          <w:sz w:val="23"/>
          <w:szCs w:val="23"/>
        </w:rPr>
        <w:t xml:space="preserve"> captures the current state before any write, enabling immediate autonomous revert if a post-change verification test fails. </w:t>
      </w:r>
      <w:r>
        <w:rPr>
          <w:rFonts w:ascii="Times New Roman" w:cs="Times New Roman" w:eastAsia="Times New Roman" w:hAnsi="Times New Roman"/>
          <w:b/>
          <w:bCs/>
          <w:sz w:val="23"/>
          <w:szCs w:val="23"/>
        </w:rPr>
        <w:t xml:space="preserve">Blast-radius limiting</w:t>
      </w:r>
      <w:r>
        <w:rPr>
          <w:rFonts w:ascii="Times New Roman" w:cs="Times New Roman" w:eastAsia="Times New Roman" w:hAnsi="Times New Roman"/>
          <w:sz w:val="23"/>
          <w:szCs w:val="23"/>
        </w:rPr>
        <w:t xml:space="preserve"> scopes the agent to defined devices, slots, lanes, or node sets. </w:t>
      </w:r>
      <w:r>
        <w:rPr>
          <w:rFonts w:ascii="Times New Roman" w:cs="Times New Roman" w:eastAsia="Times New Roman" w:hAnsi="Times New Roman"/>
          <w:b/>
          <w:bCs/>
          <w:sz w:val="23"/>
          <w:szCs w:val="23"/>
        </w:rPr>
        <w:t xml:space="preserve">Confidence-gated escalation</w:t>
      </w:r>
      <w:r>
        <w:rPr>
          <w:rFonts w:ascii="Times New Roman" w:cs="Times New Roman" w:eastAsia="Times New Roman" w:hAnsi="Times New Roman"/>
          <w:sz w:val="23"/>
          <w:szCs w:val="23"/>
        </w:rPr>
        <w:t xml:space="preserve"> pauses the agent when diagnosis confidence drops below threshold. A </w:t>
      </w:r>
      <w:r>
        <w:rPr>
          <w:rFonts w:ascii="Times New Roman" w:cs="Times New Roman" w:eastAsia="Times New Roman" w:hAnsi="Times New Roman"/>
          <w:b/>
          <w:bCs/>
          <w:sz w:val="23"/>
          <w:szCs w:val="23"/>
        </w:rPr>
        <w:t xml:space="preserve">convergence watchdog</w:t>
      </w:r>
      <w:r>
        <w:rPr>
          <w:rFonts w:ascii="Times New Roman" w:cs="Times New Roman" w:eastAsia="Times New Roman" w:hAnsi="Times New Roman"/>
          <w:sz w:val="23"/>
          <w:szCs w:val="23"/>
        </w:rPr>
        <w:t xml:space="preserve"> detects unproductive loops (N iterations without new information) and forces escalation. Every action—every CLI command, every register read, every test invocation—is recorded in an immutable, tamper-evident audit log with the associated reasoning step, hypothesis, evidence, and outcome.</w:t>
      </w:r>
    </w:p>
    <w:p>
      <w:pPr>
        <w:pStyle w:val="Heading2"/>
      </w:pPr>
      <w:r>
        <w:t xml:space="preserve">5.2 Deployment Topology</w:t>
      </w:r>
    </w:p>
    <w:p>
      <w:pPr>
        <w:spacing w:after="170" w:line="259"/>
      </w:pPr>
      <w:r>
        <w:rPr>
          <w:rFonts w:ascii="Times New Roman" w:cs="Times New Roman" w:eastAsia="Times New Roman" w:hAnsi="Times New Roman"/>
          <w:sz w:val="23"/>
          <w:szCs w:val="23"/>
        </w:rPr>
        <w:t xml:space="preserve">The platform deploys in a </w:t>
      </w:r>
      <w:r>
        <w:rPr>
          <w:rFonts w:ascii="Times New Roman" w:cs="Times New Roman" w:eastAsia="Times New Roman" w:hAnsi="Times New Roman"/>
          <w:b/>
          <w:bCs/>
          <w:sz w:val="23"/>
          <w:szCs w:val="23"/>
        </w:rPr>
        <w:t xml:space="preserve">split-plane Cloud-Prem architecture</w:t>
      </w:r>
      <w:r>
        <w:rPr>
          <w:rFonts w:ascii="Times New Roman" w:cs="Times New Roman" w:eastAsia="Times New Roman" w:hAnsi="Times New Roman"/>
          <w:sz w:val="23"/>
          <w:szCs w:val="23"/>
        </w:rPr>
        <w:t xml:space="preserve"> as its default. The </w:t>
      </w:r>
      <w:r>
        <w:rPr>
          <w:rFonts w:ascii="Times New Roman" w:cs="Times New Roman" w:eastAsia="Times New Roman" w:hAnsi="Times New Roman"/>
          <w:b/>
          <w:bCs/>
          <w:sz w:val="23"/>
          <w:szCs w:val="23"/>
        </w:rPr>
        <w:t xml:space="preserve">Customer Data Plane</w:t>
      </w:r>
      <w:r>
        <w:rPr>
          <w:rFonts w:ascii="Times New Roman" w:cs="Times New Roman" w:eastAsia="Times New Roman" w:hAnsi="Times New Roman"/>
          <w:sz w:val="23"/>
          <w:szCs w:val="23"/>
        </w:rPr>
        <w:t xml:space="preserve"> runs on-premises or in the customer’s VPC: the full telemetry normalization pipeline, TimescaleDB, the baseline and ML detection engines, the agent’s execution layer and test orchestration, the context and session store, and all system access interfaces. Sensitive data—telemetry, firmware source, register values, system credentials—never leaves this plane. The </w:t>
      </w:r>
      <w:r>
        <w:rPr>
          <w:rFonts w:ascii="Times New Roman" w:cs="Times New Roman" w:eastAsia="Times New Roman" w:hAnsi="Times New Roman"/>
          <w:b/>
          <w:bCs/>
          <w:sz w:val="23"/>
          <w:szCs w:val="23"/>
        </w:rPr>
        <w:t xml:space="preserve">Inference Plane</w:t>
      </w:r>
      <w:r>
        <w:rPr>
          <w:rFonts w:ascii="Times New Roman" w:cs="Times New Roman" w:eastAsia="Times New Roman" w:hAnsi="Times New Roman"/>
          <w:sz w:val="23"/>
          <w:szCs w:val="23"/>
        </w:rPr>
        <w:t xml:space="preserve"> runs in the cloud and hosts foundation model inference. It receives only structured, abstracted queries (summarized context, hypothesis descriptions, spec passages, test-result summaries) and returns reasoning and action plans. The interface is a narrow typed API; intercepting the traffic reveals only abstracted reasoning fragments. The inference plane operates in zero-retention mode. For fully air-gapped environments (sovereign AI clusters, ITAR programs), the entire stack deploys on-premises with self-hosted open-weight models via Ollama or equivalent, with zero external network dependency. For cloud-comfortable customers, a fully managed SaaS option connects to customer systems via secure tunnel. BYOK (customer-managed encryption keys) and BYOM (bring your own model—customers supply their own API keys or point inference at any OpenAI-compatible endpoint) are supported in all deployment modes, decoupling the platform’s value from any single model or cloud provider.</w:t>
      </w:r>
    </w:p>
    <w:p>
      <w:pPr>
        <w:pStyle w:val="Heading2"/>
      </w:pPr>
      <w:r>
        <w:t xml:space="preserve">5.3 The Compounding Feedback Loop</w:t>
      </w:r>
    </w:p>
    <w:p>
      <w:pPr>
        <w:spacing w:after="170" w:line="259"/>
      </w:pPr>
      <w:r>
        <w:rPr>
          <w:rFonts w:ascii="Times New Roman" w:cs="Times New Roman" w:eastAsia="Times New Roman" w:hAnsi="Times New Roman"/>
          <w:sz w:val="23"/>
          <w:szCs w:val="23"/>
        </w:rPr>
        <w:t xml:space="preserve">The platform’s deepest moat is not any single component but the feedback loop that connects them. The perception layer detects an anomaly and proposes a causal chain. The agent layer verifies the chain via targeted system tests and executes the remediation. The engineer confirms or rejects the diagnosis via the HITL interface. That confirmation signal flows back into three systems simultaneously: it updates the </w:t>
      </w:r>
      <w:r>
        <w:rPr>
          <w:rFonts w:ascii="Times New Roman" w:cs="Times New Roman" w:eastAsia="Times New Roman" w:hAnsi="Times New Roman"/>
          <w:b/>
          <w:bCs/>
          <w:sz w:val="23"/>
          <w:szCs w:val="23"/>
        </w:rPr>
        <w:t xml:space="preserve">ML models</w:t>
      </w:r>
      <w:r>
        <w:rPr>
          <w:rFonts w:ascii="Times New Roman" w:cs="Times New Roman" w:eastAsia="Times New Roman" w:hAnsi="Times New Roman"/>
          <w:sz w:val="23"/>
          <w:szCs w:val="23"/>
        </w:rPr>
        <w:t xml:space="preserve"> (GDN’s anomaly scoring is adjusted via online convex optimization; Cascade’s causal priors are refined), it adds a labeled entry to the </w:t>
      </w:r>
      <w:r>
        <w:rPr>
          <w:rFonts w:ascii="Times New Roman" w:cs="Times New Roman" w:eastAsia="Times New Roman" w:hAnsi="Times New Roman"/>
          <w:b/>
          <w:bCs/>
          <w:sz w:val="23"/>
          <w:szCs w:val="23"/>
        </w:rPr>
        <w:t xml:space="preserve">pattern library</w:t>
      </w:r>
      <w:r>
        <w:rPr>
          <w:rFonts w:ascii="Times New Roman" w:cs="Times New Roman" w:eastAsia="Times New Roman" w:hAnsi="Times New Roman"/>
          <w:sz w:val="23"/>
          <w:szCs w:val="23"/>
        </w:rPr>
        <w:t xml:space="preserve"> (a growing corpus of event-signature → causal-chain → root-cause → test-sequence → fix → verification tuples searchable by the agent’s RAG system), and it refines the </w:t>
      </w:r>
      <w:r>
        <w:rPr>
          <w:rFonts w:ascii="Times New Roman" w:cs="Times New Roman" w:eastAsia="Times New Roman" w:hAnsi="Times New Roman"/>
          <w:b/>
          <w:bCs/>
          <w:sz w:val="23"/>
          <w:szCs w:val="23"/>
        </w:rPr>
        <w:t xml:space="preserve">agent’s context corpus</w:t>
      </w:r>
      <w:r>
        <w:rPr>
          <w:rFonts w:ascii="Times New Roman" w:cs="Times New Roman" w:eastAsia="Times New Roman" w:hAnsi="Times New Roman"/>
          <w:sz w:val="23"/>
          <w:szCs w:val="23"/>
        </w:rPr>
        <w:t xml:space="preserve"> (historical debug sessions become precedent for future diagnoses). Every resolved incident makes the next detection faster (the ML models are more precise), the next diagnosis cheaper (the agent finds a matching precedent in the pattern library and skips exploratory testing), and the next remediation more likely to succeed autonomously (the agent has a verified playbook to follow). This loop compounds across customers: anonymized, abstracted failure signatures and resolution patterns (stripped of customer-specific data) can be shared across deployments, so a failure mode first diagnosed at Customer A is recognized instantly at Customer B. The platform gets smarter with every node-hour it monitors, every debug session it runs, and every incident it resolves.</w:t>
      </w:r>
    </w:p>
    <w:p>
      <w:pPr>
        <w:spacing w:after="170" w:line="259"/>
      </w:pPr>
      <w:r>
        <w:rPr>
          <w:rFonts w:ascii="Times New Roman" w:cs="Times New Roman" w:eastAsia="Times New Roman" w:hAnsi="Times New Roman"/>
          <w:sz w:val="23"/>
          <w:szCs w:val="23"/>
        </w:rPr>
        <w:t xml:space="preserve">The design-in surface and fleet-ops surface feed the same loop from different entry points. Design-in engagements produce high-quality labeled data—a semiconductor vendor debugging a specific LTSSM failure generates a precise (failure-signature, register-config, root-cause, fix) tuple that is gold-standard training data for the pattern library. Fleet operations produce high-volume data—thousands of nodes generating continuous telemetry trains the GDN and Cascade models to recognize increasingly subtle cross-vendor anomalies. The combination is what makes the platform defensible: </w:t>
      </w:r>
      <w:r>
        <w:rPr>
          <w:rFonts w:ascii="Times New Roman" w:cs="Times New Roman" w:eastAsia="Times New Roman" w:hAnsi="Times New Roman"/>
          <w:b/>
          <w:bCs/>
          <w:sz w:val="23"/>
          <w:szCs w:val="23"/>
        </w:rPr>
        <w:t xml:space="preserve">neither surface alone generates the data the other needs</w:t>
      </w:r>
      <w:r>
        <w:rPr>
          <w:rFonts w:ascii="Times New Roman" w:cs="Times New Roman" w:eastAsia="Times New Roman" w:hAnsi="Times New Roman"/>
          <w:sz w:val="23"/>
          <w:szCs w:val="23"/>
        </w:rPr>
        <w:t xml:space="preserve">. A pure design-in tool lacks the fleet telemetry volume to train robust anomaly detection. A pure fleet-monitoring tool lacks the deep, labeled, root-cause-resolved debug traces to build an effective autonomous remediation agent. Fourier generates both, from a single architecture, and compounds them into a single feedback loop.</w:t>
      </w:r>
    </w:p>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999999"/>
        <w:sz w:val="17"/>
        <w:szCs w:val="17"/>
      </w:rPr>
      <w:t xml:space="preserve">Page </w:t>
    </w:r>
    <w:r>
      <w:rPr>
        <w:rFonts w:ascii="Times New Roman" w:cs="Times New Roman" w:eastAsia="Times New Roman" w:hAnsi="Times New Roman"/>
        <w:color w:val="999999"/>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Times New Roman" w:cs="Times New Roman" w:eastAsia="Times New Roman" w:hAnsi="Times New Roman"/>
        <w:b/>
        <w:bCs/>
        <w:color w:val="555555"/>
        <w:sz w:val="17"/>
        <w:szCs w:val="17"/>
      </w:rPr>
      <w:t xml:space="preserve">Fourier — Unified Platform PRD</w:t>
    </w:r>
    <w:r>
      <w:rPr>
        <w:rFonts w:ascii="Times New Roman" w:cs="Times New Roman" w:eastAsia="Times New Roman" w:hAnsi="Times New Roman"/>
        <w:color w:val="999999"/>
        <w:sz w:val="17"/>
        <w:szCs w:val="17"/>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20"/>
      <w:outlineLvl w:val="0"/>
    </w:pPr>
    <w:rPr>
      <w:rFonts w:ascii="Times New Roman" w:cs="Times New Roman" w:eastAsia="Times New Roman" w:hAnsi="Times New Roman"/>
      <w:b/>
      <w:bCs/>
      <w:color w:val="000000"/>
      <w:sz w:val="25"/>
      <w:szCs w:val="25"/>
    </w:rPr>
  </w:style>
  <w:style w:type="paragraph" w:styleId="Heading2">
    <w:name w:val="Heading 2"/>
    <w:basedOn w:val="Normal"/>
    <w:next w:val="Normal"/>
    <w:qFormat/>
    <w:pPr>
      <w:spacing w:before="220" w:after="80"/>
      <w:outlineLvl w:val="1"/>
    </w:pPr>
    <w:rPr>
      <w:rFonts w:ascii="Times New Roman" w:cs="Times New Roman" w:eastAsia="Times New Roman" w:hAnsi="Times New Roman"/>
      <w:b/>
      <w:bCs/>
      <w:color w:val="00000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2026-03-19T05:53:27.222Z</dcterms:created>
  <dcterms:modified xsi:type="dcterms:W3CDTF">2026-03-19T05:53:27.223Z</dcterms:modified>
</cp:coreProperties>
</file>

<file path=docProps/custom.xml><?xml version="1.0" encoding="utf-8"?>
<Properties xmlns="http://schemas.openxmlformats.org/officeDocument/2006/custom-properties" xmlns:vt="http://schemas.openxmlformats.org/officeDocument/2006/docPropsVTypes"/>
</file>