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 ContentType="image/png"/>
  <Override PartName="/word/media/image10." ContentType="image/png"/>
  <Override PartName="/word/media/image2." ContentType="image/png"/>
  <Override PartName="/word/media/image4." ContentType="image/png"/>
  <Override PartName="/word/media/image5." ContentType="image/png"/>
  <Override PartName="/word/media/image6." ContentType="image/png"/>
  <Override PartName="/word/media/image7." ContentType="image/png"/>
  <Override PartName="/word/media/image8." ContentType="image/png"/>
  <Override PartName="/word/media/image9."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WEEK 2 — EXPLORATORY DATA ANALYSIS &amp; VISUALIZATION</w:t>
      </w:r>
    </w:p>
    <w:p>
      <w:pPr>
        <w:jc w:val="center"/>
      </w:pPr>
      <w:r>
        <w:rPr>
          <w:b/>
          <w:sz w:val="24"/>
        </w:rPr>
        <w:t>Hotel Booking Cancellation Analysis</w:t>
      </w:r>
    </w:p>
    <w:p>
      <w:pPr>
        <w:jc w:val="center"/>
      </w:pPr>
      <w:r>
        <w:rPr>
          <w:i/>
          <w:sz w:val="17"/>
        </w:rPr>
        <w:t>Project Documentation | Cleaned Dataset: 87,396 records × 34 variables</w:t>
      </w:r>
    </w:p>
    <w:p>
      <w:r>
        <w:rPr>
          <w:b/>
          <w:sz w:val="22"/>
        </w:rPr>
        <w:t>1. Purpose of Week 2</w:t>
      </w:r>
    </w:p>
    <w:p>
      <w:r>
        <w:t>The second week of the project focused on Exploratory Data Analysis (EDA). The aim was to understand the structure of the cleaned hotel-booking dataset, identify important cancellation patterns, compare customer and booking characteristics, and visually examine relationships that may be useful for prediction.</w:t>
      </w:r>
    </w:p>
    <w:p>
      <w:r>
        <w:rPr>
          <w:b/>
          <w:sz w:val="22"/>
        </w:rPr>
        <w:t>2. EDA Approach</w:t>
      </w:r>
    </w:p>
    <w:p>
      <w:pPr>
        <w:spacing w:after="40"/>
      </w:pPr>
      <w:r>
        <w:t>• Calculated the overall cancellation rate and the distribution of cancelled versus non-cancelled bookings.</w:t>
      </w:r>
    </w:p>
    <w:p>
      <w:pPr>
        <w:spacing w:after="40"/>
      </w:pPr>
      <w:r>
        <w:t>• Compared cancellation rates across hotel type, market segment, customer type, and deposit type.</w:t>
      </w:r>
    </w:p>
    <w:p>
      <w:pPr>
        <w:spacing w:after="40"/>
      </w:pPr>
      <w:r>
        <w:t>• Compared average lead time and Average Daily Rate (ADR) for cancelled and non-cancelled bookings.</w:t>
      </w:r>
    </w:p>
    <w:p>
      <w:pPr>
        <w:spacing w:after="40"/>
      </w:pPr>
      <w:r>
        <w:t>• Used bar charts, a histogram, a monthly trend chart, and a correlation heatmap to communicate the results.</w:t>
      </w:r>
    </w:p>
    <w:p>
      <w:pPr>
        <w:spacing w:after="40"/>
      </w:pPr>
      <w:r>
        <w:t>• Used correlation analysis to identify numerical variables that could be useful as predictors in the later classification model.</w:t>
      </w:r>
    </w:p>
    <w:p>
      <w:r>
        <w:rPr>
          <w:b/>
          <w:sz w:val="22"/>
        </w:rPr>
        <w:t>3. Initial Dataset Findings</w:t>
      </w:r>
    </w:p>
    <w:tbl>
      <w:tblPr>
        <w:tblStyle w:val="TableGrid"/>
        <w:tblW w:type="auto" w:w="0"/>
        <w:tblLook w:firstColumn="1" w:firstRow="1" w:lastColumn="0" w:lastRow="0" w:noHBand="0" w:noVBand="1" w:val="04A0"/>
      </w:tblPr>
      <w:tblGrid>
        <w:gridCol w:w="3504"/>
        <w:gridCol w:w="3504"/>
        <w:gridCol w:w="3504"/>
      </w:tblGrid>
      <w:tr>
        <w:tc>
          <w:tcPr>
            <w:tcW w:type="dxa" w:w="3504"/>
          </w:tcPr>
          <w:p>
            <w:r>
              <w:t>Measure</w:t>
            </w:r>
          </w:p>
        </w:tc>
        <w:tc>
          <w:tcPr>
            <w:tcW w:type="dxa" w:w="3504"/>
          </w:tcPr>
          <w:p>
            <w:r>
              <w:t>Result</w:t>
            </w:r>
          </w:p>
        </w:tc>
        <w:tc>
          <w:tcPr>
            <w:tcW w:type="dxa" w:w="3504"/>
          </w:tcPr>
          <w:p>
            <w:r>
              <w:t>Interpretation</w:t>
            </w:r>
          </w:p>
        </w:tc>
      </w:tr>
      <w:tr>
        <w:tc>
          <w:tcPr>
            <w:tcW w:type="dxa" w:w="3504"/>
            <w:vAlign w:val="center"/>
          </w:tcPr>
          <w:p>
            <w:r>
              <w:rPr>
                <w:sz w:val="15"/>
              </w:rPr>
              <w:t>Total observations</w:t>
            </w:r>
          </w:p>
        </w:tc>
        <w:tc>
          <w:tcPr>
            <w:tcW w:type="dxa" w:w="3504"/>
            <w:vAlign w:val="center"/>
          </w:tcPr>
          <w:p>
            <w:r>
              <w:rPr>
                <w:sz w:val="15"/>
              </w:rPr>
              <w:t>87,396</w:t>
            </w:r>
          </w:p>
        </w:tc>
        <w:tc>
          <w:tcPr>
            <w:tcW w:type="dxa" w:w="3504"/>
            <w:vAlign w:val="center"/>
          </w:tcPr>
          <w:p>
            <w:r>
              <w:rPr>
                <w:sz w:val="15"/>
              </w:rPr>
              <w:t>Records available after cleaning</w:t>
            </w:r>
          </w:p>
        </w:tc>
      </w:tr>
      <w:tr>
        <w:tc>
          <w:tcPr>
            <w:tcW w:type="dxa" w:w="3504"/>
            <w:vAlign w:val="center"/>
          </w:tcPr>
          <w:p>
            <w:r>
              <w:rPr>
                <w:sz w:val="15"/>
              </w:rPr>
              <w:t>Total variables</w:t>
            </w:r>
          </w:p>
        </w:tc>
        <w:tc>
          <w:tcPr>
            <w:tcW w:type="dxa" w:w="3504"/>
            <w:vAlign w:val="center"/>
          </w:tcPr>
          <w:p>
            <w:r>
              <w:rPr>
                <w:sz w:val="15"/>
              </w:rPr>
              <w:t>34</w:t>
            </w:r>
          </w:p>
        </w:tc>
        <w:tc>
          <w:tcPr>
            <w:tcW w:type="dxa" w:w="3504"/>
            <w:vAlign w:val="center"/>
          </w:tcPr>
          <w:p>
            <w:r>
              <w:rPr>
                <w:sz w:val="15"/>
              </w:rPr>
              <w:t>Booking, customer, pricing and cancellation attributes</w:t>
            </w:r>
          </w:p>
        </w:tc>
      </w:tr>
      <w:tr>
        <w:tc>
          <w:tcPr>
            <w:tcW w:type="dxa" w:w="3504"/>
            <w:vAlign w:val="center"/>
          </w:tcPr>
          <w:p>
            <w:r>
              <w:rPr>
                <w:sz w:val="15"/>
              </w:rPr>
              <w:t>Cancelled bookings</w:t>
            </w:r>
          </w:p>
        </w:tc>
        <w:tc>
          <w:tcPr>
            <w:tcW w:type="dxa" w:w="3504"/>
            <w:vAlign w:val="center"/>
          </w:tcPr>
          <w:p>
            <w:r>
              <w:rPr>
                <w:sz w:val="15"/>
              </w:rPr>
              <w:t>24,025</w:t>
            </w:r>
          </w:p>
        </w:tc>
        <w:tc>
          <w:tcPr>
            <w:tcW w:type="dxa" w:w="3504"/>
            <w:vAlign w:val="center"/>
          </w:tcPr>
          <w:p>
            <w:r>
              <w:rPr>
                <w:sz w:val="15"/>
              </w:rPr>
              <w:t>27.49% of all records</w:t>
            </w:r>
          </w:p>
        </w:tc>
      </w:tr>
      <w:tr>
        <w:tc>
          <w:tcPr>
            <w:tcW w:type="dxa" w:w="3504"/>
            <w:vAlign w:val="center"/>
          </w:tcPr>
          <w:p>
            <w:r>
              <w:rPr>
                <w:sz w:val="15"/>
              </w:rPr>
              <w:t>Non-cancelled bookings</w:t>
            </w:r>
          </w:p>
        </w:tc>
        <w:tc>
          <w:tcPr>
            <w:tcW w:type="dxa" w:w="3504"/>
            <w:vAlign w:val="center"/>
          </w:tcPr>
          <w:p>
            <w:r>
              <w:rPr>
                <w:sz w:val="15"/>
              </w:rPr>
              <w:t>63,371</w:t>
            </w:r>
          </w:p>
        </w:tc>
        <w:tc>
          <w:tcPr>
            <w:tcW w:type="dxa" w:w="3504"/>
            <w:vAlign w:val="center"/>
          </w:tcPr>
          <w:p>
            <w:r>
              <w:rPr>
                <w:sz w:val="15"/>
              </w:rPr>
              <w:t>72.51% of all records</w:t>
            </w:r>
          </w:p>
        </w:tc>
      </w:tr>
      <w:tr>
        <w:tc>
          <w:tcPr>
            <w:tcW w:type="dxa" w:w="3504"/>
            <w:vAlign w:val="center"/>
          </w:tcPr>
          <w:p>
            <w:r>
              <w:rPr>
                <w:sz w:val="15"/>
              </w:rPr>
              <w:t>Mean lead time — cancelled</w:t>
            </w:r>
          </w:p>
        </w:tc>
        <w:tc>
          <w:tcPr>
            <w:tcW w:type="dxa" w:w="3504"/>
            <w:vAlign w:val="center"/>
          </w:tcPr>
          <w:p>
            <w:r>
              <w:rPr>
                <w:sz w:val="15"/>
              </w:rPr>
              <w:t>105.72 days</w:t>
            </w:r>
          </w:p>
        </w:tc>
        <w:tc>
          <w:tcPr>
            <w:tcW w:type="dxa" w:w="3504"/>
            <w:vAlign w:val="center"/>
          </w:tcPr>
          <w:p>
            <w:r>
              <w:rPr>
                <w:sz w:val="15"/>
              </w:rPr>
              <w:t>Cancelled bookings were made farther in advance on average</w:t>
            </w:r>
          </w:p>
        </w:tc>
      </w:tr>
      <w:tr>
        <w:tc>
          <w:tcPr>
            <w:tcW w:type="dxa" w:w="3504"/>
            <w:vAlign w:val="center"/>
          </w:tcPr>
          <w:p>
            <w:r>
              <w:rPr>
                <w:sz w:val="15"/>
              </w:rPr>
              <w:t>Mean lead time — not cancelled</w:t>
            </w:r>
          </w:p>
        </w:tc>
        <w:tc>
          <w:tcPr>
            <w:tcW w:type="dxa" w:w="3504"/>
            <w:vAlign w:val="center"/>
          </w:tcPr>
          <w:p>
            <w:r>
              <w:rPr>
                <w:sz w:val="15"/>
              </w:rPr>
              <w:t>70.10 days</w:t>
            </w:r>
          </w:p>
        </w:tc>
        <w:tc>
          <w:tcPr>
            <w:tcW w:type="dxa" w:w="3504"/>
            <w:vAlign w:val="center"/>
          </w:tcPr>
          <w:p>
            <w:r>
              <w:rPr>
                <w:sz w:val="15"/>
              </w:rPr>
              <w:t>Non-cancelled bookings had shorter average lead times</w:t>
            </w:r>
          </w:p>
        </w:tc>
      </w:tr>
    </w:tbl>
    <w:p>
      <w:r>
        <w:rPr>
          <w:b/>
          <w:sz w:val="22"/>
        </w:rPr>
        <w:t>4. Booking and Hotel-Level Visualizations</w:t>
      </w:r>
    </w:p>
    <w:tbl>
      <w:tblPr>
        <w:tblW w:type="auto" w:w="0"/>
        <w:tblLayout w:type="autofit"/>
        <w:tblLook w:firstColumn="1" w:firstRow="1" w:lastColumn="0" w:lastRow="0" w:noHBand="0" w:noVBand="1" w:val="04A0"/>
      </w:tblPr>
      <w:tblGrid>
        <w:gridCol w:w="5256"/>
        <w:gridCol w:w="5256"/>
      </w:tblGrid>
      <w:tr>
        <w:tc>
          <w:tcPr>
            <w:tcW w:type="dxa" w:w="5256"/>
          </w:tcPr>
          <w:p>
            <w:pPr>
              <w:jc w:val="center"/>
            </w:pPr>
            <w:r>
              <w:drawing>
                <wp:inline xmlns:a="http://schemas.openxmlformats.org/drawingml/2006/main" xmlns:pic="http://schemas.openxmlformats.org/drawingml/2006/picture">
                  <wp:extent cx="2743200" cy="2819400"/>
                  <wp:docPr id="1" name="Picture 1"/>
                  <wp:cNvGraphicFramePr>
                    <a:graphicFrameLocks noChangeAspect="1"/>
                  </wp:cNvGraphicFramePr>
                  <a:graphic>
                    <a:graphicData uri="http://schemas.openxmlformats.org/drawingml/2006/picture">
                      <pic:pic>
                        <pic:nvPicPr>
                          <pic:cNvPr id="0" name="19 visualization - cancellation rate by hotel"/>
                          <pic:cNvPicPr/>
                        </pic:nvPicPr>
                        <pic:blipFill>
                          <a:blip r:embed="rId9"/>
                          <a:stretch>
                            <a:fillRect/>
                          </a:stretch>
                        </pic:blipFill>
                        <pic:spPr>
                          <a:xfrm>
                            <a:off x="0" y="0"/>
                            <a:ext cx="2743200" cy="2819400"/>
                          </a:xfrm>
                          <a:prstGeom prst="rect"/>
                        </pic:spPr>
                      </pic:pic>
                    </a:graphicData>
                  </a:graphic>
                </wp:inline>
              </w:drawing>
            </w:r>
          </w:p>
          <w:p>
            <w:pPr>
              <w:jc w:val="center"/>
            </w:pPr>
            <w:r>
              <w:rPr>
                <w:b/>
                <w:sz w:val="15"/>
              </w:rPr>
              <w:t>Cancellation Rate by Hotel Type</w:t>
            </w:r>
          </w:p>
          <w:p>
            <w:r>
              <w:rPr>
                <w:sz w:val="13"/>
              </w:rPr>
              <w:t>This comparison examines whether cancellation behaviour differs between City Hotel and Resort Hotel. The result provides an early indication that hotel category can be relevant when explaining cancellation risk.</w:t>
            </w:r>
          </w:p>
        </w:tc>
        <w:tc>
          <w:tcPr>
            <w:tcW w:type="dxa" w:w="5256"/>
          </w:tcPr>
          <w:p>
            <w:pPr>
              <w:jc w:val="center"/>
            </w:pPr>
            <w:r>
              <w:drawing>
                <wp:inline xmlns:a="http://schemas.openxmlformats.org/drawingml/2006/main" xmlns:pic="http://schemas.openxmlformats.org/drawingml/2006/picture">
                  <wp:extent cx="2743200" cy="2819400"/>
                  <wp:docPr id="2" name="Picture 2"/>
                  <wp:cNvGraphicFramePr>
                    <a:graphicFrameLocks noChangeAspect="1"/>
                  </wp:cNvGraphicFramePr>
                  <a:graphic>
                    <a:graphicData uri="http://schemas.openxmlformats.org/drawingml/2006/picture">
                      <pic:pic>
                        <pic:nvPicPr>
                          <pic:cNvPr id="0" name="20 visualization - booking distribution(1)"/>
                          <pic:cNvPicPr/>
                        </pic:nvPicPr>
                        <pic:blipFill>
                          <a:blip r:embed="rId10"/>
                          <a:stretch>
                            <a:fillRect/>
                          </a:stretch>
                        </pic:blipFill>
                        <pic:spPr>
                          <a:xfrm>
                            <a:off x="0" y="0"/>
                            <a:ext cx="2743200" cy="2819400"/>
                          </a:xfrm>
                          <a:prstGeom prst="rect"/>
                        </pic:spPr>
                      </pic:pic>
                    </a:graphicData>
                  </a:graphic>
                </wp:inline>
              </w:drawing>
            </w:r>
          </w:p>
          <w:p>
            <w:pPr>
              <w:jc w:val="center"/>
            </w:pPr>
            <w:r>
              <w:rPr>
                <w:b/>
                <w:sz w:val="15"/>
              </w:rPr>
              <w:t>Booking Distribution by Hotel Type</w:t>
            </w:r>
          </w:p>
          <w:p>
            <w:r>
              <w:rPr>
                <w:sz w:val="13"/>
              </w:rPr>
              <w:t>This chart shows the volume of bookings received by each hotel category. It should be considered together with the cancellation-rate chart because a category with more bookings can naturally contribute more total cancellations.</w:t>
            </w:r>
          </w:p>
        </w:tc>
      </w:tr>
      <w:tr>
        <w:tc>
          <w:tcPr>
            <w:tcW w:type="dxa" w:w="5256"/>
          </w:tcPr>
          <w:p>
            <w:pPr>
              <w:jc w:val="center"/>
            </w:pPr>
            <w:r>
              <w:drawing>
                <wp:inline xmlns:a="http://schemas.openxmlformats.org/drawingml/2006/main" xmlns:pic="http://schemas.openxmlformats.org/drawingml/2006/picture">
                  <wp:extent cx="2743200" cy="2819400"/>
                  <wp:docPr id="3" name="Picture 3"/>
                  <wp:cNvGraphicFramePr>
                    <a:graphicFrameLocks noChangeAspect="1"/>
                  </wp:cNvGraphicFramePr>
                  <a:graphic>
                    <a:graphicData uri="http://schemas.openxmlformats.org/drawingml/2006/picture">
                      <pic:pic>
                        <pic:nvPicPr>
                          <pic:cNvPr id="0" name="21 visualization - average ADR.png"/>
                          <pic:cNvPicPr/>
                        </pic:nvPicPr>
                        <pic:blipFill>
                          <a:blip r:embed="rId11"/>
                          <a:stretch>
                            <a:fillRect/>
                          </a:stretch>
                        </pic:blipFill>
                        <pic:spPr>
                          <a:xfrm>
                            <a:off x="0" y="0"/>
                            <a:ext cx="2743200" cy="2819400"/>
                          </a:xfrm>
                          <a:prstGeom prst="rect"/>
                        </pic:spPr>
                      </pic:pic>
                    </a:graphicData>
                  </a:graphic>
                </wp:inline>
              </w:drawing>
            </w:r>
          </w:p>
          <w:p>
            <w:pPr>
              <w:jc w:val="center"/>
            </w:pPr>
            <w:r>
              <w:rPr>
                <w:b/>
                <w:sz w:val="15"/>
              </w:rPr>
              <w:t>Average Daily Rate by Hotel Type</w:t>
            </w:r>
          </w:p>
          <w:p>
            <w:r>
              <w:rPr>
                <w:sz w:val="13"/>
              </w:rPr>
              <w:t>ADR represents the average daily room price. City Hotel has a higher average ADR than Resort Hotel in this dataset, indicating a difference in the pricing profile of the two hotel categories.</w:t>
            </w:r>
          </w:p>
        </w:tc>
        <w:tc>
          <w:tcPr>
            <w:tcW w:type="dxa" w:w="5256"/>
          </w:tcPr>
          <w:p>
            <w:pPr>
              <w:jc w:val="center"/>
            </w:pPr>
            <w:r>
              <w:drawing>
                <wp:inline xmlns:a="http://schemas.openxmlformats.org/drawingml/2006/main" xmlns:pic="http://schemas.openxmlformats.org/drawingml/2006/picture">
                  <wp:extent cx="2743200" cy="2819400"/>
                  <wp:docPr id="4" name="Picture 4"/>
                  <wp:cNvGraphicFramePr>
                    <a:graphicFrameLocks noChangeAspect="1"/>
                  </wp:cNvGraphicFramePr>
                  <a:graphic>
                    <a:graphicData uri="http://schemas.openxmlformats.org/drawingml/2006/picture">
                      <pic:pic>
                        <pic:nvPicPr>
                          <pic:cNvPr id="0" name="22 visualization - average lead time(1)"/>
                          <pic:cNvPicPr/>
                        </pic:nvPicPr>
                        <pic:blipFill>
                          <a:blip r:embed="rId12"/>
                          <a:stretch>
                            <a:fillRect/>
                          </a:stretch>
                        </pic:blipFill>
                        <pic:spPr>
                          <a:xfrm>
                            <a:off x="0" y="0"/>
                            <a:ext cx="2743200" cy="2819400"/>
                          </a:xfrm>
                          <a:prstGeom prst="rect"/>
                        </pic:spPr>
                      </pic:pic>
                    </a:graphicData>
                  </a:graphic>
                </wp:inline>
              </w:drawing>
            </w:r>
          </w:p>
          <w:p>
            <w:pPr>
              <w:jc w:val="center"/>
            </w:pPr>
            <w:r>
              <w:rPr>
                <w:b/>
                <w:sz w:val="15"/>
              </w:rPr>
              <w:t>Average Lead Time by Hotel Type</w:t>
            </w:r>
          </w:p>
          <w:p>
            <w:r>
              <w:rPr>
                <w:sz w:val="13"/>
              </w:rPr>
              <w:t>Lead time measures the number of days between booking and arrival. Comparing the averages helps identify differences in advance-booking behaviour between hotel types.</w:t>
            </w:r>
          </w:p>
        </w:tc>
      </w:tr>
      <w:tr>
        <w:tc>
          <w:tcPr>
            <w:tcW w:type="dxa" w:w="5256"/>
          </w:tcPr>
          <w:p>
            <w:pPr>
              <w:jc w:val="center"/>
            </w:pPr>
            <w:r>
              <w:drawing>
                <wp:inline xmlns:a="http://schemas.openxmlformats.org/drawingml/2006/main" xmlns:pic="http://schemas.openxmlformats.org/drawingml/2006/picture">
                  <wp:extent cx="2743200" cy="2819400"/>
                  <wp:docPr id="5" name="Picture 5"/>
                  <wp:cNvGraphicFramePr>
                    <a:graphicFrameLocks noChangeAspect="1"/>
                  </wp:cNvGraphicFramePr>
                  <a:graphic>
                    <a:graphicData uri="http://schemas.openxmlformats.org/drawingml/2006/picture">
                      <pic:pic>
                        <pic:nvPicPr>
                          <pic:cNvPr id="0" name="23 visualization - market segment(1)"/>
                          <pic:cNvPicPr/>
                        </pic:nvPicPr>
                        <pic:blipFill>
                          <a:blip r:embed="rId13"/>
                          <a:stretch>
                            <a:fillRect/>
                          </a:stretch>
                        </pic:blipFill>
                        <pic:spPr>
                          <a:xfrm>
                            <a:off x="0" y="0"/>
                            <a:ext cx="2743200" cy="2819400"/>
                          </a:xfrm>
                          <a:prstGeom prst="rect"/>
                        </pic:spPr>
                      </pic:pic>
                    </a:graphicData>
                  </a:graphic>
                </wp:inline>
              </w:drawing>
            </w:r>
          </w:p>
          <w:p>
            <w:pPr>
              <w:jc w:val="center"/>
            </w:pPr>
            <w:r>
              <w:rPr>
                <w:b/>
                <w:sz w:val="15"/>
              </w:rPr>
              <w:t>Bookings by Market Segment</w:t>
            </w:r>
          </w:p>
          <w:p>
            <w:r>
              <w:rPr>
                <w:sz w:val="13"/>
              </w:rPr>
              <w:t>Market segment describes the booking channel or customer acquisition category. The distribution helps identify the most important booking channels and provides context for later cancellation-rate comparisons.</w:t>
            </w:r>
          </w:p>
        </w:tc>
        <w:tc>
          <w:tcPr>
            <w:tcW w:type="dxa" w:w="5256"/>
          </w:tcPr>
          <w:p>
            <w:r/>
          </w:p>
        </w:tc>
      </w:tr>
    </w:tbl>
    <w:p>
      <w:r>
        <w:br w:type="page"/>
      </w:r>
    </w:p>
    <w:p>
      <w:pPr>
        <w:jc w:val="center"/>
      </w:pPr>
      <w:r>
        <w:rPr>
          <w:b/>
          <w:sz w:val="28"/>
        </w:rPr>
        <w:t>WEEK 2 — DETAILED FINDINGS</w:t>
      </w:r>
    </w:p>
    <w:p>
      <w:r>
        <w:rPr>
          <w:b/>
          <w:sz w:val="22"/>
        </w:rPr>
        <w:t>5. Customer and Cancellation Analysis</w:t>
      </w:r>
    </w:p>
    <w:tbl>
      <w:tblPr>
        <w:tblW w:type="auto" w:w="0"/>
        <w:tblLayout w:type="autofit"/>
        <w:tblLook w:firstColumn="1" w:firstRow="1" w:lastColumn="0" w:lastRow="0" w:noHBand="0" w:noVBand="1" w:val="04A0"/>
      </w:tblPr>
      <w:tblGrid>
        <w:gridCol w:w="5256"/>
        <w:gridCol w:w="5256"/>
      </w:tblGrid>
      <w:tr>
        <w:tc>
          <w:tcPr>
            <w:tcW w:type="dxa" w:w="5256"/>
          </w:tcPr>
          <w:p>
            <w:pPr>
              <w:jc w:val="center"/>
            </w:pPr>
            <w:r>
              <w:drawing>
                <wp:inline xmlns:a="http://schemas.openxmlformats.org/drawingml/2006/main" xmlns:pic="http://schemas.openxmlformats.org/drawingml/2006/picture">
                  <wp:extent cx="2743200" cy="2819400"/>
                  <wp:docPr id="6" name="Picture 6"/>
                  <wp:cNvGraphicFramePr>
                    <a:graphicFrameLocks noChangeAspect="1"/>
                  </wp:cNvGraphicFramePr>
                  <a:graphic>
                    <a:graphicData uri="http://schemas.openxmlformats.org/drawingml/2006/picture">
                      <pic:pic>
                        <pic:nvPicPr>
                          <pic:cNvPr id="0" name="24 visualization - customer type"/>
                          <pic:cNvPicPr/>
                        </pic:nvPicPr>
                        <pic:blipFill>
                          <a:blip r:embed="rId14"/>
                          <a:stretch>
                            <a:fillRect/>
                          </a:stretch>
                        </pic:blipFill>
                        <pic:spPr>
                          <a:xfrm>
                            <a:off x="0" y="0"/>
                            <a:ext cx="2743200" cy="2819400"/>
                          </a:xfrm>
                          <a:prstGeom prst="rect"/>
                        </pic:spPr>
                      </pic:pic>
                    </a:graphicData>
                  </a:graphic>
                </wp:inline>
              </w:drawing>
            </w:r>
          </w:p>
          <w:p>
            <w:pPr>
              <w:jc w:val="center"/>
            </w:pPr>
            <w:r>
              <w:rPr>
                <w:b/>
                <w:sz w:val="15"/>
              </w:rPr>
              <w:t>Bookings by Customer Type</w:t>
            </w:r>
          </w:p>
          <w:p>
            <w:r>
              <w:rPr>
                <w:sz w:val="13"/>
              </w:rPr>
              <w:t>The chart compares Contract, Group, Transient, and Transient-Party customers. Transient bookings form the dominant category, which is important because their behaviour can strongly influence overall cancellation patterns.</w:t>
            </w:r>
          </w:p>
        </w:tc>
        <w:tc>
          <w:tcPr>
            <w:tcW w:type="dxa" w:w="5256"/>
          </w:tcPr>
          <w:p>
            <w:pPr>
              <w:jc w:val="center"/>
            </w:pPr>
            <w:r>
              <w:drawing>
                <wp:inline xmlns:a="http://schemas.openxmlformats.org/drawingml/2006/main" xmlns:pic="http://schemas.openxmlformats.org/drawingml/2006/picture">
                  <wp:extent cx="2743200" cy="2819400"/>
                  <wp:docPr id="7" name="Picture 7"/>
                  <wp:cNvGraphicFramePr>
                    <a:graphicFrameLocks noChangeAspect="1"/>
                  </wp:cNvGraphicFramePr>
                  <a:graphic>
                    <a:graphicData uri="http://schemas.openxmlformats.org/drawingml/2006/picture">
                      <pic:pic>
                        <pic:nvPicPr>
                          <pic:cNvPr id="0" name="25 visualization - cancellation market segment"/>
                          <pic:cNvPicPr/>
                        </pic:nvPicPr>
                        <pic:blipFill>
                          <a:blip r:embed="rId15"/>
                          <a:stretch>
                            <a:fillRect/>
                          </a:stretch>
                        </pic:blipFill>
                        <pic:spPr>
                          <a:xfrm>
                            <a:off x="0" y="0"/>
                            <a:ext cx="2743200" cy="2819400"/>
                          </a:xfrm>
                          <a:prstGeom prst="rect"/>
                        </pic:spPr>
                      </pic:pic>
                    </a:graphicData>
                  </a:graphic>
                </wp:inline>
              </w:drawing>
            </w:r>
          </w:p>
          <w:p>
            <w:pPr>
              <w:jc w:val="center"/>
            </w:pPr>
            <w:r>
              <w:rPr>
                <w:b/>
                <w:sz w:val="15"/>
              </w:rPr>
              <w:t>Cancellation Rate by Market Segment</w:t>
            </w:r>
          </w:p>
          <w:p>
            <w:r>
              <w:rPr>
                <w:sz w:val="13"/>
              </w:rPr>
              <w:t>Cancellation rates vary substantially across market segments. Online TA has a relatively high cancellation rate, whereas Corporate and Complementary bookings show lower rates. The Undefined category reaches 100%, so it should be interpreted carefully because the category may contain very few or unusual records.</w:t>
            </w:r>
          </w:p>
        </w:tc>
      </w:tr>
      <w:tr>
        <w:tc>
          <w:tcPr>
            <w:tcW w:type="dxa" w:w="5256"/>
          </w:tcPr>
          <w:p>
            <w:pPr>
              <w:jc w:val="center"/>
            </w:pPr>
            <w:r>
              <w:drawing>
                <wp:inline xmlns:a="http://schemas.openxmlformats.org/drawingml/2006/main" xmlns:pic="http://schemas.openxmlformats.org/drawingml/2006/picture">
                  <wp:extent cx="2743200" cy="2819400"/>
                  <wp:docPr id="8" name="Picture 8"/>
                  <wp:cNvGraphicFramePr>
                    <a:graphicFrameLocks noChangeAspect="1"/>
                  </wp:cNvGraphicFramePr>
                  <a:graphic>
                    <a:graphicData uri="http://schemas.openxmlformats.org/drawingml/2006/picture">
                      <pic:pic>
                        <pic:nvPicPr>
                          <pic:cNvPr id="0" name="26 visualization - monthly booking trend"/>
                          <pic:cNvPicPr/>
                        </pic:nvPicPr>
                        <pic:blipFill>
                          <a:blip r:embed="rId16"/>
                          <a:stretch>
                            <a:fillRect/>
                          </a:stretch>
                        </pic:blipFill>
                        <pic:spPr>
                          <a:xfrm>
                            <a:off x="0" y="0"/>
                            <a:ext cx="2743200" cy="2819400"/>
                          </a:xfrm>
                          <a:prstGeom prst="rect"/>
                        </pic:spPr>
                      </pic:pic>
                    </a:graphicData>
                  </a:graphic>
                </wp:inline>
              </w:drawing>
            </w:r>
          </w:p>
          <w:p>
            <w:pPr>
              <w:jc w:val="center"/>
            </w:pPr>
            <w:r>
              <w:rPr>
                <w:b/>
                <w:sz w:val="15"/>
              </w:rPr>
              <w:t>Monthly Booking Trend</w:t>
            </w:r>
          </w:p>
          <w:p>
            <w:r>
              <w:rPr>
                <w:sz w:val="13"/>
              </w:rPr>
              <w:t>The monthly trend compares booking volumes across arrival years and months. This helps reveal seasonality and changes in demand over time, which may be useful for operational planning.</w:t>
            </w:r>
          </w:p>
        </w:tc>
        <w:tc>
          <w:tcPr>
            <w:tcW w:type="dxa" w:w="5256"/>
          </w:tcPr>
          <w:p>
            <w:pPr>
              <w:jc w:val="center"/>
            </w:pPr>
            <w:r>
              <w:drawing>
                <wp:inline xmlns:a="http://schemas.openxmlformats.org/drawingml/2006/main" xmlns:pic="http://schemas.openxmlformats.org/drawingml/2006/picture">
                  <wp:extent cx="2743200" cy="2819400"/>
                  <wp:docPr id="9" name="Picture 9"/>
                  <wp:cNvGraphicFramePr>
                    <a:graphicFrameLocks noChangeAspect="1"/>
                  </wp:cNvGraphicFramePr>
                  <a:graphic>
                    <a:graphicData uri="http://schemas.openxmlformats.org/drawingml/2006/picture">
                      <pic:pic>
                        <pic:nvPicPr>
                          <pic:cNvPr id="0" name="27 visualization - ADR daily rate"/>
                          <pic:cNvPicPr/>
                        </pic:nvPicPr>
                        <pic:blipFill>
                          <a:blip r:embed="rId17"/>
                          <a:stretch>
                            <a:fillRect/>
                          </a:stretch>
                        </pic:blipFill>
                        <pic:spPr>
                          <a:xfrm>
                            <a:off x="0" y="0"/>
                            <a:ext cx="2743200" cy="2819400"/>
                          </a:xfrm>
                          <a:prstGeom prst="rect"/>
                        </pic:spPr>
                      </pic:pic>
                    </a:graphicData>
                  </a:graphic>
                </wp:inline>
              </w:drawing>
            </w:r>
          </w:p>
          <w:p>
            <w:pPr>
              <w:jc w:val="center"/>
            </w:pPr>
            <w:r>
              <w:rPr>
                <w:b/>
                <w:sz w:val="15"/>
              </w:rPr>
              <w:t>Distribution of Average Daily Rate</w:t>
            </w:r>
          </w:p>
          <w:p>
            <w:r>
              <w:rPr>
                <w:sz w:val="13"/>
              </w:rPr>
              <w:t>The histogram describes the spread of ADR values. Most observations are concentrated within the lower-to-middle price range, while higher ADR values form a smaller tail. This distribution is useful when checking pricing behaviour and potential outliers.</w:t>
            </w:r>
          </w:p>
        </w:tc>
      </w:tr>
      <w:tr>
        <w:tc>
          <w:tcPr>
            <w:tcW w:type="dxa" w:w="5256"/>
          </w:tcPr>
          <w:p>
            <w:pPr>
              <w:jc w:val="center"/>
            </w:pPr>
            <w:r>
              <w:drawing>
                <wp:inline xmlns:a="http://schemas.openxmlformats.org/drawingml/2006/main" xmlns:pic="http://schemas.openxmlformats.org/drawingml/2006/picture">
                  <wp:extent cx="2743200" cy="2819400"/>
                  <wp:docPr id="10" name="Picture 10"/>
                  <wp:cNvGraphicFramePr>
                    <a:graphicFrameLocks noChangeAspect="1"/>
                  </wp:cNvGraphicFramePr>
                  <a:graphic>
                    <a:graphicData uri="http://schemas.openxmlformats.org/drawingml/2006/picture">
                      <pic:pic>
                        <pic:nvPicPr>
                          <pic:cNvPr id="0" name="28 visualization -  correlation heatmap"/>
                          <pic:cNvPicPr/>
                        </pic:nvPicPr>
                        <pic:blipFill>
                          <a:blip r:embed="rId18"/>
                          <a:stretch>
                            <a:fillRect/>
                          </a:stretch>
                        </pic:blipFill>
                        <pic:spPr>
                          <a:xfrm>
                            <a:off x="0" y="0"/>
                            <a:ext cx="2743200" cy="2819400"/>
                          </a:xfrm>
                          <a:prstGeom prst="rect"/>
                        </pic:spPr>
                      </pic:pic>
                    </a:graphicData>
                  </a:graphic>
                </wp:inline>
              </w:drawing>
            </w:r>
          </w:p>
          <w:p>
            <w:pPr>
              <w:jc w:val="center"/>
            </w:pPr>
            <w:r>
              <w:rPr>
                <w:b/>
                <w:sz w:val="15"/>
              </w:rPr>
              <w:t>Correlation Heatmap</w:t>
            </w:r>
          </w:p>
          <w:p>
            <w:r>
              <w:rPr>
                <w:sz w:val="13"/>
              </w:rPr>
              <w:t>The heatmap summarizes linear relationships between selected numerical variables. Lead time has the strongest positive correlation with cancellation among the listed variables (about 0.185), while total special requests has a negative correlation (about -0.121).</w:t>
            </w:r>
          </w:p>
        </w:tc>
        <w:tc>
          <w:tcPr>
            <w:tcW w:type="dxa" w:w="5256"/>
          </w:tcPr>
          <w:p>
            <w:r/>
          </w:p>
        </w:tc>
      </w:tr>
    </w:tbl>
    <w:p>
      <w:r>
        <w:br w:type="page"/>
      </w:r>
    </w:p>
    <w:p>
      <w:pPr>
        <w:jc w:val="center"/>
      </w:pPr>
      <w:r>
        <w:rPr>
          <w:b/>
          <w:sz w:val="28"/>
        </w:rPr>
        <w:t>WEEK 2 — STATISTICAL INTERPRETATION &amp; CONCLUSION</w:t>
      </w:r>
    </w:p>
    <w:p>
      <w:r>
        <w:rPr>
          <w:b/>
          <w:sz w:val="22"/>
        </w:rPr>
        <w:t>6. Statistical Comparison of Lead Time</w:t>
      </w:r>
    </w:p>
    <w:p>
      <w:r>
        <w:t>A Welch two-sample t-test was used to compare lead time between cancelled and non-cancelled bookings. The mean lead time was 105.72 days for cancelled bookings and 70.10 days for non-cancelled bookings. The estimated mean difference was approximately 35.62 days. The test produced t = 52.719 with p &lt; 2.2 × 10⁻¹⁶, indicating a statistically significant difference between the two groups.</w:t>
      </w:r>
    </w:p>
    <w:p>
      <w:r>
        <w:rPr>
          <w:b/>
          <w:sz w:val="22"/>
        </w:rPr>
        <w:t>7. Statistical Comparison of ADR</w:t>
      </w:r>
    </w:p>
    <w:p>
      <w:r>
        <w:t>ADR was also compared between cancelled and non-cancelled bookings. Cancelled bookings had a mean ADR of 117.77, while non-cancelled bookings had a mean ADR of 102.00. The Welch t-test returned t = 35.05 with p &lt; 2.2 × 10⁻¹⁶, providing strong evidence that the average ADR differs between the two groups.</w:t>
      </w:r>
    </w:p>
    <w:p>
      <w:r>
        <w:rPr>
          <w:b/>
          <w:sz w:val="22"/>
        </w:rPr>
        <w:t>8. Correlation Findings</w:t>
      </w:r>
    </w:p>
    <w:tbl>
      <w:tblPr>
        <w:tblStyle w:val="TableGrid"/>
        <w:tblW w:type="auto" w:w="0"/>
        <w:tblLook w:firstColumn="1" w:firstRow="1" w:lastColumn="0" w:lastRow="0" w:noHBand="0" w:noVBand="1" w:val="04A0"/>
      </w:tblPr>
      <w:tblGrid>
        <w:gridCol w:w="5256"/>
        <w:gridCol w:w="5256"/>
      </w:tblGrid>
      <w:tr>
        <w:tc>
          <w:tcPr>
            <w:tcW w:type="dxa" w:w="5256"/>
          </w:tcPr>
          <w:p>
            <w:r>
              <w:t>Variable vs. is_canceled</w:t>
            </w:r>
          </w:p>
        </w:tc>
        <w:tc>
          <w:tcPr>
            <w:tcW w:type="dxa" w:w="5256"/>
          </w:tcPr>
          <w:p>
            <w:r>
              <w:t>Correlation</w:t>
            </w:r>
          </w:p>
        </w:tc>
      </w:tr>
      <w:tr>
        <w:tc>
          <w:tcPr>
            <w:tcW w:type="dxa" w:w="5256"/>
          </w:tcPr>
          <w:p>
            <w:r>
              <w:rPr>
                <w:sz w:val="16"/>
              </w:rPr>
              <w:t>lead_time</w:t>
            </w:r>
          </w:p>
        </w:tc>
        <w:tc>
          <w:tcPr>
            <w:tcW w:type="dxa" w:w="5256"/>
          </w:tcPr>
          <w:p>
            <w:r>
              <w:rPr>
                <w:sz w:val="16"/>
              </w:rPr>
              <w:t>0.1848</w:t>
            </w:r>
          </w:p>
        </w:tc>
      </w:tr>
      <w:tr>
        <w:tc>
          <w:tcPr>
            <w:tcW w:type="dxa" w:w="5256"/>
          </w:tcPr>
          <w:p>
            <w:r>
              <w:rPr>
                <w:sz w:val="16"/>
              </w:rPr>
              <w:t>adr</w:t>
            </w:r>
          </w:p>
        </w:tc>
        <w:tc>
          <w:tcPr>
            <w:tcW w:type="dxa" w:w="5256"/>
          </w:tcPr>
          <w:p>
            <w:r>
              <w:rPr>
                <w:sz w:val="16"/>
              </w:rPr>
              <w:t>0.1280</w:t>
            </w:r>
          </w:p>
        </w:tc>
      </w:tr>
      <w:tr>
        <w:tc>
          <w:tcPr>
            <w:tcW w:type="dxa" w:w="5256"/>
          </w:tcPr>
          <w:p>
            <w:r>
              <w:rPr>
                <w:sz w:val="16"/>
              </w:rPr>
              <w:t>previous_cancellations</w:t>
            </w:r>
          </w:p>
        </w:tc>
        <w:tc>
          <w:tcPr>
            <w:tcW w:type="dxa" w:w="5256"/>
          </w:tcPr>
          <w:p>
            <w:r>
              <w:rPr>
                <w:sz w:val="16"/>
              </w:rPr>
              <w:t>0.0515</w:t>
            </w:r>
          </w:p>
        </w:tc>
      </w:tr>
      <w:tr>
        <w:tc>
          <w:tcPr>
            <w:tcW w:type="dxa" w:w="5256"/>
          </w:tcPr>
          <w:p>
            <w:r>
              <w:rPr>
                <w:sz w:val="16"/>
              </w:rPr>
              <w:t>booking_changes</w:t>
            </w:r>
          </w:p>
        </w:tc>
        <w:tc>
          <w:tcPr>
            <w:tcW w:type="dxa" w:w="5256"/>
          </w:tcPr>
          <w:p>
            <w:r>
              <w:rPr>
                <w:sz w:val="16"/>
              </w:rPr>
              <w:t>-0.0936</w:t>
            </w:r>
          </w:p>
        </w:tc>
      </w:tr>
      <w:tr>
        <w:tc>
          <w:tcPr>
            <w:tcW w:type="dxa" w:w="5256"/>
          </w:tcPr>
          <w:p>
            <w:r>
              <w:rPr>
                <w:sz w:val="16"/>
              </w:rPr>
              <w:t>total_of_special_requests</w:t>
            </w:r>
          </w:p>
        </w:tc>
        <w:tc>
          <w:tcPr>
            <w:tcW w:type="dxa" w:w="5256"/>
          </w:tcPr>
          <w:p>
            <w:r>
              <w:rPr>
                <w:sz w:val="16"/>
              </w:rPr>
              <w:t>-0.1205</w:t>
            </w:r>
          </w:p>
        </w:tc>
      </w:tr>
      <w:tr>
        <w:tc>
          <w:tcPr>
            <w:tcW w:type="dxa" w:w="5256"/>
          </w:tcPr>
          <w:p>
            <w:r>
              <w:rPr>
                <w:sz w:val="16"/>
              </w:rPr>
              <w:t>stays_in_weekend_nights</w:t>
            </w:r>
          </w:p>
        </w:tc>
        <w:tc>
          <w:tcPr>
            <w:tcW w:type="dxa" w:w="5256"/>
          </w:tcPr>
          <w:p>
            <w:r>
              <w:rPr>
                <w:sz w:val="16"/>
              </w:rPr>
              <w:t>0.0602</w:t>
            </w:r>
          </w:p>
        </w:tc>
      </w:tr>
      <w:tr>
        <w:tc>
          <w:tcPr>
            <w:tcW w:type="dxa" w:w="5256"/>
          </w:tcPr>
          <w:p>
            <w:r>
              <w:rPr>
                <w:sz w:val="16"/>
              </w:rPr>
              <w:t>stays_in_week_nights</w:t>
            </w:r>
          </w:p>
        </w:tc>
        <w:tc>
          <w:tcPr>
            <w:tcW w:type="dxa" w:w="5256"/>
          </w:tcPr>
          <w:p>
            <w:r>
              <w:rPr>
                <w:sz w:val="16"/>
              </w:rPr>
              <w:t>0.0829</w:t>
            </w:r>
          </w:p>
        </w:tc>
      </w:tr>
      <w:tr>
        <w:tc>
          <w:tcPr>
            <w:tcW w:type="dxa" w:w="5256"/>
          </w:tcPr>
          <w:p>
            <w:r>
              <w:rPr>
                <w:sz w:val="16"/>
              </w:rPr>
              <w:t>adults</w:t>
            </w:r>
          </w:p>
        </w:tc>
        <w:tc>
          <w:tcPr>
            <w:tcW w:type="dxa" w:w="5256"/>
          </w:tcPr>
          <w:p>
            <w:r>
              <w:rPr>
                <w:sz w:val="16"/>
              </w:rPr>
              <w:t>0.0818</w:t>
            </w:r>
          </w:p>
        </w:tc>
      </w:tr>
      <w:tr>
        <w:tc>
          <w:tcPr>
            <w:tcW w:type="dxa" w:w="5256"/>
          </w:tcPr>
          <w:p>
            <w:r>
              <w:rPr>
                <w:sz w:val="16"/>
              </w:rPr>
              <w:t>children</w:t>
            </w:r>
          </w:p>
        </w:tc>
        <w:tc>
          <w:tcPr>
            <w:tcW w:type="dxa" w:w="5256"/>
          </w:tcPr>
          <w:p>
            <w:r>
              <w:rPr>
                <w:sz w:val="16"/>
              </w:rPr>
              <w:t>0.0674</w:t>
            </w:r>
          </w:p>
        </w:tc>
      </w:tr>
    </w:tbl>
    <w:p>
      <w:r>
        <w:rPr>
          <w:b/>
          <w:sz w:val="22"/>
        </w:rPr>
        <w:t>9. Key Insights</w:t>
      </w:r>
    </w:p>
    <w:p>
      <w:pPr>
        <w:spacing w:after="40"/>
      </w:pPr>
      <w:r>
        <w:t>• The overall cancellation rate is 27.49%, meaning slightly more than one in four bookings in the cleaned dataset was cancelled.</w:t>
      </w:r>
    </w:p>
    <w:p>
      <w:pPr>
        <w:spacing w:after="40"/>
      </w:pPr>
      <w:r>
        <w:t>• Cancellation rates vary by hotel type, market segment, customer type, and deposit type, showing that booking context matters.</w:t>
      </w:r>
    </w:p>
    <w:p>
      <w:pPr>
        <w:spacing w:after="40"/>
      </w:pPr>
      <w:r>
        <w:t>• Cancelled bookings have substantially higher average lead time than non-cancelled bookings.</w:t>
      </w:r>
    </w:p>
    <w:p>
      <w:pPr>
        <w:spacing w:after="40"/>
      </w:pPr>
      <w:r>
        <w:t>• Cancelled bookings also have a higher average ADR, suggesting that pricing may contribute useful information to cancellation prediction.</w:t>
      </w:r>
    </w:p>
    <w:p>
      <w:pPr>
        <w:spacing w:after="40"/>
      </w:pPr>
      <w:r>
        <w:t>• Lead time has the strongest positive correlation with cancellation among the selected numerical variables, although the correlation is moderate rather than strong.</w:t>
      </w:r>
    </w:p>
    <w:p>
      <w:pPr>
        <w:spacing w:after="40"/>
      </w:pPr>
      <w:r>
        <w:t>• Special requests and booking changes have negative correlations with cancellation, suggesting that more engaged bookings may be less likely to cancel.</w:t>
      </w:r>
    </w:p>
    <w:p>
      <w:r>
        <w:rPr>
          <w:b/>
          <w:sz w:val="22"/>
        </w:rPr>
        <w:t>10. Week 2 Conclusion</w:t>
      </w:r>
    </w:p>
    <w:p>
      <w:r>
        <w:t>The EDA established the major patterns in the hotel-booking data and identified variables that may help distinguish cancelled from non-cancelled reservations. The statistical tests confirmed meaningful differences in lead time and ADR, while the correlation analysis provided an initial view of numerical relationships. These findings were used to support feature selection and model development in the subsequent predictive-modelling stage.</w:t>
      </w:r>
    </w:p>
    <w:p>
      <w:r>
        <w:rPr>
          <w:b/>
          <w:sz w:val="20"/>
        </w:rPr>
        <w:t>Tools Used</w:t>
      </w:r>
    </w:p>
    <w:p>
      <w:r>
        <w:t>R, tidyverse, ggplot2, base R aggregation functions, statistical t-tests, and correlation analysis.</w:t>
      </w:r>
    </w:p>
    <w:sectPr w:rsidR="00FC693F" w:rsidRPr="0006063C" w:rsidSect="00034616">
      <w:footerReference w:type="default" r:id="rId19"/>
      <w:pgSz w:w="12240" w:h="15840"/>
      <w:pgMar w:top="792"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4"/>
      </w:rPr>
      <w:t>Hotel Booking Cancellation Analysis | Week 2 — EDA &amp; Visualization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Relationship Id="rId10" Type="http://schemas.openxmlformats.org/officeDocument/2006/relationships/image" Target="media/image2."/><Relationship Id="rId11" Type="http://schemas.openxmlformats.org/officeDocument/2006/relationships/image" Target="media/image3.png"/><Relationship Id="rId12" Type="http://schemas.openxmlformats.org/officeDocument/2006/relationships/image" Target="media/image4."/><Relationship Id="rId13" Type="http://schemas.openxmlformats.org/officeDocument/2006/relationships/image" Target="media/image5."/><Relationship Id="rId14" Type="http://schemas.openxmlformats.org/officeDocument/2006/relationships/image" Target="media/image6."/><Relationship Id="rId15" Type="http://schemas.openxmlformats.org/officeDocument/2006/relationships/image" Target="media/image7."/><Relationship Id="rId16" Type="http://schemas.openxmlformats.org/officeDocument/2006/relationships/image" Target="media/image8."/><Relationship Id="rId17" Type="http://schemas.openxmlformats.org/officeDocument/2006/relationships/image" Target="media/image9."/><Relationship Id="rId18" Type="http://schemas.openxmlformats.org/officeDocument/2006/relationships/image" Target="media/image10."/><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