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404" w:type="dxa"/>
        <w:tblCellSpacing w:w="15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985"/>
        <w:gridCol w:w="2090"/>
        <w:gridCol w:w="602"/>
        <w:gridCol w:w="2530"/>
        <w:gridCol w:w="2686"/>
      </w:tblGrid>
      <w:tr w14:paraId="1C1C8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6" w:type="dxa"/>
            <w:shd w:val="clear"/>
            <w:vAlign w:val="center"/>
          </w:tcPr>
          <w:p w14:paraId="13627C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Req ID</w:t>
            </w:r>
          </w:p>
        </w:tc>
        <w:tc>
          <w:tcPr>
            <w:tcW w:w="955" w:type="dxa"/>
            <w:shd w:val="clear"/>
            <w:vAlign w:val="center"/>
          </w:tcPr>
          <w:p w14:paraId="7CE0E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Type</w:t>
            </w:r>
          </w:p>
        </w:tc>
        <w:tc>
          <w:tcPr>
            <w:tcW w:w="2060" w:type="dxa"/>
            <w:shd w:val="clear"/>
            <w:vAlign w:val="center"/>
          </w:tcPr>
          <w:p w14:paraId="30E870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  <w:tc>
          <w:tcPr>
            <w:tcW w:w="572" w:type="dxa"/>
            <w:shd w:val="clear"/>
            <w:vAlign w:val="center"/>
          </w:tcPr>
          <w:p w14:paraId="4BEBA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Priority</w:t>
            </w:r>
          </w:p>
        </w:tc>
        <w:tc>
          <w:tcPr>
            <w:tcW w:w="2500" w:type="dxa"/>
            <w:shd w:val="clear"/>
            <w:vAlign w:val="center"/>
          </w:tcPr>
          <w:p w14:paraId="66E427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Acceptance Criteria</w:t>
            </w:r>
          </w:p>
        </w:tc>
        <w:tc>
          <w:tcPr>
            <w:tcW w:w="2641" w:type="dxa"/>
            <w:shd w:val="clear"/>
            <w:vAlign w:val="center"/>
          </w:tcPr>
          <w:p w14:paraId="01DB2D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Rationale</w:t>
            </w:r>
          </w:p>
        </w:tc>
      </w:tr>
      <w:tr w14:paraId="69C47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3FA88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FR-001</w:t>
            </w:r>
          </w:p>
        </w:tc>
        <w:tc>
          <w:tcPr>
            <w:tcW w:w="955" w:type="dxa"/>
            <w:shd w:val="clear"/>
            <w:vAlign w:val="center"/>
          </w:tcPr>
          <w:p w14:paraId="308B5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Functional</w:t>
            </w:r>
          </w:p>
        </w:tc>
        <w:tc>
          <w:tcPr>
            <w:tcW w:w="2060" w:type="dxa"/>
            <w:shd w:val="clear"/>
            <w:vAlign w:val="center"/>
          </w:tcPr>
          <w:p w14:paraId="7CC05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allow 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Club Lead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to submit an event proposal containing the event name, date, venue, description, and expected attendance.</w:t>
            </w:r>
          </w:p>
        </w:tc>
        <w:tc>
          <w:tcPr>
            <w:tcW w:w="572" w:type="dxa"/>
            <w:shd w:val="clear"/>
            <w:vAlign w:val="center"/>
          </w:tcPr>
          <w:p w14:paraId="74EA9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6D373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A proposal containing all mandatory fields is submitted successfully and assigned a unique proposal ID.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The system permits submission when any mandatory field is missing.</w:t>
            </w:r>
          </w:p>
        </w:tc>
        <w:tc>
          <w:tcPr>
            <w:tcW w:w="2641" w:type="dxa"/>
            <w:shd w:val="clear"/>
            <w:vAlign w:val="center"/>
          </w:tcPr>
          <w:p w14:paraId="32C58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Event proposal submission is the starting point of the university event approval process.</w:t>
            </w:r>
          </w:p>
        </w:tc>
      </w:tr>
      <w:tr w14:paraId="1CB77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3CAB3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FR-002</w:t>
            </w:r>
          </w:p>
        </w:tc>
        <w:tc>
          <w:tcPr>
            <w:tcW w:w="955" w:type="dxa"/>
            <w:shd w:val="clear"/>
            <w:vAlign w:val="center"/>
          </w:tcPr>
          <w:p w14:paraId="72A81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Functional</w:t>
            </w:r>
          </w:p>
        </w:tc>
        <w:tc>
          <w:tcPr>
            <w:tcW w:w="2060" w:type="dxa"/>
            <w:shd w:val="clear"/>
            <w:vAlign w:val="center"/>
          </w:tcPr>
          <w:p w14:paraId="2216F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allow 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Club Lead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to submit a budget allocation request for an event by specifying the requested amount and required budget details.</w:t>
            </w:r>
          </w:p>
        </w:tc>
        <w:tc>
          <w:tcPr>
            <w:tcW w:w="572" w:type="dxa"/>
            <w:shd w:val="clear"/>
            <w:vAlign w:val="center"/>
          </w:tcPr>
          <w:p w14:paraId="6C28F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07FB3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A request with a valid amount and all mandatory budget details is recorded and assigned a unique request ID.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The system accepts a request with missing or invalid budget information.</w:t>
            </w:r>
          </w:p>
        </w:tc>
        <w:tc>
          <w:tcPr>
            <w:tcW w:w="2641" w:type="dxa"/>
            <w:shd w:val="clear"/>
            <w:vAlign w:val="center"/>
          </w:tcPr>
          <w:p w14:paraId="2002B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Clubs require university funding to conduct approved events, making budget requests a core function.</w:t>
            </w:r>
          </w:p>
        </w:tc>
      </w:tr>
      <w:tr w14:paraId="6B519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7E382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FR-003</w:t>
            </w:r>
          </w:p>
        </w:tc>
        <w:tc>
          <w:tcPr>
            <w:tcW w:w="955" w:type="dxa"/>
            <w:shd w:val="clear"/>
            <w:vAlign w:val="center"/>
          </w:tcPr>
          <w:p w14:paraId="2C3CE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Functional</w:t>
            </w:r>
          </w:p>
        </w:tc>
        <w:tc>
          <w:tcPr>
            <w:tcW w:w="2060" w:type="dxa"/>
            <w:shd w:val="clear"/>
            <w:vAlign w:val="center"/>
          </w:tcPr>
          <w:p w14:paraId="2F942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allow 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Campus Admin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to review an event proposal and approve or reject it with the decision recorded in the system.</w:t>
            </w:r>
          </w:p>
        </w:tc>
        <w:tc>
          <w:tcPr>
            <w:tcW w:w="572" w:type="dxa"/>
            <w:shd w:val="clear"/>
            <w:vAlign w:val="center"/>
          </w:tcPr>
          <w:p w14:paraId="06DD4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58160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Selecting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Approve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or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Reject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changes the proposal status accordingly and records the decision.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The proposal status or decision record remains unchanged after a valid action.</w:t>
            </w:r>
          </w:p>
        </w:tc>
        <w:tc>
          <w:tcPr>
            <w:tcW w:w="2641" w:type="dxa"/>
            <w:shd w:val="clear"/>
            <w:vAlign w:val="center"/>
          </w:tcPr>
          <w:p w14:paraId="0E36F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University approval is required before a proposed student-club event can proceed.</w:t>
            </w:r>
          </w:p>
        </w:tc>
      </w:tr>
      <w:tr w14:paraId="4130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1415C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FR-004</w:t>
            </w:r>
          </w:p>
        </w:tc>
        <w:tc>
          <w:tcPr>
            <w:tcW w:w="955" w:type="dxa"/>
            <w:shd w:val="clear"/>
            <w:vAlign w:val="center"/>
          </w:tcPr>
          <w:p w14:paraId="2BD96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Functional</w:t>
            </w:r>
          </w:p>
        </w:tc>
        <w:tc>
          <w:tcPr>
            <w:tcW w:w="2060" w:type="dxa"/>
            <w:shd w:val="clear"/>
            <w:vAlign w:val="center"/>
          </w:tcPr>
          <w:p w14:paraId="040D6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allow an authorized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Finance Officer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to review a budget allocation request and approve or reject it according to the university approval workflow.</w:t>
            </w:r>
          </w:p>
        </w:tc>
        <w:tc>
          <w:tcPr>
            <w:tcW w:w="572" w:type="dxa"/>
            <w:shd w:val="clear"/>
            <w:vAlign w:val="center"/>
          </w:tcPr>
          <w:p w14:paraId="48712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21C84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A valid approval or rejection updates the budget request status and records the decision with the responsible officer.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The system does not update or record the decision.</w:t>
            </w:r>
          </w:p>
        </w:tc>
        <w:tc>
          <w:tcPr>
            <w:tcW w:w="2641" w:type="dxa"/>
            <w:shd w:val="clear"/>
            <w:vAlign w:val="center"/>
          </w:tcPr>
          <w:p w14:paraId="5CDD5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Financial approval ensures that university funds are allocated through a controlled approval process.</w:t>
            </w:r>
          </w:p>
        </w:tc>
      </w:tr>
      <w:tr w14:paraId="4726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65E94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FR-005</w:t>
            </w:r>
          </w:p>
        </w:tc>
        <w:tc>
          <w:tcPr>
            <w:tcW w:w="955" w:type="dxa"/>
            <w:shd w:val="clear"/>
            <w:vAlign w:val="center"/>
          </w:tcPr>
          <w:p w14:paraId="50CEB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Functional</w:t>
            </w:r>
          </w:p>
        </w:tc>
        <w:tc>
          <w:tcPr>
            <w:tcW w:w="2060" w:type="dxa"/>
            <w:shd w:val="clear"/>
            <w:vAlign w:val="center"/>
          </w:tcPr>
          <w:p w14:paraId="53E6A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generate 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unique QR-code ticket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for each registered attendee of an approved event.</w:t>
            </w:r>
          </w:p>
        </w:tc>
        <w:tc>
          <w:tcPr>
            <w:tcW w:w="572" w:type="dxa"/>
            <w:shd w:val="clear"/>
            <w:vAlign w:val="center"/>
          </w:tcPr>
          <w:p w14:paraId="481A6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77E13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Each registered attendee receives one unique QR-code ticket linked to the correct event and attendee record.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The system generates a duplicate ticket or a ticket without a valid attendee-event association.</w:t>
            </w:r>
          </w:p>
        </w:tc>
        <w:tc>
          <w:tcPr>
            <w:tcW w:w="2641" w:type="dxa"/>
            <w:shd w:val="clear"/>
            <w:vAlign w:val="center"/>
          </w:tcPr>
          <w:p w14:paraId="71B6A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QR-code tickets provide a digital and verifiable method for managing event entry.</w:t>
            </w:r>
          </w:p>
        </w:tc>
      </w:tr>
      <w:tr w14:paraId="28891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15B47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NFR-001</w:t>
            </w:r>
          </w:p>
        </w:tc>
        <w:tc>
          <w:tcPr>
            <w:tcW w:w="955" w:type="dxa"/>
            <w:shd w:val="clear"/>
            <w:vAlign w:val="center"/>
          </w:tcPr>
          <w:p w14:paraId="21E31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Nonfunctional</w:t>
            </w:r>
          </w:p>
        </w:tc>
        <w:tc>
          <w:tcPr>
            <w:tcW w:w="2060" w:type="dxa"/>
            <w:shd w:val="clear"/>
            <w:vAlign w:val="center"/>
          </w:tcPr>
          <w:p w14:paraId="0487D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display the result of a user request within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2 seconds for at least 95% of requests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when up to 200 users access the system concurrently.</w:t>
            </w:r>
          </w:p>
        </w:tc>
        <w:tc>
          <w:tcPr>
            <w:tcW w:w="572" w:type="dxa"/>
            <w:shd w:val="clear"/>
            <w:vAlign w:val="center"/>
          </w:tcPr>
          <w:p w14:paraId="38198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4177A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Performance testing confirms that at least 95% of requests complete within 2 seconds with 200 concurrent users.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More than 5% of requests exceed 2 seconds.</w:t>
            </w:r>
          </w:p>
        </w:tc>
        <w:tc>
          <w:tcPr>
            <w:tcW w:w="2641" w:type="dxa"/>
            <w:shd w:val="clear"/>
            <w:vAlign w:val="center"/>
          </w:tcPr>
          <w:p w14:paraId="26ED3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Fast response times are important during event registration, approvals, and ticket-related activities.</w:t>
            </w:r>
          </w:p>
        </w:tc>
      </w:tr>
      <w:tr w14:paraId="58842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06D9B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NFR-002</w:t>
            </w:r>
          </w:p>
        </w:tc>
        <w:tc>
          <w:tcPr>
            <w:tcW w:w="955" w:type="dxa"/>
            <w:shd w:val="clear"/>
            <w:vAlign w:val="center"/>
          </w:tcPr>
          <w:p w14:paraId="2C150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Nonfunctional</w:t>
            </w:r>
          </w:p>
        </w:tc>
        <w:tc>
          <w:tcPr>
            <w:tcW w:w="2060" w:type="dxa"/>
            <w:shd w:val="clear"/>
            <w:vAlign w:val="center"/>
          </w:tcPr>
          <w:p w14:paraId="33124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The system shall restrict event proposal, budget approval, and ticket-management functions to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authenticated users with the appropriate role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.</w:t>
            </w:r>
          </w:p>
        </w:tc>
        <w:tc>
          <w:tcPr>
            <w:tcW w:w="572" w:type="dxa"/>
            <w:shd w:val="clear"/>
            <w:vAlign w:val="center"/>
          </w:tcPr>
          <w:p w14:paraId="68725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  <w:tc>
          <w:tcPr>
            <w:tcW w:w="2500" w:type="dxa"/>
            <w:shd w:val="clear"/>
            <w:vAlign w:val="center"/>
          </w:tcPr>
          <w:p w14:paraId="2D48F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Pass: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Access-control testing shows that users without the required role are denied access to restricted functions.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Fail:</w:t>
            </w: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 xml:space="preserve"> an unauthorized or unauthenticated user can access a restricted function.</w:t>
            </w:r>
          </w:p>
        </w:tc>
        <w:tc>
          <w:tcPr>
            <w:tcW w:w="2641" w:type="dxa"/>
            <w:shd w:val="clear"/>
            <w:vAlign w:val="center"/>
          </w:tcPr>
          <w:p w14:paraId="4A335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The system handles university budget information and attendee data, which must be protected from unauthorized access.</w:t>
            </w:r>
          </w:p>
        </w:tc>
      </w:tr>
    </w:tbl>
    <w:p w14:paraId="7A96CC61">
      <w:pPr>
        <w:rPr>
          <w:rFonts w:hint="default" w:ascii="Times New Roman" w:hAnsi="Times New Roman" w:cs="Times New Roman"/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C25DB"/>
    <w:rsid w:val="3B354EA3"/>
    <w:rsid w:val="3CA7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2026-08-27T15:03:28Z</dcterms:created>
  <dc:creator>snehi</dc:creator>
  <cp:lastModifiedBy>snehi</cp:lastModifiedBy>
  <dcterms:modified xsi:type="dcterms:W3CDTF">2026-08-27T15:10:21Z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1033-12.1.0.27455</vt:lpwstr>
  </property>
  <property fmtid="{D5CDD505-2E9C-101B-9397-08002B2CF9AE}" pid="3" name="KSOTemplateDocerSaveRecord">
    <vt:lpwstr>eyJoZGlkIjoiNDUwMTFkMDI3ZjBmZjczM2Q3M2EwOGI5M2VjYzUzMDkifQ==</vt:lpwstr>
  </property>
  <property fmtid="{D5CDD505-2E9C-101B-9397-08002B2CF9AE}" pid="4" name="ICV">
    <vt:lpwstr>44732967A81443498532DCB456FAF5DA_12</vt:lpwstr>
  </property>
</Properties>
</file>