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32D02">
      <w:pPr>
        <w:spacing w:after="20"/>
        <w:jc w:val="center"/>
        <w:rPr>
          <w:color w:val="000000" w:themeColor="text1"/>
          <w14:textFill>
            <w14:solidFill>
              <w14:schemeClr w14:val="tx1"/>
            </w14:solidFill>
          </w14:textFill>
        </w:rPr>
      </w:pPr>
      <w:r>
        <w:rPr>
          <w:rFonts w:ascii="Calibri" w:hAnsi="Calibri" w:eastAsia="Calibri" w:cs="Calibri"/>
          <w:b/>
          <w:bCs/>
          <w:color w:val="000000" w:themeColor="text1"/>
          <w:sz w:val="26"/>
          <w:szCs w:val="26"/>
          <w14:textFill>
            <w14:solidFill>
              <w14:schemeClr w14:val="tx1"/>
            </w14:solidFill>
          </w14:textFill>
        </w:rPr>
        <w:t>Deliverable 2 — Written Architectural Justification</w:t>
      </w:r>
    </w:p>
    <w:p w14:paraId="24A7F3C9">
      <w:pPr>
        <w:spacing w:after="20"/>
        <w:jc w:val="center"/>
        <w:rPr>
          <w:color w:val="000000" w:themeColor="text1"/>
          <w14:textFill>
            <w14:solidFill>
              <w14:schemeClr w14:val="tx1"/>
            </w14:solidFill>
          </w14:textFill>
        </w:rPr>
      </w:pPr>
      <w:r>
        <w:rPr>
          <w:rFonts w:ascii="Calibri" w:hAnsi="Calibri" w:eastAsia="Calibri" w:cs="Calibri"/>
          <w:i/>
          <w:iCs/>
          <w:color w:val="000000" w:themeColor="text1"/>
          <w:sz w:val="19"/>
          <w:szCs w:val="19"/>
          <w14:textFill>
            <w14:solidFill>
              <w14:schemeClr w14:val="tx1"/>
            </w14:solidFill>
          </w14:textFill>
        </w:rPr>
        <w:t>Student Club Event Ticketing &amp; Budget Portal</w:t>
      </w:r>
    </w:p>
    <w:p w14:paraId="462F0AAA">
      <w:pPr>
        <w:pBdr>
          <w:bottom w:val="single" w:color="1F3864" w:sz="6" w:space="0"/>
        </w:pBdr>
        <w:spacing w:after="120"/>
        <w:jc w:val="center"/>
        <w:rPr>
          <w:color w:val="000000" w:themeColor="text1"/>
          <w14:textFill>
            <w14:solidFill>
              <w14:schemeClr w14:val="tx1"/>
            </w14:solidFill>
          </w14:textFill>
        </w:rPr>
      </w:pPr>
      <w:r>
        <w:rPr>
          <w:rFonts w:ascii="Calibri" w:hAnsi="Calibri" w:eastAsia="Calibri" w:cs="Calibri"/>
          <w:color w:val="000000" w:themeColor="text1"/>
          <w:sz w:val="16"/>
          <w:szCs w:val="16"/>
          <w14:textFill>
            <w14:solidFill>
              <w14:schemeClr w14:val="tx1"/>
            </w14:solidFill>
          </w14:textFill>
        </w:rPr>
        <w:t>Lab 3 — Component Diagram Supporting Document</w:t>
      </w:r>
    </w:p>
    <w:p w14:paraId="62AC0A79">
      <w:pPr>
        <w:pStyle w:val="3"/>
        <w:spacing w:before="100" w:after="40"/>
        <w:rPr>
          <w:color w:val="000000" w:themeColor="text1"/>
          <w14:textFill>
            <w14:solidFill>
              <w14:schemeClr w14:val="tx1"/>
            </w14:solidFill>
          </w14:textFill>
        </w:rPr>
      </w:pPr>
      <w:r>
        <w:rPr>
          <w:rFonts w:ascii="Calibri" w:hAnsi="Calibri" w:eastAsia="Calibri" w:cs="Calibri"/>
          <w:b/>
          <w:bCs/>
          <w:color w:val="000000" w:themeColor="text1"/>
          <w:sz w:val="21"/>
          <w:szCs w:val="21"/>
          <w14:textFill>
            <w14:solidFill>
              <w14:schemeClr w14:val="tx1"/>
            </w14:solidFill>
          </w14:textFill>
        </w:rPr>
        <w:t>1. Architecture Selection</w:t>
      </w:r>
    </w:p>
    <w:p w14:paraId="2D5B607F">
      <w:pPr>
        <w:spacing w:after="80" w:line="252" w:lineRule="auto"/>
        <w:jc w:val="both"/>
        <w:rPr>
          <w:color w:val="000000" w:themeColor="text1"/>
          <w14:textFill>
            <w14:solidFill>
              <w14:schemeClr w14:val="tx1"/>
            </w14:solidFill>
          </w14:textFill>
        </w:rPr>
      </w:pPr>
      <w:r>
        <w:rPr>
          <w:rFonts w:ascii="Calibri" w:hAnsi="Calibri" w:eastAsia="Calibri" w:cs="Calibri"/>
          <w:color w:val="000000" w:themeColor="text1"/>
          <w:sz w:val="19"/>
          <w:szCs w:val="19"/>
          <w14:textFill>
            <w14:solidFill>
              <w14:schemeClr w14:val="tx1"/>
            </w14:solidFill>
          </w14:textFill>
        </w:rPr>
        <w:t>The system adopts a Layered (N-Tier) Architecture, organised into three distinct tiers: a Presentation Layer, a Business Layer, and a Data Layer. This structure was selected after evaluating the functional requirements of the portal — event proposal submission, budget review, approval workflows, and QR-based ticket validation — against the non-functional requirements governing performance, security, and maintainability that the system must satisfy.</w:t>
      </w:r>
    </w:p>
    <w:p w14:paraId="068CA7F0">
      <w:pPr>
        <w:pStyle w:val="3"/>
        <w:spacing w:before="100" w:after="40"/>
        <w:rPr>
          <w:color w:val="000000" w:themeColor="text1"/>
          <w14:textFill>
            <w14:solidFill>
              <w14:schemeClr w14:val="tx1"/>
            </w14:solidFill>
          </w14:textFill>
        </w:rPr>
      </w:pPr>
      <w:r>
        <w:rPr>
          <w:rFonts w:ascii="Calibri" w:hAnsi="Calibri" w:eastAsia="Calibri" w:cs="Calibri"/>
          <w:b/>
          <w:bCs/>
          <w:color w:val="000000" w:themeColor="text1"/>
          <w:sz w:val="21"/>
          <w:szCs w:val="21"/>
          <w14:textFill>
            <w14:solidFill>
              <w14:schemeClr w14:val="tx1"/>
            </w14:solidFill>
          </w14:textFill>
        </w:rPr>
        <w:t>2. Architectural Choice</w:t>
      </w:r>
    </w:p>
    <w:p w14:paraId="7944F2E4">
      <w:pPr>
        <w:spacing w:after="80" w:line="252" w:lineRule="auto"/>
        <w:jc w:val="both"/>
        <w:rPr>
          <w:color w:val="000000" w:themeColor="text1"/>
          <w14:textFill>
            <w14:solidFill>
              <w14:schemeClr w14:val="tx1"/>
            </w14:solidFill>
          </w14:textFill>
        </w:rPr>
      </w:pPr>
      <w:r>
        <w:rPr>
          <w:rFonts w:ascii="Calibri" w:hAnsi="Calibri" w:eastAsia="Calibri" w:cs="Calibri"/>
          <w:color w:val="000000" w:themeColor="text1"/>
          <w:sz w:val="19"/>
          <w:szCs w:val="19"/>
          <w14:textFill>
            <w14:solidFill>
              <w14:schemeClr w14:val="tx1"/>
            </w14:solidFill>
          </w14:textFill>
        </w:rPr>
        <w:t>The Presentation Layer exposes a single User Interface Component through which all four user roles — Club Lead, Campus Admin, Finance Officer, and Attendee — interact with the system. The Business Layer contains the core domain logic, split across the Event &amp; Proposal Management, Budget Management, Approval &amp; Authorization, and QR Ticket Management components, each communicating through explicitly defined interfaces (Event Proposal API, Budget Request API, Review/Approval API, and Ticket Authorization API). The Data Layer is isolated behind a single Database Component, accessed exclusively through the Database Query Interface. No component outside the Business Layer is permitted to query the database directly.</w:t>
      </w:r>
    </w:p>
    <w:p w14:paraId="1CA9C7CC">
      <w:pPr>
        <w:pStyle w:val="3"/>
        <w:spacing w:before="100" w:after="40"/>
        <w:rPr>
          <w:color w:val="000000" w:themeColor="text1"/>
          <w14:textFill>
            <w14:solidFill>
              <w14:schemeClr w14:val="tx1"/>
            </w14:solidFill>
          </w14:textFill>
        </w:rPr>
      </w:pPr>
      <w:r>
        <w:rPr>
          <w:rFonts w:ascii="Calibri" w:hAnsi="Calibri" w:eastAsia="Calibri" w:cs="Calibri"/>
          <w:b/>
          <w:bCs/>
          <w:color w:val="000000" w:themeColor="text1"/>
          <w:sz w:val="21"/>
          <w:szCs w:val="21"/>
          <w14:textFill>
            <w14:solidFill>
              <w14:schemeClr w14:val="tx1"/>
            </w14:solidFill>
          </w14:textFill>
        </w:rPr>
        <w:t>3. Reason 1 — Separation of Concerns</w:t>
      </w:r>
    </w:p>
    <w:p w14:paraId="54353636">
      <w:pPr>
        <w:spacing w:after="80" w:line="252" w:lineRule="auto"/>
        <w:jc w:val="both"/>
        <w:rPr>
          <w:color w:val="000000" w:themeColor="text1"/>
          <w14:textFill>
            <w14:solidFill>
              <w14:schemeClr w14:val="tx1"/>
            </w14:solidFill>
          </w14:textFill>
        </w:rPr>
      </w:pPr>
      <w:r>
        <w:rPr>
          <w:rFonts w:ascii="Calibri" w:hAnsi="Calibri" w:eastAsia="Calibri" w:cs="Calibri"/>
          <w:color w:val="000000" w:themeColor="text1"/>
          <w:sz w:val="19"/>
          <w:szCs w:val="19"/>
          <w14:textFill>
            <w14:solidFill>
              <w14:schemeClr w14:val="tx1"/>
            </w14:solidFill>
          </w14:textFill>
        </w:rPr>
        <w:t>Isolating presentation, business logic, and data persistence into independent layers ensures that a change in one tier does not cascade into the others. For example, the QR Ticket Management Component can be extended to support a new validation method, or the interface can be redesigned for mobile use, without altering how budgets are approved or how proposal data is stored. This reduces regression risk during iterative development, which is important given the number of stakeholder-facing workflows (proposal submission, budget review, ticket check-in) that this portal must support concurrently.</w:t>
      </w:r>
    </w:p>
    <w:p w14:paraId="1E56641A">
      <w:pPr>
        <w:pStyle w:val="3"/>
        <w:spacing w:before="100" w:after="40"/>
        <w:rPr>
          <w:color w:val="000000" w:themeColor="text1"/>
          <w14:textFill>
            <w14:solidFill>
              <w14:schemeClr w14:val="tx1"/>
            </w14:solidFill>
          </w14:textFill>
        </w:rPr>
      </w:pPr>
      <w:r>
        <w:rPr>
          <w:rFonts w:ascii="Calibri" w:hAnsi="Calibri" w:eastAsia="Calibri" w:cs="Calibri"/>
          <w:b/>
          <w:bCs/>
          <w:color w:val="000000" w:themeColor="text1"/>
          <w:sz w:val="21"/>
          <w:szCs w:val="21"/>
          <w14:textFill>
            <w14:solidFill>
              <w14:schemeClr w14:val="tx1"/>
            </w14:solidFill>
          </w14:textFill>
        </w:rPr>
        <w:t>4. Reason 2 — Scalability and Independent Development</w:t>
      </w:r>
    </w:p>
    <w:p w14:paraId="315BA4D2">
      <w:pPr>
        <w:spacing w:after="80" w:line="252" w:lineRule="auto"/>
        <w:jc w:val="both"/>
        <w:rPr>
          <w:color w:val="000000" w:themeColor="text1"/>
          <w14:textFill>
            <w14:solidFill>
              <w14:schemeClr w14:val="tx1"/>
            </w14:solidFill>
          </w14:textFill>
        </w:rPr>
      </w:pPr>
      <w:r>
        <w:rPr>
          <w:rFonts w:ascii="Calibri" w:hAnsi="Calibri" w:eastAsia="Calibri" w:cs="Calibri"/>
          <w:color w:val="000000" w:themeColor="text1"/>
          <w:sz w:val="19"/>
          <w:szCs w:val="19"/>
          <w14:textFill>
            <w14:solidFill>
              <w14:schemeClr w14:val="tx1"/>
            </w14:solidFill>
          </w14:textFill>
        </w:rPr>
        <w:t>Because each Business Layer component exposes a well-defined interface rather than a shared internal state, the four functional areas can be developed, tested, and scaled independently. The Approval &amp; Authorization Component, for instance, can be scaled separately from the Budget Management Component during periods of high approval traffic (such as the start of a semester), without requiring the entire application to be redeployed. This modularity also allows the development team to divide work along component boundaries, reducing merge conflicts and enabling parallel progress across the club-facing and finance-facing features of the portal.</w:t>
      </w:r>
    </w:p>
    <w:p w14:paraId="21C65445">
      <w:pPr>
        <w:pStyle w:val="3"/>
        <w:spacing w:before="100" w:after="40"/>
        <w:rPr>
          <w:color w:val="000000" w:themeColor="text1"/>
          <w14:textFill>
            <w14:solidFill>
              <w14:schemeClr w14:val="tx1"/>
            </w14:solidFill>
          </w14:textFill>
        </w:rPr>
      </w:pPr>
      <w:r>
        <w:rPr>
          <w:rFonts w:ascii="Calibri" w:hAnsi="Calibri" w:eastAsia="Calibri" w:cs="Calibri"/>
          <w:b/>
          <w:bCs/>
          <w:color w:val="000000" w:themeColor="text1"/>
          <w:sz w:val="21"/>
          <w:szCs w:val="21"/>
          <w14:textFill>
            <w14:solidFill>
              <w14:schemeClr w14:val="tx1"/>
            </w14:solidFill>
          </w14:textFill>
        </w:rPr>
        <w:t>5. Security Advantage</w:t>
      </w:r>
    </w:p>
    <w:p w14:paraId="4130A935">
      <w:pPr>
        <w:spacing w:after="80" w:line="252" w:lineRule="auto"/>
        <w:jc w:val="both"/>
        <w:rPr>
          <w:color w:val="000000" w:themeColor="text1"/>
          <w14:textFill>
            <w14:solidFill>
              <w14:schemeClr w14:val="tx1"/>
            </w14:solidFill>
          </w14:textFill>
        </w:rPr>
      </w:pPr>
      <w:r>
        <w:rPr>
          <w:rFonts w:ascii="Calibri" w:hAnsi="Calibri" w:eastAsia="Calibri" w:cs="Calibri"/>
          <w:color w:val="000000" w:themeColor="text1"/>
          <w:sz w:val="19"/>
          <w:szCs w:val="19"/>
          <w14:textFill>
            <w14:solidFill>
              <w14:schemeClr w14:val="tx1"/>
            </w14:solidFill>
          </w14:textFill>
        </w:rPr>
        <w:t>The layered structure enforces a single, centralised checkpoint for authorization: all approval and role-verification logic resides in the Approval &amp; Authorization Component within the Business Layer. Because the Presentation Layer has no direct path to the Data Layer, every request — regardless of which user role initiates it — must pass through business-layer validation before it can reach stored data. This directly supports the system's role-based access control requirement, ensuring that a Club Lead cannot approve their own budget request and that only a Finance Officer's actions are routed through the authorization component with the appropriate privileges. Consolidating this logic in one place, rather than duplicating checks across the interface, also reduces the attack surface and simplifies auditing.</w:t>
      </w:r>
    </w:p>
    <w:p w14:paraId="574A88DE">
      <w:pPr>
        <w:pStyle w:val="3"/>
        <w:spacing w:before="100" w:after="40"/>
        <w:rPr>
          <w:color w:val="000000" w:themeColor="text1"/>
          <w14:textFill>
            <w14:solidFill>
              <w14:schemeClr w14:val="tx1"/>
            </w14:solidFill>
          </w14:textFill>
        </w:rPr>
      </w:pPr>
      <w:r>
        <w:rPr>
          <w:rFonts w:ascii="Calibri" w:hAnsi="Calibri" w:eastAsia="Calibri" w:cs="Calibri"/>
          <w:b/>
          <w:bCs/>
          <w:color w:val="000000" w:themeColor="text1"/>
          <w:sz w:val="21"/>
          <w:szCs w:val="21"/>
          <w14:textFill>
            <w14:solidFill>
              <w14:schemeClr w14:val="tx1"/>
            </w14:solidFill>
          </w14:textFill>
        </w:rPr>
        <w:t>6. Performance Benefit</w:t>
      </w:r>
    </w:p>
    <w:p w14:paraId="52155B5E">
      <w:pPr>
        <w:spacing w:after="80" w:line="252" w:lineRule="auto"/>
        <w:jc w:val="both"/>
        <w:rPr>
          <w:color w:val="000000" w:themeColor="text1"/>
          <w14:textFill>
            <w14:solidFill>
              <w14:schemeClr w14:val="tx1"/>
            </w14:solidFill>
          </w14:textFill>
        </w:rPr>
      </w:pPr>
      <w:r>
        <w:rPr>
          <w:rFonts w:ascii="Calibri" w:hAnsi="Calibri" w:eastAsia="Calibri" w:cs="Calibri"/>
          <w:color w:val="000000" w:themeColor="text1"/>
          <w:sz w:val="19"/>
          <w:szCs w:val="19"/>
          <w14:textFill>
            <w14:solidFill>
              <w14:schemeClr w14:val="tx1"/>
            </w14:solidFill>
          </w14:textFill>
        </w:rPr>
        <w:t>The system's non-functional requirement specifies a response time of under two seconds while supporting up to 200 concurrent users. The layered design supports this target in two ways. First, the Business Layer components can be scaled horizontally behind their interfaces independently of the Presentation Layer, so a surge in ticket check-ins during an event does not degrade the responsiveness of budget approval workflows running at the same time. Second, funnelling all persistence operations through a single Database Query Interface allows connection pooling and query optimisation to be managed in one place, rather than across scattered, ad-hoc database calls. Together, these characteristics allow the portal to absorb concurrent load from all four user roles while remaining within the required response-time threshold.</w:t>
      </w:r>
    </w:p>
    <w:p w14:paraId="2505BEFA">
      <w:pPr>
        <w:pBdr>
          <w:top w:val="single" w:color="AAAAAA" w:sz="4" w:space="0"/>
        </w:pBdr>
        <w:spacing w:before="100"/>
        <w:rPr>
          <w:color w:val="000000" w:themeColor="text1"/>
          <w14:textFill>
            <w14:solidFill>
              <w14:schemeClr w14:val="tx1"/>
            </w14:solidFill>
          </w14:textFill>
        </w:rPr>
      </w:pPr>
    </w:p>
    <w:p w14:paraId="0127E07B">
      <w:pPr>
        <w:spacing w:before="80"/>
        <w:rPr>
          <w:color w:val="000000" w:themeColor="text1"/>
          <w14:textFill>
            <w14:solidFill>
              <w14:schemeClr w14:val="tx1"/>
            </w14:solidFill>
          </w14:textFill>
        </w:rPr>
      </w:pPr>
      <w:bookmarkStart w:id="0" w:name="_GoBack"/>
      <w:bookmarkEnd w:id="0"/>
    </w:p>
    <w:sectPr>
      <w:pgSz w:w="12240" w:h="15840"/>
      <w:pgMar w:top="620" w:right="1000" w:bottom="62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76661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651</Words>
  <Characters>3929</Characters>
  <TotalTime>0</TotalTime>
  <ScaleCrop>false</ScaleCrop>
  <LinksUpToDate>false</LinksUpToDate>
  <CharactersWithSpaces>4564</CharactersWithSpaces>
  <Application>WPS Office_12.1.0.27455_F1E327BC-269C-435d-A152-05C5408002CA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2026-09-12T06:11:00Z</dcterms:created>
  <dc:creator>Un-named</dc:creator>
  <cp:lastModifiedBy>snehi</cp:lastModifiedBy>
  <dcterms:modified xsi:type="dcterms:W3CDTF">2026-09-12T06:13:08Z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eyJoZGlkIjoiNDUwMTFkMDI3ZjBmZjczM2Q3M2EwOGI5M2VjYzUzMDkifQ==</vt:lpwstr>
  </property>
  <property fmtid="{D5CDD505-2E9C-101B-9397-08002B2CF9AE}" pid="3" name="KSOProductBuildVer">
    <vt:lpwstr>1033-12.1.0.27455</vt:lpwstr>
  </property>
  <property fmtid="{D5CDD505-2E9C-101B-9397-08002B2CF9AE}" pid="4" name="ICV">
    <vt:lpwstr>0B2AD4FAD30C44F38F83EE40C64A14C5_12</vt:lpwstr>
  </property>
</Properties>
</file>