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4 – Arrange-Act-Assert (AAA) Pattern, Test Fixtures, Setup and Teardown Methods in JUnit</w:t>
      </w:r>
    </w:p>
    <w:p>
      <w:pPr>
        <w:pStyle w:val="Heading2"/>
      </w:pPr>
      <w:r>
        <w:t>1. Objective</w:t>
      </w:r>
    </w:p>
    <w:p>
      <w:r>
        <w:t>To organize tests using the Arrange-Act-Assert (AAA) pattern and utilize setup and teardown methods using JUnit annotations.</w:t>
      </w:r>
    </w:p>
    <w:p>
      <w:pPr>
        <w:pStyle w:val="Heading2"/>
      </w:pPr>
      <w:r>
        <w:t>2. Problem Statement / Scenario</w:t>
      </w:r>
    </w:p>
    <w:p>
      <w:r>
        <w:t>You need to structure your tests following the AAA pattern and prepare reusable test fixtures using @Before and @After annotations to manage setup and teardown activities.</w:t>
      </w:r>
    </w:p>
    <w:p>
      <w:pPr>
        <w:pStyle w:val="Heading2"/>
      </w:pPr>
      <w:r>
        <w:t>3. Approach / Steps</w:t>
      </w:r>
    </w:p>
    <w:p>
      <w:r>
        <w:t>3.1 Understand the AAA Pattern</w:t>
      </w:r>
    </w:p>
    <w:p>
      <w:r>
        <w:t>The AAA pattern divides tests into three sections:</w:t>
        <w:br/>
        <w:t>- Arrange: Set up test data and environment</w:t>
        <w:br/>
        <w:t>- Act: Execute the code being tested</w:t>
        <w:br/>
        <w:t>- Assert: Verify the results</w:t>
      </w:r>
    </w:p>
    <w:p>
      <w:r>
        <w:t>3.2 Setup and Teardown in JUnit</w:t>
      </w:r>
    </w:p>
    <w:p>
      <w:r>
        <w:t>JUnit provides @Before (JUnit 4) or @BeforeEach (JUnit 5) for setup, and @After or @AfterEach for teardown.</w:t>
      </w:r>
    </w:p>
    <w:p>
      <w:pPr>
        <w:pStyle w:val="Heading2"/>
      </w:pPr>
      <w:r>
        <w:t>4. Code</w:t>
      </w:r>
    </w:p>
    <w:p>
      <w:pPr>
        <w:pStyle w:val="IntenseQuote"/>
      </w:pPr>
      <w:r>
        <w:rPr>
          <w:rFonts w:ascii="Courier New" w:hAnsi="Courier New"/>
        </w:rPr>
        <w:t>import org.junit.jupiter.api.*;</w:t>
        <w:br/>
        <w:t>import static org.junit.jupiter.api.Assertions.*;</w:t>
        <w:br/>
        <w:br/>
        <w:t>public class CalculatorTest {</w:t>
        <w:br/>
        <w:br/>
        <w:t xml:space="preserve">    private Calculator calculator;</w:t>
        <w:br/>
        <w:br/>
        <w:t xml:space="preserve">    @BeforeEach</w:t>
        <w:br/>
        <w:t xml:space="preserve">    public void setUp() {</w:t>
        <w:br/>
        <w:t xml:space="preserve">        // Arrange: Initialize resources before each test</w:t>
        <w:br/>
        <w:t xml:space="preserve">        calculator = new Calculator();</w:t>
        <w:br/>
        <w:t xml:space="preserve">    }</w:t>
        <w:br/>
        <w:br/>
        <w:t xml:space="preserve">    @AfterEach</w:t>
        <w:br/>
        <w:t xml:space="preserve">    public void tearDown() {</w:t>
        <w:br/>
        <w:t xml:space="preserve">        // Cleanup resources</w:t>
        <w:br/>
        <w:t xml:space="preserve">        calculator = null;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// Act</w:t>
        <w:br/>
        <w:t xml:space="preserve">        int result = calculator.add(2, 3);</w:t>
        <w:br/>
        <w:br/>
        <w:t xml:space="preserve">        // Assert</w:t>
        <w:br/>
        <w:t xml:space="preserve">        assertEquals(5, result);</w:t>
        <w:br/>
        <w:t xml:space="preserve">    }</w:t>
        <w:br/>
        <w:t>}</w:t>
      </w:r>
    </w:p>
    <w:p>
      <w:pPr>
        <w:pStyle w:val="Heading2"/>
      </w:pPr>
      <w:r>
        <w:t>5. Output Verification</w:t>
      </w:r>
    </w:p>
    <w:p>
      <w:r>
        <w:t>On running the tests, the output should indicate successful execution if assertions pass.</w:t>
      </w:r>
    </w:p>
    <w:p>
      <w:pPr>
        <w:pStyle w:val="IntenseQuote"/>
      </w:pPr>
      <w:r>
        <w:rPr>
          <w:rFonts w:ascii="Courier New" w:hAnsi="Courier New"/>
        </w:rPr>
        <w:t>Tests run: 1, Failures: 0, Errors: 0, Skipped: 0</w:t>
        <w:br/>
        <w:t>BUILD SUCCESS</w:t>
      </w:r>
    </w:p>
    <w:p>
      <w:pPr>
        <w:pStyle w:val="Heading2"/>
      </w:pPr>
      <w:r>
        <w:t>6. Conclusion</w:t>
      </w:r>
    </w:p>
    <w:p>
      <w:r>
        <w:t>Using the AAA pattern improves test readability, and setup/teardown methods help manage common test initialization and cleanup tasks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