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FatigueIDPro — Features and How They Help</w:t>
      </w:r>
    </w:p>
    <w:p>
      <w:r>
        <w:t>This document explains each part of FatigueIDPro and why it matters for collecting reliable fatigue-research data.</w:t>
      </w:r>
    </w:p>
    <w:p>
      <w:pPr>
        <w:pStyle w:val="Heading1"/>
      </w:pPr>
      <w:r>
        <w:rPr>
          <w:color w:val="1E40AF"/>
        </w:rPr>
        <w:t>Interaction tasks</w:t>
      </w:r>
    </w:p>
    <w:p>
      <w:r>
        <w:t>Fitts tapping, typing, NASA-TLX workload, a cognitive battery (Stroop and AX-CPT), and a physical task, run across three blocks.</w:t>
      </w:r>
    </w:p>
    <w:p>
      <w:pPr>
        <w:pStyle w:val="ListBullet"/>
      </w:pPr>
      <w:r>
        <w:t>How it helps: fatigue shows up as performance change over time — slower, less accurate, more variable. Capturing many fine-grained measures gives a rich signal for analysis and machine learning.</w:t>
      </w:r>
    </w:p>
    <w:p>
      <w:pPr>
        <w:pStyle w:val="Heading1"/>
      </w:pPr>
      <w:r>
        <w:rPr>
          <w:color w:val="1E40AF"/>
        </w:rPr>
        <w:t>Randomized assignment</w:t>
      </w:r>
    </w:p>
    <w:p>
      <w:r>
        <w:t>Each session is randomly assigned one primary task and one fatigue task.</w:t>
      </w:r>
    </w:p>
    <w:p>
      <w:pPr>
        <w:pStyle w:val="ListBullet"/>
      </w:pPr>
      <w:r>
        <w:t>How it helps: prevents selection bias and keeps the study design balanced.</w:t>
      </w:r>
    </w:p>
    <w:p>
      <w:pPr>
        <w:pStyle w:val="Heading1"/>
      </w:pPr>
      <w:r>
        <w:rPr>
          <w:color w:val="1E40AF"/>
        </w:rPr>
        <w:t>Consent, safety screening, and withdrawal</w:t>
      </w:r>
    </w:p>
    <w:p>
      <w:r>
        <w:t>Informed consent up front, a physical-activity safety check, and a Withdraw button.</w:t>
      </w:r>
    </w:p>
    <w:p>
      <w:pPr>
        <w:pStyle w:val="ListBullet"/>
      </w:pPr>
      <w:r>
        <w:t>How it helps: responsible, ethics-aligned research, and a clear record of who agreed and who withdrew.</w:t>
      </w:r>
    </w:p>
    <w:p>
      <w:pPr>
        <w:pStyle w:val="Heading1"/>
      </w:pPr>
      <w:r>
        <w:rPr>
          <w:color w:val="1E40AF"/>
        </w:rPr>
        <w:t>Mobile-friendly, measurement-safe design</w:t>
      </w:r>
    </w:p>
    <w:p>
      <w:r>
        <w:t>Every task works on phones, tablets, and desktops; the tapping arena scales to the real screen and the cognitive stimulus appears instantly.</w:t>
      </w:r>
    </w:p>
    <w:p>
      <w:pPr>
        <w:pStyle w:val="ListBullet"/>
      </w:pPr>
      <w:r>
        <w:t>How it helps: more participants can take part, and the measurements stay valid and comparable across devices.</w:t>
      </w:r>
    </w:p>
    <w:p>
      <w:pPr>
        <w:pStyle w:val="Heading1"/>
      </w:pPr>
      <w:r>
        <w:rPr>
          <w:color w:val="1E40AF"/>
        </w:rPr>
        <w:t>Session resume and offline write-queue</w:t>
      </w:r>
    </w:p>
    <w:p>
      <w:r>
        <w:t>A refresh or dropped connection restores the exact step; any data that fails to upload is parked and retried automatically.</w:t>
      </w:r>
    </w:p>
    <w:p>
      <w:pPr>
        <w:pStyle w:val="ListBullet"/>
      </w:pPr>
      <w:r>
        <w:t>How it helps: no participant has to start over, and no data point is lost on unreliable venue Wi-Fi.</w:t>
      </w:r>
    </w:p>
    <w:p>
      <w:pPr>
        <w:pStyle w:val="Heading1"/>
      </w:pPr>
      <w:r>
        <w:rPr>
          <w:color w:val="1E40AF"/>
        </w:rPr>
        <w:t>Session finalization</w:t>
      </w:r>
    </w:p>
    <w:p>
      <w:r>
        <w:t>Sessions are marked completed or abandoned with a timestamp.</w:t>
      </w:r>
    </w:p>
    <w:p>
      <w:pPr>
        <w:pStyle w:val="ListBullet"/>
      </w:pPr>
      <w:r>
        <w:t>How it helps: analysts can filter for sessions that genuinely finished instead of guessing.</w:t>
      </w:r>
    </w:p>
    <w:p>
      <w:pPr>
        <w:pStyle w:val="Heading1"/>
      </w:pPr>
      <w:r>
        <w:rPr>
          <w:color w:val="1E40AF"/>
        </w:rPr>
        <w:t>Engagement and attention validation</w:t>
      </w:r>
    </w:p>
    <w:p>
      <w:r>
        <w:t>Each task records whether the participant left the app (app-switches and time away), and — if they opt in — an on-device camera check of whether they were looking at the screen, refined by a 4-dot calibration. Only derived numbers are stored, never any image.</w:t>
      </w:r>
    </w:p>
    <w:p>
      <w:pPr>
        <w:pStyle w:val="ListBullet"/>
      </w:pPr>
      <w:r>
        <w:t>How it helps: you can trust each measurement, and flag or exclude sessions where the person was distracted or away.</w:t>
      </w:r>
    </w:p>
    <w:p>
      <w:pPr>
        <w:pStyle w:val="Heading1"/>
      </w:pPr>
      <w:r>
        <w:rPr>
          <w:color w:val="1E40AF"/>
        </w:rPr>
        <w:t>Participant ID pool</w:t>
      </w:r>
    </w:p>
    <w:p>
      <w:r>
        <w:t>Researchers pre-generate IDs; the app accepts only valid, unused codes; withdrawn codes can be released and reused.</w:t>
      </w:r>
    </w:p>
    <w:p>
      <w:pPr>
        <w:pStyle w:val="ListBullet"/>
      </w:pPr>
      <w:r>
        <w:t>How it helps: clean, controlled participant identity with no clashes, and easy reuse of printed IDs on a busy day.</w:t>
      </w:r>
    </w:p>
    <w:p>
      <w:pPr>
        <w:pStyle w:val="Heading1"/>
      </w:pPr>
      <w:r>
        <w:rPr>
          <w:color w:val="1E40AF"/>
        </w:rPr>
        <w:t>Manual and device measurements (ECG / physical / Raspberry Pi)</w:t>
      </w:r>
    </w:p>
    <w:p>
      <w:r>
        <w:t>Researchers upload ECG or manual physical results per candidate; a Raspberry Pi can push ECG automatically.</w:t>
      </w:r>
    </w:p>
    <w:p>
      <w:pPr>
        <w:pStyle w:val="ListBullet"/>
      </w:pPr>
      <w:r>
        <w:t>How it helps: combines objective physiological data with the behavioural measures for a fuller picture of fatigue.</w:t>
      </w:r>
    </w:p>
    <w:p>
      <w:pPr>
        <w:pStyle w:val="Heading1"/>
      </w:pPr>
      <w:r>
        <w:rPr>
          <w:color w:val="1E40AF"/>
        </w:rPr>
        <w:t>Research console with data-quality view</w:t>
      </w:r>
    </w:p>
    <w:p>
      <w:r>
        <w:t>An authenticated console to manage IDs, review every candidate, upload measurements, and see a per-session go/no-go quality flag.</w:t>
      </w:r>
    </w:p>
    <w:p>
      <w:pPr>
        <w:pStyle w:val="ListBullet"/>
      </w:pPr>
      <w:r>
        <w:t>How it helps: fast monitoring during collection and a quick way to decide which data to keep.</w:t>
      </w:r>
    </w:p>
    <w:p>
      <w:pPr>
        <w:pStyle w:val="Heading1"/>
      </w:pPr>
      <w:r>
        <w:rPr>
          <w:color w:val="1E40AF"/>
        </w:rPr>
        <w:t>Scroll-fatigue study (web + Android app)</w:t>
      </w:r>
    </w:p>
    <w:p>
      <w:r>
        <w:t>A standalone, safe study where the participant scrolls an in-app feed for a chosen duration; it measures how scrolling slows and pauses lengthen.</w:t>
      </w:r>
    </w:p>
    <w:p>
      <w:pPr>
        <w:pStyle w:val="ListBullet"/>
      </w:pPr>
      <w:r>
        <w:t>How it helps: captures fatigue from natural, everyday scrolling, on the phone or laptop.</w:t>
      </w:r>
    </w:p>
    <w:p>
      <w:pPr>
        <w:pStyle w:val="Heading1"/>
      </w:pPr>
      <w:r>
        <w:rPr>
          <w:color w:val="1E40AF"/>
        </w:rPr>
        <w:t>One-click CSV export</w:t>
      </w:r>
    </w:p>
    <w:p>
      <w:r>
        <w:t>Download any dataset, or all of them, as CSV from the console.</w:t>
      </w:r>
    </w:p>
    <w:p>
      <w:pPr>
        <w:pStyle w:val="ListBullet"/>
      </w:pPr>
      <w:r>
        <w:t>How it helps: the data goes straight into Excel, pandas, or R for analysis — no manual database queries.</w:t>
      </w:r>
    </w:p>
    <w:p>
      <w:pPr>
        <w:pStyle w:val="Heading1"/>
      </w:pPr>
      <w:r>
        <w:rPr>
          <w:color w:val="1E40AF"/>
        </w:rPr>
        <w:t>Secure, centralized data</w:t>
      </w:r>
    </w:p>
    <w:p>
      <w:r>
        <w:t>All data lives in one Supabase database with row-level security: the public app can only insert, only authenticated researchers can read, and devices upload through a key-guarded function.</w:t>
      </w:r>
    </w:p>
    <w:p>
      <w:pPr>
        <w:pStyle w:val="ListBullet"/>
      </w:pPr>
      <w:r>
        <w:t>How it helps: no fragile manual file collection, and participant data is protected by least-privilege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