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/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28" w:type="dxa"/>
          <w:bottom w:w="0" w:type="dxa"/>
          <w:right w:w="28" w:type="dxa"/>
        </w:tblCellMar>
      </w:tblPr>
      <w:tblGrid>
        <w:gridCol w:w="982"/>
        <w:gridCol w:w="705"/>
        <w:gridCol w:w="718"/>
        <w:gridCol w:w="832"/>
        <w:gridCol w:w="2345"/>
        <w:gridCol w:w="1280"/>
        <w:gridCol w:w="143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520" w:hRule="atLeast"/>
        </w:trPr>
        <w:tc>
          <w:tcPr>
            <w:tcW w:w="8296" w:type="dxa"/>
            <w:gridSpan w:val="7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申请人（队长）简介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c>
          <w:tcPr>
            <w:tcW w:w="982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姓名</w:t>
            </w:r>
          </w:p>
        </w:tc>
        <w:tc>
          <w:tcPr>
            <w:tcW w:w="705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性别</w:t>
            </w:r>
          </w:p>
        </w:tc>
        <w:tc>
          <w:tcPr>
            <w:tcW w:w="1550" w:type="dxa"/>
            <w:gridSpan w:val="2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出生年月</w:t>
            </w:r>
          </w:p>
        </w:tc>
        <w:tc>
          <w:tcPr>
            <w:tcW w:w="2345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单位及部门</w:t>
            </w:r>
          </w:p>
        </w:tc>
        <w:tc>
          <w:tcPr>
            <w:tcW w:w="1280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职务/职称</w:t>
            </w:r>
          </w:p>
        </w:tc>
        <w:tc>
          <w:tcPr>
            <w:tcW w:w="1434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联系电话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c>
          <w:tcPr>
            <w:tcW w:w="982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尹凯峰</w:t>
            </w:r>
          </w:p>
        </w:tc>
        <w:tc>
          <w:tcPr>
            <w:tcW w:w="705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男</w:t>
            </w:r>
          </w:p>
        </w:tc>
        <w:tc>
          <w:tcPr>
            <w:tcW w:w="1550" w:type="dxa"/>
            <w:gridSpan w:val="2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1994.08</w:t>
            </w:r>
          </w:p>
        </w:tc>
        <w:tc>
          <w:tcPr>
            <w:tcW w:w="2345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院人工智能专班</w:t>
            </w:r>
          </w:p>
        </w:tc>
        <w:tc>
          <w:tcPr>
            <w:tcW w:w="1280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工程师</w:t>
            </w:r>
          </w:p>
        </w:tc>
        <w:tc>
          <w:tcPr>
            <w:tcW w:w="1434" w:type="dxa"/>
            <w:vAlign w:val="center"/>
          </w:tcPr>
          <w:p>
            <w:pPr>
              <w:jc w:val="center"/>
            </w:pPr>
            <w:r>
              <w:t>18801005002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c>
          <w:tcPr>
            <w:tcW w:w="8296" w:type="dxa"/>
            <w:gridSpan w:val="7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团队成员简介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c>
          <w:tcPr>
            <w:tcW w:w="982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姓名</w:t>
            </w:r>
          </w:p>
        </w:tc>
        <w:tc>
          <w:tcPr>
            <w:tcW w:w="705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性别</w:t>
            </w:r>
          </w:p>
        </w:tc>
        <w:tc>
          <w:tcPr>
            <w:tcW w:w="1550" w:type="dxa"/>
            <w:gridSpan w:val="2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出生年月</w:t>
            </w:r>
          </w:p>
        </w:tc>
        <w:tc>
          <w:tcPr>
            <w:tcW w:w="2345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单位及部门</w:t>
            </w:r>
          </w:p>
        </w:tc>
        <w:tc>
          <w:tcPr>
            <w:tcW w:w="1280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职务/职称</w:t>
            </w:r>
          </w:p>
        </w:tc>
        <w:tc>
          <w:tcPr>
            <w:tcW w:w="1434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联系电话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c>
          <w:tcPr>
            <w:tcW w:w="982" w:type="dxa"/>
            <w:vAlign w:val="center"/>
          </w:tcPr>
          <w:p>
            <w:pPr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史玮</w:t>
            </w:r>
          </w:p>
        </w:tc>
        <w:tc>
          <w:tcPr>
            <w:tcW w:w="705" w:type="dxa"/>
            <w:vAlign w:val="center"/>
          </w:tcPr>
          <w:p>
            <w:pPr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女</w:t>
            </w:r>
          </w:p>
        </w:tc>
        <w:tc>
          <w:tcPr>
            <w:tcW w:w="1550" w:type="dxa"/>
            <w:gridSpan w:val="2"/>
            <w:vAlign w:val="center"/>
          </w:tcPr>
          <w:p>
            <w:pPr>
              <w:jc w:val="center"/>
            </w:pPr>
          </w:p>
        </w:tc>
        <w:tc>
          <w:tcPr>
            <w:tcW w:w="2345" w:type="dxa"/>
            <w:vAlign w:val="center"/>
          </w:tcPr>
          <w:p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</w:rPr>
              <w:t>院人工智能专班</w:t>
            </w:r>
          </w:p>
        </w:tc>
        <w:tc>
          <w:tcPr>
            <w:tcW w:w="1280" w:type="dxa"/>
            <w:vAlign w:val="center"/>
          </w:tcPr>
          <w:p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</w:rPr>
              <w:t>工程师</w:t>
            </w:r>
          </w:p>
        </w:tc>
        <w:tc>
          <w:tcPr>
            <w:tcW w:w="1434" w:type="dxa"/>
            <w:vAlign w:val="center"/>
          </w:tcPr>
          <w:p>
            <w:pPr>
              <w:jc w:val="center"/>
              <w:rPr>
                <w:rFonts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c>
          <w:tcPr>
            <w:tcW w:w="982" w:type="dxa"/>
            <w:vAlign w:val="center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张续绪</w:t>
            </w:r>
          </w:p>
        </w:tc>
        <w:tc>
          <w:tcPr>
            <w:tcW w:w="705" w:type="dxa"/>
            <w:vAlign w:val="center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男</w:t>
            </w:r>
          </w:p>
        </w:tc>
        <w:tc>
          <w:tcPr>
            <w:tcW w:w="1550" w:type="dxa"/>
            <w:gridSpan w:val="2"/>
            <w:vAlign w:val="center"/>
          </w:tcPr>
          <w:p>
            <w:pPr>
              <w:jc w:val="center"/>
              <w:rPr>
                <w:rFonts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</w:p>
        </w:tc>
        <w:tc>
          <w:tcPr>
            <w:tcW w:w="2345" w:type="dxa"/>
            <w:vAlign w:val="center"/>
          </w:tcPr>
          <w:p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502所</w:t>
            </w:r>
          </w:p>
        </w:tc>
        <w:tc>
          <w:tcPr>
            <w:tcW w:w="1280" w:type="dxa"/>
            <w:vAlign w:val="center"/>
          </w:tcPr>
          <w:p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研究生</w:t>
            </w:r>
          </w:p>
        </w:tc>
        <w:tc>
          <w:tcPr>
            <w:tcW w:w="1434" w:type="dxa"/>
            <w:vAlign w:val="center"/>
          </w:tcPr>
          <w:p>
            <w:pPr>
              <w:jc w:val="center"/>
              <w:rPr>
                <w:rFonts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c>
          <w:tcPr>
            <w:tcW w:w="982" w:type="dxa"/>
            <w:vAlign w:val="center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石晔轩</w:t>
            </w:r>
          </w:p>
        </w:tc>
        <w:tc>
          <w:tcPr>
            <w:tcW w:w="705" w:type="dxa"/>
            <w:vAlign w:val="center"/>
          </w:tcPr>
          <w:p>
            <w:pPr>
              <w:jc w:val="center"/>
              <w:rPr>
                <w:rFonts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男</w:t>
            </w:r>
          </w:p>
        </w:tc>
        <w:tc>
          <w:tcPr>
            <w:tcW w:w="1550" w:type="dxa"/>
            <w:gridSpan w:val="2"/>
            <w:vAlign w:val="center"/>
          </w:tcPr>
          <w:p>
            <w:pPr>
              <w:jc w:val="center"/>
              <w:rPr>
                <w:rFonts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</w:p>
        </w:tc>
        <w:tc>
          <w:tcPr>
            <w:tcW w:w="2345" w:type="dxa"/>
            <w:vAlign w:val="center"/>
          </w:tcPr>
          <w:p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502所</w:t>
            </w:r>
          </w:p>
        </w:tc>
        <w:tc>
          <w:tcPr>
            <w:tcW w:w="1280" w:type="dxa"/>
            <w:vAlign w:val="center"/>
          </w:tcPr>
          <w:p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研究生</w:t>
            </w:r>
          </w:p>
        </w:tc>
        <w:tc>
          <w:tcPr>
            <w:tcW w:w="1434" w:type="dxa"/>
            <w:vAlign w:val="center"/>
          </w:tcPr>
          <w:p>
            <w:pPr>
              <w:jc w:val="center"/>
              <w:rPr>
                <w:rFonts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c>
          <w:tcPr>
            <w:tcW w:w="8296" w:type="dxa"/>
            <w:gridSpan w:val="7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指导老师情况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c>
          <w:tcPr>
            <w:tcW w:w="982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姓名</w:t>
            </w:r>
          </w:p>
        </w:tc>
        <w:tc>
          <w:tcPr>
            <w:tcW w:w="705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性别</w:t>
            </w:r>
          </w:p>
        </w:tc>
        <w:tc>
          <w:tcPr>
            <w:tcW w:w="3895" w:type="dxa"/>
            <w:gridSpan w:val="3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单位及部门</w:t>
            </w:r>
          </w:p>
        </w:tc>
        <w:tc>
          <w:tcPr>
            <w:tcW w:w="1280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职务/职称</w:t>
            </w:r>
          </w:p>
        </w:tc>
        <w:tc>
          <w:tcPr>
            <w:tcW w:w="1434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联系电话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c>
          <w:tcPr>
            <w:tcW w:w="982" w:type="dxa"/>
            <w:vAlign w:val="center"/>
          </w:tcPr>
          <w:p>
            <w:pPr>
              <w:jc w:val="center"/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张聪</w:t>
            </w:r>
          </w:p>
        </w:tc>
        <w:tc>
          <w:tcPr>
            <w:tcW w:w="705" w:type="dxa"/>
            <w:vAlign w:val="center"/>
          </w:tcPr>
          <w:p>
            <w:pPr>
              <w:jc w:val="center"/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男</w:t>
            </w:r>
          </w:p>
        </w:tc>
        <w:tc>
          <w:tcPr>
            <w:tcW w:w="3895" w:type="dxa"/>
            <w:gridSpan w:val="3"/>
            <w:vAlign w:val="center"/>
          </w:tcPr>
          <w:p>
            <w:pPr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钱学森空间技术实验室</w:t>
            </w:r>
          </w:p>
        </w:tc>
        <w:tc>
          <w:tcPr>
            <w:tcW w:w="1280" w:type="dxa"/>
            <w:vAlign w:val="center"/>
          </w:tcPr>
          <w:p>
            <w:pPr>
              <w:jc w:val="center"/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研究员</w:t>
            </w:r>
          </w:p>
        </w:tc>
        <w:tc>
          <w:tcPr>
            <w:tcW w:w="1434" w:type="dxa"/>
            <w:vAlign w:val="center"/>
          </w:tcPr>
          <w:p>
            <w:pPr>
              <w:jc w:val="center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c>
          <w:tcPr>
            <w:tcW w:w="8296" w:type="dxa"/>
            <w:gridSpan w:val="7"/>
            <w:vAlign w:val="center"/>
          </w:tcPr>
          <w:p>
            <w:pPr>
              <w:jc w:val="center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c>
          <w:tcPr>
            <w:tcW w:w="982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作品名称</w:t>
            </w:r>
          </w:p>
        </w:tc>
        <w:tc>
          <w:tcPr>
            <w:tcW w:w="7314" w:type="dxa"/>
            <w:gridSpan w:val="6"/>
            <w:vAlign w:val="center"/>
          </w:tcPr>
          <w:p>
            <w:pPr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AI重塑</w:t>
            </w:r>
            <w:bookmarkStart w:id="0" w:name="_GoBack"/>
            <w:bookmarkEnd w:id="0"/>
            <w:r>
              <w:rPr>
                <w:rFonts w:hint="eastAsia"/>
                <w:lang w:val="en-US" w:eastAsia="zh-CN"/>
              </w:rPr>
              <w:t>装备: 星座动态分簇大模型应用实践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c>
          <w:tcPr>
            <w:tcW w:w="982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项目类别</w:t>
            </w:r>
          </w:p>
        </w:tc>
        <w:tc>
          <w:tcPr>
            <w:tcW w:w="7314" w:type="dxa"/>
            <w:gridSpan w:val="6"/>
            <w:vAlign w:val="center"/>
          </w:tcPr>
          <w:p>
            <w:pPr>
              <w:jc w:val="center"/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</w:rPr>
              <w:t>智能</w:t>
            </w:r>
            <w:r>
              <w:rPr>
                <w:rFonts w:hint="eastAsia"/>
                <w:lang w:val="en-US" w:eastAsia="zh-CN"/>
              </w:rPr>
              <w:t>重塑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c>
          <w:tcPr>
            <w:tcW w:w="982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应用场景</w:t>
            </w:r>
          </w:p>
        </w:tc>
        <w:tc>
          <w:tcPr>
            <w:tcW w:w="7314" w:type="dxa"/>
            <w:gridSpan w:val="6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数字五院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c>
          <w:tcPr>
            <w:tcW w:w="982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作品方案简介（1</w:t>
            </w:r>
            <w:r>
              <w:t>500</w:t>
            </w:r>
            <w:r>
              <w:rPr>
                <w:rFonts w:hint="eastAsia"/>
              </w:rPr>
              <w:t>字以内）</w:t>
            </w:r>
          </w:p>
        </w:tc>
        <w:tc>
          <w:tcPr>
            <w:tcW w:w="7314" w:type="dxa"/>
            <w:gridSpan w:val="6"/>
            <w:vAlign w:val="center"/>
          </w:tcPr>
          <w:p>
            <w:r>
              <w:rPr>
                <w:rFonts w:hint="eastAsia"/>
              </w:rPr>
              <w:t>一、研究背景</w:t>
            </w:r>
          </w:p>
          <w:p>
            <w:pPr>
              <w:ind w:firstLine="420" w:firstLineChars="200"/>
              <w:rPr>
                <w:rFonts w:hint="eastAsia"/>
              </w:rPr>
            </w:pPr>
            <w:r>
              <w:rPr>
                <w:rFonts w:hint="eastAsia"/>
              </w:rPr>
              <w:t>在现代战争态势感知与突发灾害响应中，天基观测平台凭借覆盖范围广、可连续获取时空信息等特性，已成为动态目标监测的重要支撑手段。在现有研究中，传统启发式或基于运筹优化的调度方法，虽然能够在一定规模内给出近似可行解，但在面对大规模星座、高维约束和快速变化环境时，计算复杂度过高、实时性不足</w:t>
            </w:r>
            <w:r>
              <w:rPr>
                <w:rFonts w:hint="eastAsia"/>
                <w:lang w:eastAsia="zh-CN"/>
              </w:rPr>
              <w:t>，</w:t>
            </w:r>
            <w:r>
              <w:rPr>
                <w:rFonts w:hint="eastAsia"/>
              </w:rPr>
              <w:t>难以应对真实任务中复杂多变的环境扰动与目标不确定性。利用大模型在推理、知识迁移上的优势，并通过仿真数据构建、任务场景微调及智能体化封装，将大模型能力落地到星座任务执行的完整流程，亟待</w:t>
            </w:r>
            <w:r>
              <w:rPr>
                <w:rFonts w:hint="eastAsia"/>
                <w:lang w:val="en-US" w:eastAsia="zh-CN"/>
              </w:rPr>
              <w:t>开展</w:t>
            </w:r>
            <w:r>
              <w:rPr>
                <w:rFonts w:hint="eastAsia"/>
              </w:rPr>
              <w:t>深入研究与系统验证。</w:t>
            </w:r>
          </w:p>
          <w:p>
            <w:r>
              <w:rPr>
                <w:rFonts w:hint="eastAsia"/>
              </w:rPr>
              <w:t>二、研究目标</w:t>
            </w:r>
          </w:p>
          <w:p>
            <w:pPr>
              <w:ind w:firstLine="420" w:firstLineChars="200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本项目以“星座动态分簇大模型”为核心，面向动态目标观测场景，重点开展数据生成、模型微调和智能体构建三个方向的研究，目标是在有限资源条件下实现对动态目标的高效覆盖与稳定追踪，建立从仿真数据构建、模型训练到任务执行的闭环体系。项目预期通过多维度仿真数据的生成与预处理，构建可直接驱动模型训练的标准化语料；通过参数高效化和迁移学习等微调方法，提升模型在复杂约束条件下的推理与规划能力；通过智能体化架构的设计，实现任务规划的工具化调用与实时校核，确保输出结果在装备应用中的可执行性与可靠性，整体研究内容如下</w:t>
            </w:r>
            <w:r>
              <w:rPr>
                <w:rFonts w:hint="eastAsia"/>
              </w:rPr>
              <w:t>：</w:t>
            </w:r>
          </w:p>
          <w:p>
            <w:pPr>
              <w:ind w:firstLine="420" w:firstLineChars="200"/>
            </w:pPr>
            <w:r>
              <w:drawing>
                <wp:inline distT="0" distB="0" distL="114300" distR="114300">
                  <wp:extent cx="4068445" cy="2072640"/>
                  <wp:effectExtent l="0" t="0" r="8255" b="3810"/>
                  <wp:docPr id="7" name="图片 6" descr="图形用户界面&#10;&#10;AI 生成的内容可能不正确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6" descr="图形用户界面&#10;&#10;AI 生成的内容可能不正确。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rcRect b="53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68445" cy="20726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2"/>
              <w:ind w:left="0" w:leftChars="0" w:firstLine="0" w:firstLineChars="0"/>
              <w:jc w:val="center"/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  <w:lang w:eastAsia="zh-CN"/>
              </w:rPr>
              <w:t>总体研究内容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三、</w:t>
            </w:r>
            <w:r>
              <w:rPr>
                <w:rFonts w:hint="eastAsia"/>
                <w:lang w:val="en-US" w:eastAsia="zh-CN"/>
              </w:rPr>
              <w:t>关键技术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（1）高维度多时相仿真数据生成与预处理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针对大规模星座任务场景缺乏标准化语料的问题，研究高维度、多时相仿真数据的生成与预处理方法。构建可回放的仿真场景，输出包含任务需求、可行观测窗口、资源消耗与下行链路等多模态信息的数据集。进一步结合数据蒸馏与自动标注技术，生成适配大模型输入的标准化语料，实现从原始仿真输出到大模型友好格式的自动化转换，提升训练数据的有效性和可用性。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（2）大模型在动态分簇场景的微调技术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针对大模型在航天任务规划中的推理难点，研究星座动态分簇场景下的微调方法。通过指令微调与参数高效化技术（如LoRA）提升模型在任务描述到调度方案映射上的能力；通过跨领域迁移，将灾害响应或交通调度等已有领域经验引入航天调度任务中；通过同构迁移，在同一星座任务的不同子任务间实现知识蒸馏与共享，提升模型对优先级排序、资源冲突消解和任务分解的适应性。同时引入强化学习与偏好优化方法（如DPO、GRPO），将约束验证器作为反馈机制，优化模型输出的可行性与稳定性，确保调度方案在能量、姿态、链路等硬约束下具备可执行性。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（3）星座动态分簇智能体设计与构建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针对大模型“幻觉”问题与装备应用对可靠性的高要求，研究基于智能体框架的动态分簇实现方式。通过引入MCP（Model Context Protocol）机制，构建可调用的任务规划工具链。智能体在规划生成后，能够调用仿真工具对方案进行实时校验，若发现不可行，则自动触发重规划或局部修复，实现从生成到验证再到执行的闭环。在实际应用场景中，智能体能够在目标机动或环境扰动发生时，触发快速的在线重规划，确保任务持续性与观测覆盖的稳定性。</w:t>
            </w:r>
          </w:p>
          <w:p>
            <w:r>
              <w:rPr>
                <w:rFonts w:hint="eastAsia"/>
                <w:lang w:val="en-US" w:eastAsia="zh-CN"/>
              </w:rPr>
              <w:t>四</w:t>
            </w:r>
            <w:r>
              <w:rPr>
                <w:rFonts w:hint="eastAsia"/>
              </w:rPr>
              <w:t>、总结</w:t>
            </w:r>
          </w:p>
          <w:p>
            <w:pPr>
              <w:ind w:firstLine="420" w:firstLineChars="200"/>
            </w:pPr>
            <w:r>
              <w:rPr>
                <w:rFonts w:hint="eastAsia"/>
              </w:rPr>
              <w:t>本项目针对大规模卫星星座在动态目标观测中的核心问题，提出以“数据生成—模型微调—智能体构建”为主线的系统性研究框架。在数据层面，构建高维度、多时相的仿真数据与标准化处理流程，为模型训练与验证提供支撑；在模型层面，通过跨领域与同构迁移结合参数高效化方法，提升大模型在多约束任务中的推理与规划能力；在系统层面，基于智能体框架与工具调用机制，形成具有可校核与重规划能力的闭环任务执行体系。通过这一完整技术链路，项目不仅能够突破现有静态调度机制的局限，还能在动态环境中保障观测任务的持续性与可靠性，为天基装备在复杂应用场景中的落地提供坚实支撑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c>
          <w:tcPr>
            <w:tcW w:w="982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项目创新情况（5</w:t>
            </w:r>
            <w:r>
              <w:t>00</w:t>
            </w:r>
            <w:r>
              <w:rPr>
                <w:rFonts w:hint="eastAsia"/>
              </w:rPr>
              <w:t>字以内）</w:t>
            </w:r>
          </w:p>
        </w:tc>
        <w:tc>
          <w:tcPr>
            <w:tcW w:w="7314" w:type="dxa"/>
            <w:gridSpan w:val="6"/>
            <w:vAlign w:val="center"/>
          </w:tcPr>
          <w:p>
            <w:pPr>
              <w:ind w:firstLine="420" w:firstLineChars="200"/>
              <w:rPr>
                <w:rFonts w:hint="eastAsia"/>
              </w:rPr>
            </w:pPr>
            <w:r>
              <w:rPr>
                <w:rFonts w:hint="eastAsia"/>
                <w:b/>
                <w:bCs/>
              </w:rPr>
              <w:t>创新点一：面向星座动态分簇的高维多时相仿真数据与任务语料构建</w:t>
            </w:r>
          </w:p>
          <w:p>
            <w:pPr>
              <w:ind w:firstLine="420" w:firstLineChars="200"/>
              <w:rPr>
                <w:rFonts w:hint="eastAsia"/>
              </w:rPr>
            </w:pPr>
            <w:r>
              <w:rPr>
                <w:rFonts w:hint="eastAsia"/>
              </w:rPr>
              <w:t>现有研究在大模型应用于航天任务规划时普遍面临训练数据不足、格式不统一和场景缺乏多样性的问题。本项目首次针对大规模星座动态分簇任务，提出构建“</w:t>
            </w:r>
            <w:r>
              <w:rPr>
                <w:rFonts w:hint="eastAsia"/>
                <w:lang w:val="en-US" w:eastAsia="zh-CN"/>
              </w:rPr>
              <w:t>平行</w:t>
            </w:r>
            <w:r>
              <w:rPr>
                <w:rFonts w:hint="eastAsia"/>
              </w:rPr>
              <w:t>仿真数据—自动蒸馏—标准化语料”的体系</w:t>
            </w:r>
            <w:r>
              <w:rPr>
                <w:rFonts w:hint="eastAsia"/>
                <w:lang w:eastAsia="zh-CN"/>
              </w:rPr>
              <w:t>，</w:t>
            </w:r>
            <w:r>
              <w:rPr>
                <w:rFonts w:hint="eastAsia"/>
              </w:rPr>
              <w:t>形成可回放、可验证的任务序列数据。利用数据蒸馏方法对长时序数据进行关键片段抽取融合，使时序轨迹和任务约束能够转化为统一的标准化输入格式，适配大模型训练与推理需求。这一创新不仅解决了大模型“无场景语料”的瓶颈，还为后续跨任务迁移和模型评估提供了可复现的数据基座。</w:t>
            </w:r>
          </w:p>
          <w:p>
            <w:pPr>
              <w:ind w:firstLine="420" w:firstLineChars="200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创新点二：大模型与智能体结合的动态分簇任务闭环规划机制</w:t>
            </w:r>
          </w:p>
          <w:p>
            <w:pPr>
              <w:ind w:firstLine="420" w:firstLineChars="200"/>
            </w:pPr>
            <w:r>
              <w:rPr>
                <w:rFonts w:hint="eastAsia"/>
                <w:lang w:val="en-US" w:eastAsia="zh-CN"/>
              </w:rPr>
              <w:t>公版</w:t>
            </w:r>
            <w:r>
              <w:rPr>
                <w:rFonts w:hint="eastAsia"/>
              </w:rPr>
              <w:t>大模型推理虽在自然语言和一般任务上展现了强泛化能力，但在航天任务中</w:t>
            </w:r>
            <w:r>
              <w:rPr>
                <w:rFonts w:hint="eastAsia"/>
                <w:lang w:val="en-US" w:eastAsia="zh-CN"/>
              </w:rPr>
              <w:t>因为</w:t>
            </w:r>
            <w:r>
              <w:rPr>
                <w:rFonts w:hint="eastAsia"/>
              </w:rPr>
              <w:t>约束复杂与可执行性要求严格而产生“幻觉”输出。本项目提出构建基于智能体架构的“生成—校核—重规划”闭环机制。在模型层面通过指令微调</w:t>
            </w:r>
            <w:r>
              <w:rPr>
                <w:rFonts w:hint="eastAsia"/>
                <w:lang w:eastAsia="zh-CN"/>
              </w:rPr>
              <w:t>、</w:t>
            </w:r>
            <w:r>
              <w:rPr>
                <w:rFonts w:hint="eastAsia"/>
                <w:lang w:val="en-US" w:eastAsia="zh-CN"/>
              </w:rPr>
              <w:t>强化微调</w:t>
            </w:r>
            <w:r>
              <w:rPr>
                <w:rFonts w:hint="eastAsia"/>
              </w:rPr>
              <w:t>提升其对任务描述和资源分配的推理能力；在系统层面引入智能体框架和MCP工具调用机制，使模型能够实时</w:t>
            </w:r>
            <w:r>
              <w:rPr>
                <w:rFonts w:hint="eastAsia"/>
                <w:lang w:val="en-US" w:eastAsia="zh-CN"/>
              </w:rPr>
              <w:t>可靠</w:t>
            </w:r>
            <w:r>
              <w:rPr>
                <w:rFonts w:hint="eastAsia"/>
              </w:rPr>
              <w:t>工具，对初始方案进行可行性校核。一旦检测到约束冲突或环境扰动，智能体可触发局部修复或在线重规划，保证任务执行的连续性和稳定性。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c>
          <w:tcPr>
            <w:tcW w:w="982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项目应用前景（5</w:t>
            </w:r>
            <w:r>
              <w:t>00</w:t>
            </w:r>
            <w:r>
              <w:rPr>
                <w:rFonts w:hint="eastAsia"/>
              </w:rPr>
              <w:t>字以内）</w:t>
            </w:r>
          </w:p>
        </w:tc>
        <w:tc>
          <w:tcPr>
            <w:tcW w:w="7314" w:type="dxa"/>
            <w:gridSpan w:val="6"/>
            <w:vAlign w:val="center"/>
          </w:tcPr>
          <w:p>
            <w:pPr>
              <w:ind w:firstLine="420" w:firstLineChars="200"/>
              <w:rPr>
                <w:rFonts w:hint="eastAsia"/>
                <w:lang w:eastAsia="zh-CN"/>
              </w:rPr>
            </w:pPr>
            <w:r>
              <w:rPr>
                <w:rFonts w:hint="eastAsia"/>
              </w:rPr>
              <w:t>本项目研究成果在天基观测与星座任务调度中具有广泛的应用前景</w:t>
            </w:r>
            <w:r>
              <w:rPr>
                <w:rFonts w:hint="eastAsia"/>
                <w:lang w:eastAsia="zh-CN"/>
              </w:rPr>
              <w:t>。</w:t>
            </w:r>
          </w:p>
          <w:p>
            <w:pPr>
              <w:ind w:firstLine="420" w:firstLineChars="200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从应用场景来看，</w:t>
            </w:r>
            <w:r>
              <w:rPr>
                <w:rFonts w:hint="eastAsia"/>
              </w:rPr>
              <w:t>成果可直接应用于目标的实时跟踪和重点区域的持续监控。通过大模型驱动的动态分簇智能体，卫星星座能够根据目标机动轨迹，自动完成资源分配与重规划，提升对突发事件和重点目标的响应速度</w:t>
            </w:r>
            <w:r>
              <w:rPr>
                <w:rFonts w:hint="eastAsia"/>
                <w:lang w:eastAsia="zh-CN"/>
              </w:rPr>
              <w:t>，</w:t>
            </w:r>
            <w:r>
              <w:rPr>
                <w:rFonts w:hint="eastAsia"/>
              </w:rPr>
              <w:t>对国防安全和快速反应体系建设具有重要支撑作用。其次，在应急管理和灾害响应方面，智能体能够根据灾害发生区域的时空变化，自动重构星座观测方案，为地震、洪涝、山火等灾害提供连续的遥感数据支持，通过动态调度提高观测频度与数据时效，保障救援行动的实时信息获取与科学决策</w:t>
            </w:r>
            <w:r>
              <w:rPr>
                <w:rFonts w:hint="eastAsia"/>
                <w:lang w:eastAsia="zh-CN"/>
              </w:rPr>
              <w:t>，</w:t>
            </w:r>
            <w:r>
              <w:rPr>
                <w:rFonts w:hint="eastAsia"/>
              </w:rPr>
              <w:t>为国家重大公共服务与经济建设提供信息支撑。</w:t>
            </w:r>
          </w:p>
          <w:p>
            <w:pPr>
              <w:ind w:firstLine="420" w:firstLineChars="200"/>
            </w:pPr>
            <w:r>
              <w:rPr>
                <w:rFonts w:hint="eastAsia"/>
              </w:rPr>
              <w:t>从技术推广角度看，本项目形成的数据生成方法与标准化语料体系，突破了大模型在航天任务领域缺乏专用语料的瓶颈，在模型与智能体结合的闭环规划机制方面，提出的“生成—校核—重规划”架构具有通用性，可迁移到涉及多约束、多目标和动态环境的各类工程任务中。大模型的生成能力不再是孤立的输出，而是被嵌入到一个可验证、可追溯的任务执行体系中，显著增强了其在装备应用中的可靠性。这种“模型—工具—智能体”的闭环构想，为未来复杂航天任务的智能化管理提供了可推广的范式</w:t>
            </w:r>
            <w:r>
              <w:t>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c>
          <w:tcPr>
            <w:tcW w:w="982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其他途径支持</w:t>
            </w:r>
          </w:p>
        </w:tc>
        <w:tc>
          <w:tcPr>
            <w:tcW w:w="7314" w:type="dxa"/>
            <w:gridSpan w:val="6"/>
            <w:vAlign w:val="center"/>
          </w:tcPr>
          <w:p>
            <w:pPr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集团人工智能专项之江特战班提供为期2月的集中培训。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c>
          <w:tcPr>
            <w:tcW w:w="982" w:type="dxa"/>
            <w:vMerge w:val="restart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具体完成情况</w:t>
            </w:r>
          </w:p>
        </w:tc>
        <w:tc>
          <w:tcPr>
            <w:tcW w:w="1423" w:type="dxa"/>
            <w:gridSpan w:val="2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时间节点</w:t>
            </w:r>
          </w:p>
        </w:tc>
        <w:tc>
          <w:tcPr>
            <w:tcW w:w="3177" w:type="dxa"/>
            <w:gridSpan w:val="2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研究计划</w:t>
            </w:r>
          </w:p>
        </w:tc>
        <w:tc>
          <w:tcPr>
            <w:tcW w:w="2714" w:type="dxa"/>
            <w:gridSpan w:val="2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阶段成果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c>
          <w:tcPr>
            <w:tcW w:w="982" w:type="dxa"/>
            <w:vMerge w:val="continue"/>
            <w:vAlign w:val="center"/>
          </w:tcPr>
          <w:p>
            <w:pPr>
              <w:jc w:val="center"/>
            </w:pPr>
          </w:p>
        </w:tc>
        <w:tc>
          <w:tcPr>
            <w:tcW w:w="1423" w:type="dxa"/>
            <w:gridSpan w:val="2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2</w:t>
            </w:r>
            <w:r>
              <w:t>025</w:t>
            </w:r>
            <w:r>
              <w:rPr>
                <w:rFonts w:hint="eastAsia"/>
              </w:rPr>
              <w:t>年6月</w:t>
            </w:r>
          </w:p>
        </w:tc>
        <w:tc>
          <w:tcPr>
            <w:tcW w:w="3177" w:type="dxa"/>
            <w:gridSpan w:val="2"/>
            <w:vAlign w:val="center"/>
          </w:tcPr>
          <w:p>
            <w:r>
              <w:rPr>
                <w:rFonts w:hint="eastAsia"/>
              </w:rPr>
              <w:t>1</w:t>
            </w:r>
            <w:r>
              <w:t>.</w:t>
            </w:r>
            <w:r>
              <w:rPr>
                <w:rFonts w:hint="eastAsia"/>
              </w:rPr>
              <w:t>技术调研工作：研究</w:t>
            </w:r>
            <w:r>
              <w:rPr>
                <w:rFonts w:hint="eastAsia"/>
                <w:lang w:val="en-US" w:eastAsia="zh-CN"/>
              </w:rPr>
              <w:t>星座动态分簇大模型可行性</w:t>
            </w:r>
            <w:r>
              <w:rPr>
                <w:rFonts w:hint="eastAsia"/>
              </w:rPr>
              <w:t>；</w:t>
            </w:r>
          </w:p>
          <w:p>
            <w:r>
              <w:t>2.</w:t>
            </w:r>
            <w:r>
              <w:rPr>
                <w:rFonts w:hint="eastAsia"/>
              </w:rPr>
              <w:t>方案设计工作：细化技术路线，形成详细设计方案；</w:t>
            </w:r>
          </w:p>
          <w:p>
            <w:r>
              <w:rPr>
                <w:rFonts w:hint="eastAsia"/>
              </w:rPr>
              <w:t>3.数据收集工作：</w:t>
            </w:r>
            <w:r>
              <w:rPr>
                <w:rFonts w:hint="eastAsia"/>
                <w:lang w:val="en-US" w:eastAsia="zh-CN"/>
              </w:rPr>
              <w:t>开展天基动态分簇相关领域文献、书籍等收集、清洗</w:t>
            </w:r>
            <w:r>
              <w:rPr>
                <w:rFonts w:hint="eastAsia"/>
              </w:rPr>
              <w:t>。</w:t>
            </w:r>
          </w:p>
        </w:tc>
        <w:tc>
          <w:tcPr>
            <w:tcW w:w="2714" w:type="dxa"/>
            <w:gridSpan w:val="2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详细设计方案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c>
          <w:tcPr>
            <w:tcW w:w="982" w:type="dxa"/>
            <w:vMerge w:val="continue"/>
            <w:vAlign w:val="center"/>
          </w:tcPr>
          <w:p>
            <w:pPr>
              <w:jc w:val="center"/>
            </w:pPr>
          </w:p>
        </w:tc>
        <w:tc>
          <w:tcPr>
            <w:tcW w:w="1423" w:type="dxa"/>
            <w:gridSpan w:val="2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2</w:t>
            </w:r>
            <w:r>
              <w:t>02</w:t>
            </w:r>
            <w:r>
              <w:rPr>
                <w:rFonts w:hint="eastAsia"/>
              </w:rPr>
              <w:t>5年8月</w:t>
            </w:r>
          </w:p>
        </w:tc>
        <w:tc>
          <w:tcPr>
            <w:tcW w:w="3177" w:type="dxa"/>
            <w:gridSpan w:val="2"/>
            <w:vAlign w:val="center"/>
          </w:tcPr>
          <w:p>
            <w:r>
              <w:t>1.</w:t>
            </w:r>
            <w:r>
              <w:rPr>
                <w:rFonts w:hint="eastAsia"/>
              </w:rPr>
              <w:t>数据集构建工作：</w:t>
            </w:r>
            <w:r>
              <w:rPr>
                <w:rFonts w:hint="eastAsia"/>
                <w:lang w:val="en-US" w:eastAsia="zh-CN"/>
              </w:rPr>
              <w:t>基于收集的文档开展</w:t>
            </w:r>
            <w:r>
              <w:rPr>
                <w:rFonts w:hint="eastAsia"/>
              </w:rPr>
              <w:t>训练问答对生成，形成千级规模的</w:t>
            </w:r>
            <w:r>
              <w:rPr>
                <w:rFonts w:hint="eastAsia"/>
                <w:lang w:val="en-US" w:eastAsia="zh-CN"/>
              </w:rPr>
              <w:t>微调数据</w:t>
            </w:r>
            <w:r>
              <w:rPr>
                <w:rFonts w:hint="eastAsia"/>
              </w:rPr>
              <w:t>；</w:t>
            </w:r>
          </w:p>
          <w:p>
            <w:r>
              <w:rPr>
                <w:rFonts w:hint="eastAsia"/>
              </w:rPr>
              <w:t>2</w:t>
            </w:r>
            <w:r>
              <w:t>.</w:t>
            </w:r>
            <w:r>
              <w:rPr>
                <w:rFonts w:hint="eastAsia"/>
                <w:lang w:val="en-US" w:eastAsia="zh-CN"/>
              </w:rPr>
              <w:t>平行仿真建模工作</w:t>
            </w:r>
            <w:r>
              <w:rPr>
                <w:rFonts w:hint="eastAsia"/>
              </w:rPr>
              <w:t>：搭建模型训练环境，完成必要的配置和调试。</w:t>
            </w:r>
          </w:p>
        </w:tc>
        <w:tc>
          <w:tcPr>
            <w:tcW w:w="2714" w:type="dxa"/>
            <w:gridSpan w:val="2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星座任务初步微调数据集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c>
          <w:tcPr>
            <w:tcW w:w="982" w:type="dxa"/>
            <w:vMerge w:val="continue"/>
            <w:vAlign w:val="center"/>
          </w:tcPr>
          <w:p>
            <w:pPr>
              <w:jc w:val="center"/>
            </w:pPr>
          </w:p>
        </w:tc>
        <w:tc>
          <w:tcPr>
            <w:tcW w:w="1423" w:type="dxa"/>
            <w:gridSpan w:val="2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2</w:t>
            </w:r>
            <w:r>
              <w:t>02</w:t>
            </w:r>
            <w:r>
              <w:rPr>
                <w:rFonts w:hint="eastAsia"/>
              </w:rPr>
              <w:t>5年10月</w:t>
            </w:r>
          </w:p>
        </w:tc>
        <w:tc>
          <w:tcPr>
            <w:tcW w:w="3177" w:type="dxa"/>
            <w:gridSpan w:val="2"/>
            <w:vAlign w:val="center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1.模型微调工作：基于已构建数据集开展SFT和LoRA等参数高效化微调，初步形成面向星座动态分簇的大模型；</w:t>
            </w:r>
          </w:p>
          <w:p>
            <w:pPr>
              <w:rPr>
                <w:rFonts w:hint="eastAsia"/>
              </w:rPr>
            </w:pPr>
            <w:r>
              <w:rPr>
                <w:rFonts w:hint="eastAsia"/>
              </w:rPr>
              <w:t>2.跨/同构迁移研究：开展跨领域知识迁移和同构任务子模块蒸馏，提升模型在复杂约束下的任务推理能力；</w:t>
            </w:r>
          </w:p>
          <w:p>
            <w:r>
              <w:rPr>
                <w:rFonts w:hint="eastAsia"/>
              </w:rPr>
              <w:t>3.初步验证工作：在小规模仿真场景中开展功能性验证，评估模型在任务分配与资源调度中的可行性。</w:t>
            </w:r>
          </w:p>
        </w:tc>
        <w:tc>
          <w:tcPr>
            <w:tcW w:w="2714" w:type="dxa"/>
            <w:gridSpan w:val="2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大模型初版微调权重与训练报告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c>
          <w:tcPr>
            <w:tcW w:w="982" w:type="dxa"/>
            <w:vMerge w:val="continue"/>
            <w:vAlign w:val="center"/>
          </w:tcPr>
          <w:p>
            <w:pPr>
              <w:jc w:val="center"/>
            </w:pPr>
          </w:p>
        </w:tc>
        <w:tc>
          <w:tcPr>
            <w:tcW w:w="1423" w:type="dxa"/>
            <w:gridSpan w:val="2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2</w:t>
            </w:r>
            <w:r>
              <w:t>02</w:t>
            </w:r>
            <w:r>
              <w:rPr>
                <w:rFonts w:hint="eastAsia"/>
              </w:rPr>
              <w:t>5年12月</w:t>
            </w:r>
          </w:p>
        </w:tc>
        <w:tc>
          <w:tcPr>
            <w:tcW w:w="3177" w:type="dxa"/>
            <w:gridSpan w:val="2"/>
            <w:vAlign w:val="center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1.智能体架构设计工作：完成智能体编排框架设计，明确“生成—校核—重规划”闭环流程；</w:t>
            </w:r>
          </w:p>
          <w:p>
            <w:pPr>
              <w:rPr>
                <w:rFonts w:hint="eastAsia"/>
              </w:rPr>
            </w:pPr>
            <w:r>
              <w:rPr>
                <w:rFonts w:hint="eastAsia"/>
              </w:rPr>
              <w:t>2.工具链集成工作：接入轨道外推、可见性计算、资源评估和链路预算等工具，建立初步的工具调用接口；</w:t>
            </w:r>
          </w:p>
          <w:p>
            <w:r>
              <w:rPr>
                <w:rFonts w:hint="eastAsia"/>
              </w:rPr>
              <w:t>3.系统联调工作：实现大模型与智能体框架的联动，形成具备基础任务执行与校核能力的原型系统。</w:t>
            </w:r>
          </w:p>
        </w:tc>
        <w:tc>
          <w:tcPr>
            <w:tcW w:w="2714" w:type="dxa"/>
            <w:gridSpan w:val="2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智能体总体架构设计文档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c>
          <w:tcPr>
            <w:tcW w:w="982" w:type="dxa"/>
            <w:vMerge w:val="continue"/>
            <w:vAlign w:val="center"/>
          </w:tcPr>
          <w:p>
            <w:pPr>
              <w:jc w:val="center"/>
            </w:pPr>
          </w:p>
        </w:tc>
        <w:tc>
          <w:tcPr>
            <w:tcW w:w="1423" w:type="dxa"/>
            <w:gridSpan w:val="2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2</w:t>
            </w:r>
            <w:r>
              <w:t>02</w:t>
            </w:r>
            <w:r>
              <w:rPr>
                <w:rFonts w:hint="eastAsia"/>
              </w:rPr>
              <w:t>6年6月</w:t>
            </w:r>
          </w:p>
        </w:tc>
        <w:tc>
          <w:tcPr>
            <w:tcW w:w="3177" w:type="dxa"/>
            <w:gridSpan w:val="2"/>
            <w:vAlign w:val="center"/>
          </w:tcPr>
          <w:p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1.系统优化工作：基于验证反馈开展偏好优化与强化学习迭代，提升模型规划结果的可行性与稳健性；</w:t>
            </w:r>
          </w:p>
          <w:p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2.应用验证工作：在典型任务场景中进行闭环测试，评估任务完成度、资源利用率与系统稳定性；</w:t>
            </w:r>
          </w:p>
          <w:p>
            <w:pPr>
              <w:jc w:val="left"/>
            </w:pPr>
            <w:r>
              <w:rPr>
                <w:rFonts w:hint="eastAsia"/>
              </w:rPr>
              <w:t>3.成果固化工作：完成技术文档、数据集、模型权重与智能体原型的归档与交付，形成阶段性成果报告。</w:t>
            </w:r>
          </w:p>
        </w:tc>
        <w:tc>
          <w:tcPr>
            <w:tcW w:w="2714" w:type="dxa"/>
            <w:gridSpan w:val="2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系统应用验证报告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c>
          <w:tcPr>
            <w:tcW w:w="982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经费预算</w:t>
            </w:r>
          </w:p>
        </w:tc>
        <w:tc>
          <w:tcPr>
            <w:tcW w:w="7314" w:type="dxa"/>
            <w:gridSpan w:val="6"/>
            <w:vAlign w:val="center"/>
          </w:tcPr>
          <w:p>
            <w:pPr>
              <w:rPr>
                <w:rFonts w:hint="eastAsia"/>
              </w:rPr>
            </w:pPr>
            <w:r>
              <w:t>1.</w:t>
            </w:r>
            <w:r>
              <w:rPr>
                <w:rFonts w:hint="eastAsia"/>
              </w:rPr>
              <w:t>信息服务</w:t>
            </w:r>
            <w:r>
              <w:t>费：预计支出为2</w:t>
            </w:r>
            <w:r>
              <w:rPr>
                <w:rFonts w:hint="eastAsia"/>
              </w:rPr>
              <w:t>0</w:t>
            </w:r>
            <w:r>
              <w:t>万元，包括</w:t>
            </w:r>
            <w:r>
              <w:rPr>
                <w:rFonts w:hint="eastAsia"/>
              </w:rPr>
              <w:t>公开级</w:t>
            </w:r>
            <w:r>
              <w:t>GPU</w:t>
            </w:r>
            <w:r>
              <w:rPr>
                <w:rFonts w:hint="eastAsia"/>
              </w:rPr>
              <w:t>算力</w:t>
            </w:r>
            <w:r>
              <w:t>租用费用</w:t>
            </w:r>
            <w:r>
              <w:rPr>
                <w:rFonts w:hint="eastAsia"/>
              </w:rPr>
              <w:t>及云计算平台信息服务费用</w:t>
            </w:r>
            <w:r>
              <w:t>。</w:t>
            </w:r>
          </w:p>
          <w:p>
            <w:r>
              <w:t>2.差旅、学术交流费：预计支出为2万元，包括支持团以成员外出开会、学术交流的费用。</w:t>
            </w:r>
          </w:p>
        </w:tc>
      </w:tr>
    </w:tbl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5209"/>
    <w:rsid w:val="00023B5F"/>
    <w:rsid w:val="00031D0A"/>
    <w:rsid w:val="000347BA"/>
    <w:rsid w:val="00097D74"/>
    <w:rsid w:val="000A132A"/>
    <w:rsid w:val="000A230D"/>
    <w:rsid w:val="000A7952"/>
    <w:rsid w:val="000B5F19"/>
    <w:rsid w:val="000D5587"/>
    <w:rsid w:val="000D6E01"/>
    <w:rsid w:val="000E14B0"/>
    <w:rsid w:val="000E685E"/>
    <w:rsid w:val="00101ED6"/>
    <w:rsid w:val="00102840"/>
    <w:rsid w:val="00104FEA"/>
    <w:rsid w:val="00112035"/>
    <w:rsid w:val="001137F7"/>
    <w:rsid w:val="00145842"/>
    <w:rsid w:val="00152CFB"/>
    <w:rsid w:val="00154030"/>
    <w:rsid w:val="00154742"/>
    <w:rsid w:val="001653C0"/>
    <w:rsid w:val="0016596A"/>
    <w:rsid w:val="00167DCA"/>
    <w:rsid w:val="001943A4"/>
    <w:rsid w:val="001A0C05"/>
    <w:rsid w:val="001D60D5"/>
    <w:rsid w:val="001D69A8"/>
    <w:rsid w:val="001F617B"/>
    <w:rsid w:val="001F77C8"/>
    <w:rsid w:val="00211DFF"/>
    <w:rsid w:val="00215209"/>
    <w:rsid w:val="00221376"/>
    <w:rsid w:val="00221721"/>
    <w:rsid w:val="00221FE0"/>
    <w:rsid w:val="002252A0"/>
    <w:rsid w:val="0022707B"/>
    <w:rsid w:val="00241B88"/>
    <w:rsid w:val="00241D65"/>
    <w:rsid w:val="002437D2"/>
    <w:rsid w:val="00245570"/>
    <w:rsid w:val="002564E6"/>
    <w:rsid w:val="002568F3"/>
    <w:rsid w:val="00262F14"/>
    <w:rsid w:val="00263DD7"/>
    <w:rsid w:val="002718E3"/>
    <w:rsid w:val="00283076"/>
    <w:rsid w:val="00284D0F"/>
    <w:rsid w:val="00296005"/>
    <w:rsid w:val="002A5333"/>
    <w:rsid w:val="002A6B4F"/>
    <w:rsid w:val="002B780B"/>
    <w:rsid w:val="002C3D03"/>
    <w:rsid w:val="002C71E0"/>
    <w:rsid w:val="002D5389"/>
    <w:rsid w:val="002E21C9"/>
    <w:rsid w:val="002E5AC4"/>
    <w:rsid w:val="002F624F"/>
    <w:rsid w:val="003058DA"/>
    <w:rsid w:val="00315DA7"/>
    <w:rsid w:val="00326620"/>
    <w:rsid w:val="00326995"/>
    <w:rsid w:val="0032779F"/>
    <w:rsid w:val="00333086"/>
    <w:rsid w:val="00353030"/>
    <w:rsid w:val="0035667D"/>
    <w:rsid w:val="003618D9"/>
    <w:rsid w:val="0036557B"/>
    <w:rsid w:val="00365C8A"/>
    <w:rsid w:val="003667D7"/>
    <w:rsid w:val="00373B85"/>
    <w:rsid w:val="00376531"/>
    <w:rsid w:val="003771BA"/>
    <w:rsid w:val="00381A56"/>
    <w:rsid w:val="003905A4"/>
    <w:rsid w:val="0039468A"/>
    <w:rsid w:val="003B1C61"/>
    <w:rsid w:val="003B4EF6"/>
    <w:rsid w:val="003C7035"/>
    <w:rsid w:val="003E11E3"/>
    <w:rsid w:val="003E67CF"/>
    <w:rsid w:val="003F1426"/>
    <w:rsid w:val="003F381A"/>
    <w:rsid w:val="003F4A72"/>
    <w:rsid w:val="003F5072"/>
    <w:rsid w:val="00403CCA"/>
    <w:rsid w:val="00405EB1"/>
    <w:rsid w:val="0041100E"/>
    <w:rsid w:val="00412F81"/>
    <w:rsid w:val="00427CB3"/>
    <w:rsid w:val="00443D85"/>
    <w:rsid w:val="00445A79"/>
    <w:rsid w:val="00450228"/>
    <w:rsid w:val="00462B56"/>
    <w:rsid w:val="00491495"/>
    <w:rsid w:val="00497FFA"/>
    <w:rsid w:val="004A2303"/>
    <w:rsid w:val="004D4024"/>
    <w:rsid w:val="004D4F93"/>
    <w:rsid w:val="00542151"/>
    <w:rsid w:val="00566866"/>
    <w:rsid w:val="00573EB5"/>
    <w:rsid w:val="005808CC"/>
    <w:rsid w:val="00587362"/>
    <w:rsid w:val="005C440F"/>
    <w:rsid w:val="005C5DA5"/>
    <w:rsid w:val="005C6143"/>
    <w:rsid w:val="005D141B"/>
    <w:rsid w:val="005F5D84"/>
    <w:rsid w:val="006250B6"/>
    <w:rsid w:val="0062707F"/>
    <w:rsid w:val="0063243E"/>
    <w:rsid w:val="00635767"/>
    <w:rsid w:val="006373E5"/>
    <w:rsid w:val="00660839"/>
    <w:rsid w:val="00666F34"/>
    <w:rsid w:val="006715B2"/>
    <w:rsid w:val="006812D9"/>
    <w:rsid w:val="00695835"/>
    <w:rsid w:val="006A4DC4"/>
    <w:rsid w:val="006B4348"/>
    <w:rsid w:val="006B6FDB"/>
    <w:rsid w:val="006B7F7C"/>
    <w:rsid w:val="006C0F95"/>
    <w:rsid w:val="006C4E1B"/>
    <w:rsid w:val="006C4EB6"/>
    <w:rsid w:val="006E4191"/>
    <w:rsid w:val="006E4AEE"/>
    <w:rsid w:val="006E779E"/>
    <w:rsid w:val="006F2E75"/>
    <w:rsid w:val="006F385A"/>
    <w:rsid w:val="006F5538"/>
    <w:rsid w:val="006F6D2F"/>
    <w:rsid w:val="007111FF"/>
    <w:rsid w:val="00717558"/>
    <w:rsid w:val="00753CD9"/>
    <w:rsid w:val="00760EDA"/>
    <w:rsid w:val="007612D8"/>
    <w:rsid w:val="00764B3C"/>
    <w:rsid w:val="007777A3"/>
    <w:rsid w:val="007803A9"/>
    <w:rsid w:val="007854F7"/>
    <w:rsid w:val="00796883"/>
    <w:rsid w:val="007A30FC"/>
    <w:rsid w:val="007B6F13"/>
    <w:rsid w:val="007E64A2"/>
    <w:rsid w:val="007F03EE"/>
    <w:rsid w:val="007F1933"/>
    <w:rsid w:val="007F5D60"/>
    <w:rsid w:val="0082120B"/>
    <w:rsid w:val="0082181D"/>
    <w:rsid w:val="00837CD4"/>
    <w:rsid w:val="00847DF6"/>
    <w:rsid w:val="00850014"/>
    <w:rsid w:val="00852050"/>
    <w:rsid w:val="008531B7"/>
    <w:rsid w:val="0085707F"/>
    <w:rsid w:val="008634A8"/>
    <w:rsid w:val="008653BB"/>
    <w:rsid w:val="00870BC3"/>
    <w:rsid w:val="0087596F"/>
    <w:rsid w:val="00877022"/>
    <w:rsid w:val="00877BA2"/>
    <w:rsid w:val="00881A8B"/>
    <w:rsid w:val="00882E21"/>
    <w:rsid w:val="0088476F"/>
    <w:rsid w:val="00885811"/>
    <w:rsid w:val="008962A5"/>
    <w:rsid w:val="008B09FB"/>
    <w:rsid w:val="008B3C98"/>
    <w:rsid w:val="008B596A"/>
    <w:rsid w:val="008B59C0"/>
    <w:rsid w:val="008C4C64"/>
    <w:rsid w:val="008C5818"/>
    <w:rsid w:val="008C6195"/>
    <w:rsid w:val="008D3F11"/>
    <w:rsid w:val="009013A1"/>
    <w:rsid w:val="00912731"/>
    <w:rsid w:val="00913BE4"/>
    <w:rsid w:val="00926D41"/>
    <w:rsid w:val="009314BB"/>
    <w:rsid w:val="0093584D"/>
    <w:rsid w:val="00942841"/>
    <w:rsid w:val="00955166"/>
    <w:rsid w:val="00961AEC"/>
    <w:rsid w:val="00964122"/>
    <w:rsid w:val="0097033A"/>
    <w:rsid w:val="009710F2"/>
    <w:rsid w:val="00974DEE"/>
    <w:rsid w:val="00975F20"/>
    <w:rsid w:val="00982042"/>
    <w:rsid w:val="009B4FEA"/>
    <w:rsid w:val="009C2563"/>
    <w:rsid w:val="009C3FB8"/>
    <w:rsid w:val="009D1717"/>
    <w:rsid w:val="009D239C"/>
    <w:rsid w:val="009D7E8E"/>
    <w:rsid w:val="009E6D98"/>
    <w:rsid w:val="009F3926"/>
    <w:rsid w:val="009F5060"/>
    <w:rsid w:val="00A03A96"/>
    <w:rsid w:val="00A05E4C"/>
    <w:rsid w:val="00A13221"/>
    <w:rsid w:val="00A2130B"/>
    <w:rsid w:val="00A23149"/>
    <w:rsid w:val="00A27B1E"/>
    <w:rsid w:val="00A40594"/>
    <w:rsid w:val="00A431FA"/>
    <w:rsid w:val="00A5456D"/>
    <w:rsid w:val="00A7345A"/>
    <w:rsid w:val="00A86201"/>
    <w:rsid w:val="00A951FE"/>
    <w:rsid w:val="00A95784"/>
    <w:rsid w:val="00AA3C87"/>
    <w:rsid w:val="00AB53CD"/>
    <w:rsid w:val="00AB78D5"/>
    <w:rsid w:val="00AC062B"/>
    <w:rsid w:val="00AC3C9A"/>
    <w:rsid w:val="00AE053A"/>
    <w:rsid w:val="00AF3242"/>
    <w:rsid w:val="00B006C2"/>
    <w:rsid w:val="00B06773"/>
    <w:rsid w:val="00B14815"/>
    <w:rsid w:val="00B46EF8"/>
    <w:rsid w:val="00B65910"/>
    <w:rsid w:val="00B71063"/>
    <w:rsid w:val="00B7246E"/>
    <w:rsid w:val="00B729EE"/>
    <w:rsid w:val="00B7486A"/>
    <w:rsid w:val="00B81C0D"/>
    <w:rsid w:val="00B9715B"/>
    <w:rsid w:val="00BB5E1B"/>
    <w:rsid w:val="00BD01E5"/>
    <w:rsid w:val="00BD08DC"/>
    <w:rsid w:val="00BD1172"/>
    <w:rsid w:val="00BF7320"/>
    <w:rsid w:val="00C146EB"/>
    <w:rsid w:val="00C241F5"/>
    <w:rsid w:val="00C24F0A"/>
    <w:rsid w:val="00C34227"/>
    <w:rsid w:val="00C3520E"/>
    <w:rsid w:val="00C3607C"/>
    <w:rsid w:val="00C41106"/>
    <w:rsid w:val="00C61F16"/>
    <w:rsid w:val="00C6637D"/>
    <w:rsid w:val="00C772D1"/>
    <w:rsid w:val="00C8109F"/>
    <w:rsid w:val="00CA14C7"/>
    <w:rsid w:val="00CB1F20"/>
    <w:rsid w:val="00CB51BD"/>
    <w:rsid w:val="00CB6053"/>
    <w:rsid w:val="00CC23F5"/>
    <w:rsid w:val="00CC35DC"/>
    <w:rsid w:val="00CC7360"/>
    <w:rsid w:val="00CD3CE0"/>
    <w:rsid w:val="00CF23BA"/>
    <w:rsid w:val="00CF7E99"/>
    <w:rsid w:val="00D15AF1"/>
    <w:rsid w:val="00D20030"/>
    <w:rsid w:val="00D204CB"/>
    <w:rsid w:val="00D320E7"/>
    <w:rsid w:val="00D334B0"/>
    <w:rsid w:val="00D33EB6"/>
    <w:rsid w:val="00D373EA"/>
    <w:rsid w:val="00D47AFF"/>
    <w:rsid w:val="00D47C1B"/>
    <w:rsid w:val="00D51AB6"/>
    <w:rsid w:val="00D57580"/>
    <w:rsid w:val="00D67AFC"/>
    <w:rsid w:val="00D74471"/>
    <w:rsid w:val="00D75450"/>
    <w:rsid w:val="00D812C4"/>
    <w:rsid w:val="00D94CF9"/>
    <w:rsid w:val="00DA168C"/>
    <w:rsid w:val="00DA380F"/>
    <w:rsid w:val="00DA6AEC"/>
    <w:rsid w:val="00DA79BC"/>
    <w:rsid w:val="00DC175D"/>
    <w:rsid w:val="00DC402B"/>
    <w:rsid w:val="00DC54AC"/>
    <w:rsid w:val="00DD04D7"/>
    <w:rsid w:val="00DD16F1"/>
    <w:rsid w:val="00DE1D4B"/>
    <w:rsid w:val="00E01023"/>
    <w:rsid w:val="00E05F62"/>
    <w:rsid w:val="00E0618C"/>
    <w:rsid w:val="00E10013"/>
    <w:rsid w:val="00E30216"/>
    <w:rsid w:val="00E442F0"/>
    <w:rsid w:val="00E44677"/>
    <w:rsid w:val="00E5213B"/>
    <w:rsid w:val="00E603DA"/>
    <w:rsid w:val="00EC19E9"/>
    <w:rsid w:val="00EC2E20"/>
    <w:rsid w:val="00EC427C"/>
    <w:rsid w:val="00ED5338"/>
    <w:rsid w:val="00EE3EC4"/>
    <w:rsid w:val="00EF2269"/>
    <w:rsid w:val="00EF4773"/>
    <w:rsid w:val="00F02FCD"/>
    <w:rsid w:val="00F05235"/>
    <w:rsid w:val="00F055FD"/>
    <w:rsid w:val="00F06725"/>
    <w:rsid w:val="00F16E62"/>
    <w:rsid w:val="00F22F15"/>
    <w:rsid w:val="00F35DEB"/>
    <w:rsid w:val="00F5035A"/>
    <w:rsid w:val="00F54FD6"/>
    <w:rsid w:val="00F55B6B"/>
    <w:rsid w:val="00F614A9"/>
    <w:rsid w:val="00F6285D"/>
    <w:rsid w:val="00F65EB8"/>
    <w:rsid w:val="00F843B4"/>
    <w:rsid w:val="00F84818"/>
    <w:rsid w:val="00F910B3"/>
    <w:rsid w:val="00F93E0C"/>
    <w:rsid w:val="00FA32B9"/>
    <w:rsid w:val="00FB13D4"/>
    <w:rsid w:val="00FB2400"/>
    <w:rsid w:val="00FC0D42"/>
    <w:rsid w:val="00FC1C40"/>
    <w:rsid w:val="00FE1405"/>
    <w:rsid w:val="00FE49E2"/>
    <w:rsid w:val="00FF07A6"/>
    <w:rsid w:val="00FF55CC"/>
    <w:rsid w:val="0E4C2B6B"/>
    <w:rsid w:val="0F56285C"/>
    <w:rsid w:val="403F5202"/>
    <w:rsid w:val="5126042E"/>
    <w:rsid w:val="5CC15BA8"/>
    <w:rsid w:val="661D3D64"/>
    <w:rsid w:val="67092797"/>
    <w:rsid w:val="68E34B05"/>
    <w:rsid w:val="6F0B3DD3"/>
    <w:rsid w:val="73A12DF2"/>
    <w:rsid w:val="77080109"/>
    <w:rsid w:val="7E5576C7"/>
    <w:rsid w:val="7F1C6D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caption"/>
    <w:basedOn w:val="1"/>
    <w:next w:val="1"/>
    <w:semiHidden/>
    <w:unhideWhenUsed/>
    <w:qFormat/>
    <w:uiPriority w:val="35"/>
    <w:rPr>
      <w:rFonts w:ascii="Arial" w:hAnsi="Arial" w:eastAsia="黑体"/>
      <w:sz w:val="20"/>
    </w:rPr>
  </w:style>
  <w:style w:type="table" w:styleId="4">
    <w:name w:val="Table Grid"/>
    <w:basedOn w:val="3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6">
    <w:name w:val="Strong"/>
    <w:basedOn w:val="5"/>
    <w:qFormat/>
    <w:uiPriority w:val="22"/>
    <w:rPr>
      <w:b/>
    </w:rPr>
  </w:style>
  <w:style w:type="paragraph" w:styleId="7">
    <w:name w:val="List Paragraph"/>
    <w:basedOn w:val="1"/>
    <w:qFormat/>
    <w:uiPriority w:val="34"/>
    <w:pPr>
      <w:ind w:firstLine="420" w:firstLineChars="200"/>
    </w:pPr>
  </w:style>
  <w:style w:type="paragraph" w:customStyle="1" w:styleId="8">
    <w:name w:val="Revision"/>
    <w:hidden/>
    <w:semiHidden/>
    <w:uiPriority w:val="99"/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633</Words>
  <Characters>3609</Characters>
  <Lines>30</Lines>
  <Paragraphs>8</Paragraphs>
  <TotalTime>2</TotalTime>
  <ScaleCrop>false</ScaleCrop>
  <LinksUpToDate>false</LinksUpToDate>
  <CharactersWithSpaces>4234</CharactersWithSpaces>
  <Application>WPS Office_11.8.2.12265_F1E327BC-269C-435d-A152-05C5408002CA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2025-08-27T07:08:00Z</dcterms:created>
  <dc:creator>Qipeng Zhang</dc:creator>
  <cp:lastModifiedBy>kkai</cp:lastModifiedBy>
  <dcterms:modified xsi:type="dcterms:W3CDTF">2025-08-29T13:45:25Z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2052-11.8.2.12265</vt:lpwstr>
  </property>
  <property fmtid="{D5CDD505-2E9C-101B-9397-08002B2CF9AE}" pid="3" name="ICV">
    <vt:lpwstr>42E9B4017FC2445ABF56FC39B9302DA2</vt:lpwstr>
  </property>
</Properties>
</file>