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3A126" w14:textId="77777777" w:rsidR="008830D4" w:rsidRDefault="008830D4" w:rsidP="008830D4">
      <w:pPr>
        <w:pStyle w:val="2"/>
        <w:rPr>
          <w:lang w:eastAsia="zh-CN"/>
        </w:rPr>
      </w:pPr>
      <w:bookmarkStart w:id="0" w:name="综合光学卫星设计报告"/>
      <w:bookmarkStart w:id="1" w:name="卫星子系统设计"/>
      <w:bookmarkStart w:id="2" w:name="光学载荷子系统"/>
      <w:r>
        <w:rPr>
          <w:lang w:eastAsia="zh-CN"/>
        </w:rPr>
        <w:t>三、标定与在轨运行</w:t>
      </w:r>
    </w:p>
    <w:p w14:paraId="363A1A1A" w14:textId="77777777" w:rsidR="008830D4" w:rsidRDefault="008830D4" w:rsidP="008830D4">
      <w:pPr>
        <w:pStyle w:val="3"/>
        <w:rPr>
          <w:lang w:eastAsia="zh-CN"/>
        </w:rPr>
      </w:pPr>
      <w:r>
        <w:rPr>
          <w:lang w:eastAsia="zh-CN"/>
        </w:rPr>
        <w:t xml:space="preserve">3.1 </w:t>
      </w:r>
      <w:r>
        <w:rPr>
          <w:lang w:eastAsia="zh-CN"/>
        </w:rPr>
        <w:t>星上定标装置与辐射校正</w:t>
      </w:r>
    </w:p>
    <w:p w14:paraId="6E08357A" w14:textId="77777777" w:rsidR="008830D4" w:rsidRDefault="008830D4" w:rsidP="0006219F">
      <w:pPr>
        <w:pStyle w:val="AI"/>
        <w:rPr>
          <w:rFonts w:hint="eastAsia"/>
          <w:lang w:eastAsia="zh-CN"/>
        </w:rPr>
      </w:pPr>
      <w:r>
        <w:rPr>
          <w:lang w:eastAsia="zh-CN"/>
        </w:rPr>
        <w:t xml:space="preserve">为确保长时间在轨运行中成像精度不退化，光学载荷配置了 </w:t>
      </w:r>
      <w:r>
        <w:rPr>
          <w:rStyle w:val="af5"/>
          <w:lang w:eastAsia="zh-CN"/>
        </w:rPr>
        <w:t>辐射定标装置</w:t>
      </w:r>
      <w:r>
        <w:rPr>
          <w:lang w:eastAsia="zh-CN"/>
        </w:rPr>
        <w:t>。在相机光路中设置漫反射标定板（Spectralon材质），可定期反射太阳光以提供标准亮度源，用于相机灵敏度校准。系统还配有稳定LED光源，保证在地球阴影段仍可执行辐射定标。通过周期性的标定操作，能够补偿探测器的增益漂移与坏点演化，维持长期辐射一致性。</w:t>
      </w:r>
    </w:p>
    <w:p w14:paraId="4BF887F3" w14:textId="77777777" w:rsidR="008830D4" w:rsidRDefault="008830D4" w:rsidP="008830D4">
      <w:pPr>
        <w:pStyle w:val="3"/>
        <w:rPr>
          <w:lang w:eastAsia="zh-CN"/>
        </w:rPr>
      </w:pPr>
      <w:r>
        <w:rPr>
          <w:lang w:eastAsia="zh-CN"/>
        </w:rPr>
        <w:t xml:space="preserve">3.2 </w:t>
      </w:r>
      <w:r>
        <w:rPr>
          <w:lang w:eastAsia="zh-CN"/>
        </w:rPr>
        <w:t>几何标定与成像精度保证</w:t>
      </w:r>
    </w:p>
    <w:p w14:paraId="18844E38" w14:textId="77777777" w:rsidR="008830D4" w:rsidRDefault="008830D4" w:rsidP="0006219F">
      <w:pPr>
        <w:pStyle w:val="AI"/>
        <w:rPr>
          <w:rFonts w:hint="eastAsia"/>
          <w:lang w:eastAsia="zh-CN"/>
        </w:rPr>
      </w:pPr>
      <w:r>
        <w:rPr>
          <w:lang w:eastAsia="zh-CN"/>
        </w:rPr>
        <w:t>几何精度是高分辨率遥感的另一个关键指标。光学载荷通过星敏感器与探测器的联合标定，建立高精度的光机—卫星坐标系外参关系。在轨运行中，利用恒星观测和地面特征点进行几何校正，确保图像的几何畸变小于0.1像元。成像任务中，姿态确定系统提供的亚角秒级知识精度结合像元定位能力，使地面几何定位精度优于5 m，满足遥感应用需求。</w:t>
      </w:r>
    </w:p>
    <w:p w14:paraId="26B98520" w14:textId="77777777" w:rsidR="008830D4" w:rsidRDefault="008830D4" w:rsidP="008830D4">
      <w:pPr>
        <w:pStyle w:val="3"/>
        <w:rPr>
          <w:lang w:eastAsia="zh-CN"/>
        </w:rPr>
      </w:pPr>
      <w:r>
        <w:rPr>
          <w:lang w:eastAsia="zh-CN"/>
        </w:rPr>
        <w:t xml:space="preserve">3.3 </w:t>
      </w:r>
      <w:r>
        <w:rPr>
          <w:lang w:eastAsia="zh-CN"/>
        </w:rPr>
        <w:t>环境适应性与在轨稳定性</w:t>
      </w:r>
    </w:p>
    <w:p w14:paraId="3634DABE" w14:textId="77777777" w:rsidR="008830D4" w:rsidRDefault="008830D4" w:rsidP="0006219F">
      <w:pPr>
        <w:pStyle w:val="AI"/>
        <w:rPr>
          <w:rFonts w:hint="eastAsia"/>
          <w:lang w:eastAsia="zh-CN"/>
        </w:rPr>
      </w:pPr>
      <w:r>
        <w:rPr>
          <w:lang w:eastAsia="zh-CN"/>
        </w:rPr>
        <w:t>空间环境中存在强烈的热循环、宇宙辐射和微陨石威胁，光学载荷在设计中采用了多层冗余与保护措施。探测器电子学采用抗单粒子翻转（SEU）设计，并配有ECC（错误纠正码）保护。镜面外层采用耐原子氧涂层，减缓材料表面侵蚀。在轨运行中，载荷软件具备自动健康检测功能，一旦探测器输出异常或滤光轮卡滞，系统会进入降级模式，利用剩余功能继续成像，确保任务连续性。</w:t>
      </w:r>
    </w:p>
    <w:p w14:paraId="176B629C" w14:textId="6F0D9883" w:rsidR="008830D4" w:rsidRDefault="008830D4" w:rsidP="008830D4">
      <w:pPr>
        <w:rPr>
          <w:lang w:eastAsia="zh-CN"/>
        </w:rPr>
      </w:pPr>
    </w:p>
    <w:p w14:paraId="0DB2ABC1" w14:textId="77777777" w:rsidR="008830D4" w:rsidRDefault="008830D4" w:rsidP="008830D4">
      <w:pPr>
        <w:pStyle w:val="3"/>
        <w:rPr>
          <w:lang w:eastAsia="zh-CN"/>
        </w:rPr>
      </w:pPr>
      <w:r>
        <w:rPr>
          <w:lang w:eastAsia="zh-CN"/>
        </w:rPr>
        <w:t xml:space="preserve">3. </w:t>
      </w:r>
      <w:r>
        <w:rPr>
          <w:lang w:eastAsia="zh-CN"/>
        </w:rPr>
        <w:t>光学载荷子系统的集成与测试</w:t>
      </w:r>
    </w:p>
    <w:p w14:paraId="1A73BD9E" w14:textId="77777777" w:rsidR="008830D4" w:rsidRDefault="008830D4" w:rsidP="008830D4">
      <w:pPr>
        <w:pStyle w:val="4"/>
        <w:rPr>
          <w:lang w:eastAsia="zh-CN"/>
        </w:rPr>
      </w:pPr>
      <w:r>
        <w:rPr>
          <w:lang w:eastAsia="zh-CN"/>
        </w:rPr>
        <w:t xml:space="preserve">3.1 </w:t>
      </w:r>
      <w:r>
        <w:rPr>
          <w:lang w:eastAsia="zh-CN"/>
        </w:rPr>
        <w:t>光学载荷的地面测试</w:t>
      </w:r>
    </w:p>
    <w:p w14:paraId="653E1A35" w14:textId="77777777" w:rsidR="008830D4" w:rsidRDefault="008830D4" w:rsidP="0006219F">
      <w:pPr>
        <w:pStyle w:val="AI"/>
        <w:rPr>
          <w:rFonts w:hint="eastAsia"/>
          <w:lang w:eastAsia="zh-CN"/>
        </w:rPr>
      </w:pPr>
      <w:r>
        <w:rPr>
          <w:lang w:eastAsia="zh-CN"/>
        </w:rPr>
        <w:t>在装配与集成阶段，光学载荷需经历严格的光学对准、环境与性能测试。光学对准通过激光干涉仪和三坐标测量机完成，确保各镜元位置误差控制在几十微米以内。环境测试包括振动、冲击与热真空试验，模拟火箭发射与太空环境。在热真空舱内，需验证系统在热循环下的稳定性，确认光学轴漂移小于2 µrad。性能测试则在准直光学实验室进行，采用标准分辨率靶标评估系统的MTF（调制传递函数），确保中心场MTF在Nyquist频率下大于0.15。</w:t>
      </w:r>
    </w:p>
    <w:p w14:paraId="1A804BDB" w14:textId="77777777" w:rsidR="008830D4" w:rsidRDefault="008830D4" w:rsidP="008830D4">
      <w:pPr>
        <w:pStyle w:val="4"/>
        <w:rPr>
          <w:lang w:eastAsia="zh-CN"/>
        </w:rPr>
      </w:pPr>
      <w:r>
        <w:rPr>
          <w:lang w:eastAsia="zh-CN"/>
        </w:rPr>
        <w:lastRenderedPageBreak/>
        <w:t xml:space="preserve">3.2 </w:t>
      </w:r>
      <w:r>
        <w:rPr>
          <w:lang w:eastAsia="zh-CN"/>
        </w:rPr>
        <w:t>在轨验证</w:t>
      </w:r>
    </w:p>
    <w:p w14:paraId="46EAD9EA" w14:textId="77777777" w:rsidR="008830D4" w:rsidRDefault="008830D4" w:rsidP="0006219F">
      <w:pPr>
        <w:pStyle w:val="AI"/>
        <w:rPr>
          <w:rFonts w:hint="eastAsia"/>
          <w:lang w:eastAsia="zh-CN"/>
        </w:rPr>
      </w:pPr>
      <w:r>
        <w:rPr>
          <w:lang w:eastAsia="zh-CN"/>
        </w:rPr>
        <w:t>发射入轨后，光学载荷进入在轨验证阶段。通过拍摄恒星和地面标准目标，逐步验证光学对准、成像分辨率、几何与辐射精度。恒星图像用于测量PSF扩展与光学轴稳定性，地面目标如机场跑道、建筑群用于几何精度评估。通过与地面高精度DEM/DOM数据对比，逐步完成几何校正模型的建立。在辐射方面，通过观测稳定地物（如戈壁、沙漠区域）和深空校正板，对探测器的增益与偏置进行更新。</w:t>
      </w:r>
    </w:p>
    <w:p w14:paraId="3AB6B92E" w14:textId="77777777" w:rsidR="008830D4" w:rsidRDefault="008830D4" w:rsidP="008830D4">
      <w:pPr>
        <w:pStyle w:val="4"/>
        <w:rPr>
          <w:lang w:eastAsia="zh-CN"/>
        </w:rPr>
      </w:pPr>
      <w:r>
        <w:rPr>
          <w:lang w:eastAsia="zh-CN"/>
        </w:rPr>
        <w:t xml:space="preserve">3.3 </w:t>
      </w:r>
      <w:r>
        <w:rPr>
          <w:lang w:eastAsia="zh-CN"/>
        </w:rPr>
        <w:t>长期运行与故障检测</w:t>
      </w:r>
    </w:p>
    <w:p w14:paraId="0EEAE504" w14:textId="77777777" w:rsidR="008830D4" w:rsidRDefault="008830D4" w:rsidP="0006219F">
      <w:pPr>
        <w:pStyle w:val="AI"/>
        <w:rPr>
          <w:rFonts w:hint="eastAsia"/>
          <w:lang w:eastAsia="zh-CN"/>
        </w:rPr>
      </w:pPr>
      <w:r>
        <w:rPr>
          <w:lang w:eastAsia="zh-CN"/>
        </w:rPr>
        <w:t>在长期运行中，光学系统会受到太空辐射、原子氧侵蚀与材料老化等影响。为此，系统配备多级故障检测与恢复机制（FDIR）。例如，当焦平面出现坏点时，软件自动进行像元替代；当滤光轮卡滞时，系统通过反向脉冲驱动进行解锁；当探测器温度超限时，自动进入降功耗模式并通过热控系统恢复正常。通过这些设计，光学载荷能够在数年寿命周期内保持成像质量的稳定。</w:t>
      </w:r>
    </w:p>
    <w:p w14:paraId="31406936" w14:textId="6C216EB3" w:rsidR="005A27BD" w:rsidRDefault="005A27BD" w:rsidP="005A27BD">
      <w:pPr>
        <w:pStyle w:val="AI"/>
        <w:spacing w:line="240" w:lineRule="auto"/>
        <w:ind w:firstLine="482"/>
        <w:jc w:val="center"/>
        <w:rPr>
          <w:rFonts w:hint="eastAsia"/>
          <w:noProof/>
          <w:lang w:eastAsia="zh-CN"/>
        </w:rPr>
      </w:pPr>
      <w:r>
        <w:rPr>
          <w:noProof/>
          <w:lang w:eastAsia="zh-CN"/>
        </w:rPr>
        <w:drawing>
          <wp:inline distT="0" distB="0" distL="0" distR="0" wp14:anchorId="59A0B30D" wp14:editId="0301B064">
            <wp:extent cx="4023360" cy="289132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5973" cy="2893202"/>
                    </a:xfrm>
                    <a:prstGeom prst="rect">
                      <a:avLst/>
                    </a:prstGeom>
                  </pic:spPr>
                </pic:pic>
              </a:graphicData>
            </a:graphic>
          </wp:inline>
        </w:drawing>
      </w:r>
    </w:p>
    <w:p w14:paraId="646092FB" w14:textId="77777777" w:rsidR="008830D4" w:rsidRDefault="00000000" w:rsidP="008830D4">
      <w:r>
        <w:pict w14:anchorId="5DF1007A">
          <v:rect id="_x0000_i1026" style="width:0;height:1.5pt" o:hralign="center" o:hrstd="t" o:hr="t" fillcolor="#a0a0a0" stroked="f"/>
        </w:pict>
      </w:r>
    </w:p>
    <w:p w14:paraId="67F3A0CA" w14:textId="77777777" w:rsidR="008830D4" w:rsidRDefault="008830D4" w:rsidP="008830D4">
      <w:pPr>
        <w:pStyle w:val="3"/>
        <w:rPr>
          <w:lang w:eastAsia="zh-CN"/>
        </w:rPr>
      </w:pPr>
      <w:r>
        <w:rPr>
          <w:lang w:eastAsia="zh-CN"/>
        </w:rPr>
        <w:t xml:space="preserve">4. </w:t>
      </w:r>
      <w:r>
        <w:rPr>
          <w:lang w:eastAsia="zh-CN"/>
        </w:rPr>
        <w:t>总结</w:t>
      </w:r>
    </w:p>
    <w:p w14:paraId="086C5E05" w14:textId="77777777" w:rsidR="008830D4" w:rsidRDefault="008830D4" w:rsidP="0006219F">
      <w:pPr>
        <w:pStyle w:val="AI"/>
        <w:rPr>
          <w:rFonts w:hint="eastAsia"/>
          <w:lang w:eastAsia="zh-CN"/>
        </w:rPr>
      </w:pPr>
      <w:r>
        <w:rPr>
          <w:lang w:eastAsia="zh-CN"/>
        </w:rPr>
        <w:t>光学载荷子系统的设计是一项跨学科的复杂工程，其目标是在有限资源约束下实现0.5米级高分辨率和多光谱成像。通过TMA光学结构、大口径轻量化镜体、TDI与FMC协同补偿、热—结构一体化设计，以及完善的地面与在轨标定流程，系统能够有效抵御轨道环境影响并长期提供高质量影像。作为卫星的核心功能模块，光学载荷的成功实现直接决定任务成败，其设计与测试过程体现了高精度光学、精密制造与空间工程的综合水平。</w:t>
      </w:r>
    </w:p>
    <w:p w14:paraId="24B874C1" w14:textId="722F309E" w:rsidR="008830D4" w:rsidRDefault="008830D4" w:rsidP="0006219F">
      <w:pPr>
        <w:pStyle w:val="AI"/>
        <w:rPr>
          <w:rFonts w:hint="eastAsia"/>
          <w:lang w:eastAsia="zh-CN"/>
        </w:rPr>
      </w:pPr>
      <w:r>
        <w:rPr>
          <w:lang w:eastAsia="zh-CN"/>
        </w:rPr>
        <w:lastRenderedPageBreak/>
        <w:t xml:space="preserve">综上所述，光学载荷子系统通过 </w:t>
      </w:r>
      <w:r>
        <w:rPr>
          <w:rStyle w:val="af5"/>
          <w:lang w:eastAsia="zh-CN"/>
        </w:rPr>
        <w:t>TMA光学结构、轻量化大口径主镜、高性能TDI-CCD与多光谱CMOS探测器、FMC运动补偿技术、分光与滤光机制</w:t>
      </w:r>
      <w:r>
        <w:rPr>
          <w:lang w:eastAsia="zh-CN"/>
        </w:rPr>
        <w:t xml:space="preserve"> 的综合设计，能够在600 km轨道高度下实现0.5 m 全色与2 m 多光谱分辨率的高质量成像。配合在轨辐射与几何标定机制，该子系统能够保证长时间运行中的影像一致性与几何精度。其结构与热控的一体化设计，以及在传感器与电子学层面的抗辐射与容错措施，进一步确保了光学载荷在复杂轨道环境中的稳定性和可靠性，为整星任务的成功提供坚实保障。</w:t>
      </w:r>
    </w:p>
    <w:p w14:paraId="2008298F" w14:textId="77777777" w:rsidR="00186886" w:rsidRDefault="00201339" w:rsidP="0006219F">
      <w:pPr>
        <w:pStyle w:val="AI"/>
        <w:rPr>
          <w:rFonts w:hint="eastAsia"/>
          <w:lang w:eastAsia="zh-CN"/>
        </w:rPr>
      </w:pPr>
      <w:r>
        <w:rPr>
          <w:rFonts w:hint="eastAsia"/>
          <w:b/>
          <w:bCs/>
          <w:lang w:eastAsia="zh-CN"/>
        </w:rPr>
        <w:t>光学望远镜组件</w:t>
      </w:r>
      <w:r>
        <w:rPr>
          <w:rFonts w:hint="eastAsia"/>
          <w:lang w:eastAsia="zh-CN"/>
        </w:rPr>
        <w:t>采用250毫米口径卡塞格林配置，配备碳化硅主镜以实现热稳定性。5.5米有效焦距通过折叠光路设计在小卫星尺寸约束内提供所需角分辨率。</w:t>
      </w:r>
    </w:p>
    <w:tbl>
      <w:tblPr>
        <w:tblStyle w:val="Table"/>
        <w:tblW w:w="0" w:type="auto"/>
        <w:tblLook w:val="0020" w:firstRow="1" w:lastRow="0" w:firstColumn="0" w:lastColumn="0" w:noHBand="0" w:noVBand="0"/>
      </w:tblPr>
      <w:tblGrid>
        <w:gridCol w:w="1553"/>
        <w:gridCol w:w="2353"/>
        <w:gridCol w:w="2904"/>
        <w:gridCol w:w="1036"/>
        <w:gridCol w:w="1010"/>
      </w:tblGrid>
      <w:tr w:rsidR="00186886" w14:paraId="336451A9"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2F22D2" w14:textId="77777777" w:rsidR="00186886" w:rsidRDefault="00201339">
            <w:pPr>
              <w:pStyle w:val="Compact"/>
            </w:pPr>
            <w:r>
              <w:rPr>
                <w:rFonts w:hint="eastAsia"/>
              </w:rPr>
              <w:t>组件</w:t>
            </w:r>
          </w:p>
        </w:tc>
        <w:tc>
          <w:tcPr>
            <w:tcW w:w="0" w:type="auto"/>
          </w:tcPr>
          <w:p w14:paraId="4F57C441" w14:textId="77777777" w:rsidR="00186886" w:rsidRDefault="00201339">
            <w:pPr>
              <w:pStyle w:val="Compact"/>
            </w:pPr>
            <w:r>
              <w:rPr>
                <w:rFonts w:hint="eastAsia"/>
              </w:rPr>
              <w:t>规格</w:t>
            </w:r>
          </w:p>
        </w:tc>
        <w:tc>
          <w:tcPr>
            <w:tcW w:w="0" w:type="auto"/>
          </w:tcPr>
          <w:p w14:paraId="7510D617" w14:textId="77777777" w:rsidR="00186886" w:rsidRDefault="00201339">
            <w:pPr>
              <w:pStyle w:val="Compact"/>
            </w:pPr>
            <w:r>
              <w:rPr>
                <w:rFonts w:hint="eastAsia"/>
              </w:rPr>
              <w:t>性能</w:t>
            </w:r>
          </w:p>
        </w:tc>
        <w:tc>
          <w:tcPr>
            <w:tcW w:w="0" w:type="auto"/>
          </w:tcPr>
          <w:p w14:paraId="21F22073" w14:textId="77777777" w:rsidR="00186886" w:rsidRDefault="00201339">
            <w:pPr>
              <w:pStyle w:val="Compact"/>
            </w:pPr>
            <w:r>
              <w:rPr>
                <w:rFonts w:hint="eastAsia"/>
              </w:rPr>
              <w:t>质量</w:t>
            </w:r>
            <w:r>
              <w:rPr>
                <w:rFonts w:hint="eastAsia"/>
              </w:rPr>
              <w:t>(kg)</w:t>
            </w:r>
          </w:p>
        </w:tc>
        <w:tc>
          <w:tcPr>
            <w:tcW w:w="0" w:type="auto"/>
          </w:tcPr>
          <w:p w14:paraId="60D3AB6D" w14:textId="77777777" w:rsidR="00186886" w:rsidRDefault="00201339">
            <w:pPr>
              <w:pStyle w:val="Compact"/>
            </w:pPr>
            <w:r>
              <w:rPr>
                <w:rFonts w:hint="eastAsia"/>
              </w:rPr>
              <w:t>功耗</w:t>
            </w:r>
            <w:r>
              <w:rPr>
                <w:rFonts w:hint="eastAsia"/>
              </w:rPr>
              <w:t>(W)</w:t>
            </w:r>
          </w:p>
        </w:tc>
      </w:tr>
      <w:tr w:rsidR="00186886" w14:paraId="4B4C61B7" w14:textId="77777777">
        <w:tc>
          <w:tcPr>
            <w:tcW w:w="0" w:type="auto"/>
          </w:tcPr>
          <w:p w14:paraId="2A9D8ACD" w14:textId="77777777" w:rsidR="00186886" w:rsidRDefault="00201339">
            <w:pPr>
              <w:pStyle w:val="Compact"/>
            </w:pPr>
            <w:r>
              <w:rPr>
                <w:rFonts w:hint="eastAsia"/>
              </w:rPr>
              <w:t>主镜</w:t>
            </w:r>
          </w:p>
        </w:tc>
        <w:tc>
          <w:tcPr>
            <w:tcW w:w="0" w:type="auto"/>
          </w:tcPr>
          <w:p w14:paraId="78E29C1B" w14:textId="77777777" w:rsidR="00186886" w:rsidRDefault="00201339">
            <w:pPr>
              <w:pStyle w:val="Compact"/>
            </w:pPr>
            <w:r>
              <w:t xml:space="preserve">250mm </w:t>
            </w:r>
            <w:r>
              <w:rPr>
                <w:rFonts w:hint="eastAsia"/>
              </w:rPr>
              <w:t>SiC</w:t>
            </w:r>
            <w:r>
              <w:rPr>
                <w:rFonts w:hint="eastAsia"/>
              </w:rPr>
              <w:t>卡塞格林</w:t>
            </w:r>
          </w:p>
        </w:tc>
        <w:tc>
          <w:tcPr>
            <w:tcW w:w="0" w:type="auto"/>
          </w:tcPr>
          <w:p w14:paraId="288BBC82" w14:textId="77777777" w:rsidR="00186886" w:rsidRDefault="00201339">
            <w:pPr>
              <w:pStyle w:val="Compact"/>
            </w:pPr>
            <w:r>
              <w:t xml:space="preserve">f/22, </w:t>
            </w:r>
            <w:r>
              <w:rPr>
                <w:rFonts w:hint="eastAsia"/>
              </w:rPr>
              <w:t>5.5m</w:t>
            </w:r>
            <w:r>
              <w:rPr>
                <w:rFonts w:hint="eastAsia"/>
              </w:rPr>
              <w:t>焦距</w:t>
            </w:r>
          </w:p>
        </w:tc>
        <w:tc>
          <w:tcPr>
            <w:tcW w:w="0" w:type="auto"/>
          </w:tcPr>
          <w:p w14:paraId="13CB9515" w14:textId="77777777" w:rsidR="00186886" w:rsidRDefault="00201339">
            <w:pPr>
              <w:pStyle w:val="Compact"/>
            </w:pPr>
            <w:r>
              <w:t>8.0</w:t>
            </w:r>
          </w:p>
        </w:tc>
        <w:tc>
          <w:tcPr>
            <w:tcW w:w="0" w:type="auto"/>
          </w:tcPr>
          <w:p w14:paraId="0422EF8B" w14:textId="77777777" w:rsidR="00186886" w:rsidRDefault="00201339">
            <w:pPr>
              <w:pStyle w:val="Compact"/>
            </w:pPr>
            <w:r>
              <w:t>0</w:t>
            </w:r>
          </w:p>
        </w:tc>
      </w:tr>
      <w:tr w:rsidR="00186886" w14:paraId="04DAC878" w14:textId="77777777">
        <w:tc>
          <w:tcPr>
            <w:tcW w:w="0" w:type="auto"/>
          </w:tcPr>
          <w:p w14:paraId="4C4D887D" w14:textId="77777777" w:rsidR="00186886" w:rsidRDefault="00201339">
            <w:pPr>
              <w:pStyle w:val="Compact"/>
            </w:pPr>
            <w:r>
              <w:rPr>
                <w:rFonts w:hint="eastAsia"/>
              </w:rPr>
              <w:t>次镜</w:t>
            </w:r>
          </w:p>
        </w:tc>
        <w:tc>
          <w:tcPr>
            <w:tcW w:w="0" w:type="auto"/>
          </w:tcPr>
          <w:p w14:paraId="557A0989" w14:textId="77777777" w:rsidR="00186886" w:rsidRDefault="00201339">
            <w:pPr>
              <w:pStyle w:val="Compact"/>
            </w:pPr>
            <w:r>
              <w:t>60mm SiC</w:t>
            </w:r>
          </w:p>
        </w:tc>
        <w:tc>
          <w:tcPr>
            <w:tcW w:w="0" w:type="auto"/>
          </w:tcPr>
          <w:p w14:paraId="45CCBCB6" w14:textId="77777777" w:rsidR="00186886" w:rsidRDefault="00201339">
            <w:pPr>
              <w:pStyle w:val="Compact"/>
            </w:pPr>
            <w:r>
              <w:rPr>
                <w:rFonts w:hint="eastAsia"/>
              </w:rPr>
              <w:t>放大倍数</w:t>
            </w:r>
            <w:r>
              <w:rPr>
                <w:rFonts w:hint="eastAsia"/>
              </w:rPr>
              <w:t>4.4x</w:t>
            </w:r>
          </w:p>
        </w:tc>
        <w:tc>
          <w:tcPr>
            <w:tcW w:w="0" w:type="auto"/>
          </w:tcPr>
          <w:p w14:paraId="5A707A31" w14:textId="77777777" w:rsidR="00186886" w:rsidRDefault="00201339">
            <w:pPr>
              <w:pStyle w:val="Compact"/>
            </w:pPr>
            <w:r>
              <w:t>0.5</w:t>
            </w:r>
          </w:p>
        </w:tc>
        <w:tc>
          <w:tcPr>
            <w:tcW w:w="0" w:type="auto"/>
          </w:tcPr>
          <w:p w14:paraId="280C8F1B" w14:textId="77777777" w:rsidR="00186886" w:rsidRDefault="00201339">
            <w:pPr>
              <w:pStyle w:val="Compact"/>
            </w:pPr>
            <w:r>
              <w:t>0</w:t>
            </w:r>
          </w:p>
        </w:tc>
      </w:tr>
      <w:tr w:rsidR="00186886" w14:paraId="71F7CEF6" w14:textId="77777777">
        <w:tc>
          <w:tcPr>
            <w:tcW w:w="0" w:type="auto"/>
          </w:tcPr>
          <w:p w14:paraId="584945E9" w14:textId="77777777" w:rsidR="00186886" w:rsidRDefault="00201339">
            <w:pPr>
              <w:pStyle w:val="Compact"/>
            </w:pPr>
            <w:r>
              <w:rPr>
                <w:rFonts w:hint="eastAsia"/>
              </w:rPr>
              <w:t>探测器阵列</w:t>
            </w:r>
          </w:p>
        </w:tc>
        <w:tc>
          <w:tcPr>
            <w:tcW w:w="0" w:type="auto"/>
          </w:tcPr>
          <w:p w14:paraId="0E0BDCD4" w14:textId="77777777" w:rsidR="00186886" w:rsidRDefault="00201339">
            <w:pPr>
              <w:pStyle w:val="Compact"/>
            </w:pPr>
            <w:r>
              <w:t>9000×6000 CMOS</w:t>
            </w:r>
          </w:p>
        </w:tc>
        <w:tc>
          <w:tcPr>
            <w:tcW w:w="0" w:type="auto"/>
          </w:tcPr>
          <w:p w14:paraId="78237B0B" w14:textId="77777777" w:rsidR="00186886" w:rsidRDefault="00201339">
            <w:pPr>
              <w:pStyle w:val="Compact"/>
            </w:pPr>
            <w:r>
              <w:rPr>
                <w:rFonts w:hint="eastAsia"/>
              </w:rPr>
              <w:t>3.45</w:t>
            </w:r>
            <w:r>
              <w:rPr>
                <w:rFonts w:hint="eastAsia"/>
              </w:rPr>
              <w:t>μ</w:t>
            </w:r>
            <w:r>
              <w:rPr>
                <w:rFonts w:hint="eastAsia"/>
              </w:rPr>
              <w:t>m</w:t>
            </w:r>
            <w:r>
              <w:rPr>
                <w:rFonts w:hint="eastAsia"/>
              </w:rPr>
              <w:t>像素</w:t>
            </w:r>
            <w:r>
              <w:rPr>
                <w:rFonts w:hint="eastAsia"/>
              </w:rPr>
              <w:t>,</w:t>
            </w:r>
            <w:r>
              <w:t xml:space="preserve"> </w:t>
            </w:r>
            <w:r>
              <w:rPr>
                <w:rFonts w:hint="eastAsia"/>
              </w:rPr>
              <w:t>80%</w:t>
            </w:r>
            <w:r>
              <w:rPr>
                <w:rFonts w:hint="eastAsia"/>
              </w:rPr>
              <w:t>量子效率</w:t>
            </w:r>
          </w:p>
        </w:tc>
        <w:tc>
          <w:tcPr>
            <w:tcW w:w="0" w:type="auto"/>
          </w:tcPr>
          <w:p w14:paraId="04344086" w14:textId="77777777" w:rsidR="00186886" w:rsidRDefault="00201339">
            <w:pPr>
              <w:pStyle w:val="Compact"/>
            </w:pPr>
            <w:r>
              <w:t>2.0</w:t>
            </w:r>
          </w:p>
        </w:tc>
        <w:tc>
          <w:tcPr>
            <w:tcW w:w="0" w:type="auto"/>
          </w:tcPr>
          <w:p w14:paraId="639BFAF7" w14:textId="77777777" w:rsidR="00186886" w:rsidRDefault="00201339">
            <w:pPr>
              <w:pStyle w:val="Compact"/>
            </w:pPr>
            <w:r>
              <w:t>25</w:t>
            </w:r>
          </w:p>
        </w:tc>
      </w:tr>
      <w:tr w:rsidR="00186886" w14:paraId="178D41E8" w14:textId="77777777">
        <w:tc>
          <w:tcPr>
            <w:tcW w:w="0" w:type="auto"/>
          </w:tcPr>
          <w:p w14:paraId="4ACBAF86" w14:textId="77777777" w:rsidR="00186886" w:rsidRDefault="00201339">
            <w:pPr>
              <w:pStyle w:val="Compact"/>
            </w:pPr>
            <w:r>
              <w:rPr>
                <w:rFonts w:hint="eastAsia"/>
              </w:rPr>
              <w:t>光学基座</w:t>
            </w:r>
          </w:p>
        </w:tc>
        <w:tc>
          <w:tcPr>
            <w:tcW w:w="0" w:type="auto"/>
          </w:tcPr>
          <w:p w14:paraId="031980C6" w14:textId="77777777" w:rsidR="00186886" w:rsidRDefault="00201339">
            <w:pPr>
              <w:pStyle w:val="Compact"/>
            </w:pPr>
            <w:r>
              <w:rPr>
                <w:rFonts w:hint="eastAsia"/>
              </w:rPr>
              <w:t>碳纤维结构</w:t>
            </w:r>
          </w:p>
        </w:tc>
        <w:tc>
          <w:tcPr>
            <w:tcW w:w="0" w:type="auto"/>
          </w:tcPr>
          <w:p w14:paraId="046DDE49" w14:textId="77777777" w:rsidR="00186886" w:rsidRDefault="00201339">
            <w:pPr>
              <w:pStyle w:val="Compact"/>
            </w:pPr>
            <w:r>
              <w:rPr>
                <w:rFonts w:hint="eastAsia"/>
              </w:rPr>
              <w:t>±</w:t>
            </w:r>
            <w:r>
              <w:rPr>
                <w:rFonts w:hint="eastAsia"/>
              </w:rPr>
              <w:t>1</w:t>
            </w:r>
            <w:r>
              <w:rPr>
                <w:rFonts w:hint="eastAsia"/>
              </w:rPr>
              <w:t>°</w:t>
            </w:r>
            <w:r>
              <w:rPr>
                <w:rFonts w:hint="eastAsia"/>
              </w:rPr>
              <w:t>C</w:t>
            </w:r>
            <w:r>
              <w:rPr>
                <w:rFonts w:hint="eastAsia"/>
              </w:rPr>
              <w:t>热稳定性</w:t>
            </w:r>
          </w:p>
        </w:tc>
        <w:tc>
          <w:tcPr>
            <w:tcW w:w="0" w:type="auto"/>
          </w:tcPr>
          <w:p w14:paraId="05F54C66" w14:textId="77777777" w:rsidR="00186886" w:rsidRDefault="00201339">
            <w:pPr>
              <w:pStyle w:val="Compact"/>
            </w:pPr>
            <w:r>
              <w:t>12.0</w:t>
            </w:r>
          </w:p>
        </w:tc>
        <w:tc>
          <w:tcPr>
            <w:tcW w:w="0" w:type="auto"/>
          </w:tcPr>
          <w:p w14:paraId="2E80A02A" w14:textId="77777777" w:rsidR="00186886" w:rsidRDefault="00201339">
            <w:pPr>
              <w:pStyle w:val="Compact"/>
            </w:pPr>
            <w:r>
              <w:t>0</w:t>
            </w:r>
          </w:p>
        </w:tc>
      </w:tr>
      <w:tr w:rsidR="00186886" w14:paraId="7D786177" w14:textId="77777777">
        <w:tc>
          <w:tcPr>
            <w:tcW w:w="0" w:type="auto"/>
          </w:tcPr>
          <w:p w14:paraId="21261B47" w14:textId="77777777" w:rsidR="00186886" w:rsidRDefault="00201339">
            <w:pPr>
              <w:pStyle w:val="Compact"/>
            </w:pPr>
            <w:r>
              <w:rPr>
                <w:rFonts w:hint="eastAsia"/>
              </w:rPr>
              <w:t>滤光轮</w:t>
            </w:r>
          </w:p>
        </w:tc>
        <w:tc>
          <w:tcPr>
            <w:tcW w:w="0" w:type="auto"/>
          </w:tcPr>
          <w:p w14:paraId="4DF13CE6" w14:textId="77777777" w:rsidR="00186886" w:rsidRDefault="00201339">
            <w:pPr>
              <w:pStyle w:val="Compact"/>
            </w:pPr>
            <w:r>
              <w:rPr>
                <w:rFonts w:hint="eastAsia"/>
              </w:rPr>
              <w:t>6</w:t>
            </w:r>
            <w:r>
              <w:rPr>
                <w:rFonts w:hint="eastAsia"/>
              </w:rPr>
              <w:t>位置机构</w:t>
            </w:r>
          </w:p>
        </w:tc>
        <w:tc>
          <w:tcPr>
            <w:tcW w:w="0" w:type="auto"/>
          </w:tcPr>
          <w:p w14:paraId="3ABA0FAF" w14:textId="77777777" w:rsidR="00186886" w:rsidRDefault="00201339">
            <w:pPr>
              <w:pStyle w:val="Compact"/>
            </w:pPr>
            <w:r>
              <w:rPr>
                <w:rFonts w:hint="eastAsia"/>
              </w:rPr>
              <w:t>全色</w:t>
            </w:r>
            <w:r>
              <w:rPr>
                <w:rFonts w:hint="eastAsia"/>
              </w:rPr>
              <w:t>+4</w:t>
            </w:r>
            <w:r>
              <w:rPr>
                <w:rFonts w:hint="eastAsia"/>
              </w:rPr>
              <w:t>个多光谱</w:t>
            </w:r>
          </w:p>
        </w:tc>
        <w:tc>
          <w:tcPr>
            <w:tcW w:w="0" w:type="auto"/>
          </w:tcPr>
          <w:p w14:paraId="0EF87508" w14:textId="77777777" w:rsidR="00186886" w:rsidRDefault="00201339">
            <w:pPr>
              <w:pStyle w:val="Compact"/>
            </w:pPr>
            <w:r>
              <w:t>1.5</w:t>
            </w:r>
          </w:p>
        </w:tc>
        <w:tc>
          <w:tcPr>
            <w:tcW w:w="0" w:type="auto"/>
          </w:tcPr>
          <w:p w14:paraId="6CAE802E" w14:textId="77777777" w:rsidR="00186886" w:rsidRDefault="00201339">
            <w:pPr>
              <w:pStyle w:val="Compact"/>
            </w:pPr>
            <w:r>
              <w:t>5</w:t>
            </w:r>
          </w:p>
        </w:tc>
      </w:tr>
      <w:tr w:rsidR="00186886" w14:paraId="55719644" w14:textId="77777777">
        <w:tc>
          <w:tcPr>
            <w:tcW w:w="0" w:type="auto"/>
          </w:tcPr>
          <w:p w14:paraId="0E3FFCB5" w14:textId="77777777" w:rsidR="00186886" w:rsidRDefault="00201339">
            <w:pPr>
              <w:pStyle w:val="Compact"/>
            </w:pPr>
            <w:r>
              <w:rPr>
                <w:rFonts w:hint="eastAsia"/>
                <w:b/>
                <w:bCs/>
              </w:rPr>
              <w:t>光学载荷总计</w:t>
            </w:r>
          </w:p>
        </w:tc>
        <w:tc>
          <w:tcPr>
            <w:tcW w:w="0" w:type="auto"/>
          </w:tcPr>
          <w:p w14:paraId="47CE6393" w14:textId="77777777" w:rsidR="00186886" w:rsidRDefault="00186886">
            <w:pPr>
              <w:pStyle w:val="Compact"/>
            </w:pPr>
          </w:p>
        </w:tc>
        <w:tc>
          <w:tcPr>
            <w:tcW w:w="0" w:type="auto"/>
          </w:tcPr>
          <w:p w14:paraId="53CEE49B" w14:textId="77777777" w:rsidR="00186886" w:rsidRDefault="00201339">
            <w:pPr>
              <w:pStyle w:val="Compact"/>
            </w:pPr>
            <w:r>
              <w:rPr>
                <w:rFonts w:hint="eastAsia"/>
                <w:b/>
                <w:bCs/>
              </w:rPr>
              <w:t>600km</w:t>
            </w:r>
            <w:r>
              <w:rPr>
                <w:rFonts w:hint="eastAsia"/>
                <w:b/>
                <w:bCs/>
              </w:rPr>
              <w:t>高度</w:t>
            </w:r>
            <w:r>
              <w:rPr>
                <w:rFonts w:hint="eastAsia"/>
                <w:b/>
                <w:bCs/>
              </w:rPr>
              <w:t>0.5m</w:t>
            </w:r>
            <w:r>
              <w:rPr>
                <w:b/>
                <w:bCs/>
              </w:rPr>
              <w:t xml:space="preserve"> GSD</w:t>
            </w:r>
          </w:p>
        </w:tc>
        <w:tc>
          <w:tcPr>
            <w:tcW w:w="0" w:type="auto"/>
          </w:tcPr>
          <w:p w14:paraId="4324DEDB" w14:textId="77777777" w:rsidR="00186886" w:rsidRDefault="00201339">
            <w:pPr>
              <w:pStyle w:val="Compact"/>
            </w:pPr>
            <w:r>
              <w:rPr>
                <w:b/>
                <w:bCs/>
              </w:rPr>
              <w:t>24.0</w:t>
            </w:r>
          </w:p>
        </w:tc>
        <w:tc>
          <w:tcPr>
            <w:tcW w:w="0" w:type="auto"/>
          </w:tcPr>
          <w:p w14:paraId="78865B83" w14:textId="77777777" w:rsidR="00186886" w:rsidRDefault="00201339">
            <w:pPr>
              <w:pStyle w:val="Compact"/>
            </w:pPr>
            <w:r>
              <w:rPr>
                <w:b/>
                <w:bCs/>
              </w:rPr>
              <w:t>30</w:t>
            </w:r>
          </w:p>
        </w:tc>
      </w:tr>
    </w:tbl>
    <w:p w14:paraId="019E9B47" w14:textId="77777777" w:rsidR="00186886" w:rsidRDefault="00201339">
      <w:pPr>
        <w:pStyle w:val="a0"/>
        <w:rPr>
          <w:lang w:eastAsia="zh-CN"/>
        </w:rPr>
      </w:pPr>
      <w:r>
        <w:rPr>
          <w:rFonts w:hint="eastAsia"/>
          <w:b/>
          <w:bCs/>
          <w:lang w:eastAsia="zh-CN"/>
        </w:rPr>
        <w:t>探测器规格</w:t>
      </w:r>
      <w:r>
        <w:rPr>
          <w:rFonts w:hint="eastAsia"/>
          <w:lang w:eastAsia="zh-CN"/>
        </w:rPr>
        <w:t>采用最先进的</w:t>
      </w:r>
      <w:r>
        <w:rPr>
          <w:rFonts w:hint="eastAsia"/>
          <w:lang w:eastAsia="zh-CN"/>
        </w:rPr>
        <w:t>CMOS</w:t>
      </w:r>
      <w:r>
        <w:rPr>
          <w:rFonts w:hint="eastAsia"/>
          <w:lang w:eastAsia="zh-CN"/>
        </w:rPr>
        <w:t>传感器技术，具有</w:t>
      </w:r>
      <w:r>
        <w:rPr>
          <w:rFonts w:hint="eastAsia"/>
          <w:lang w:eastAsia="zh-CN"/>
        </w:rPr>
        <w:t>9000</w:t>
      </w:r>
      <w:r>
        <w:rPr>
          <w:rFonts w:hint="eastAsia"/>
          <w:lang w:eastAsia="zh-CN"/>
        </w:rPr>
        <w:t>×</w:t>
      </w:r>
      <w:r>
        <w:rPr>
          <w:rFonts w:hint="eastAsia"/>
          <w:lang w:eastAsia="zh-CN"/>
        </w:rPr>
        <w:t>6000</w:t>
      </w:r>
      <w:r>
        <w:rPr>
          <w:rFonts w:hint="eastAsia"/>
          <w:lang w:eastAsia="zh-CN"/>
        </w:rPr>
        <w:t>像素阵列和</w:t>
      </w:r>
      <w:r>
        <w:rPr>
          <w:rFonts w:hint="eastAsia"/>
          <w:lang w:eastAsia="zh-CN"/>
        </w:rPr>
        <w:t>3.45</w:t>
      </w:r>
      <w:r>
        <w:rPr>
          <w:rFonts w:hint="eastAsia"/>
        </w:rPr>
        <w:t>μ</w:t>
      </w:r>
      <w:r>
        <w:rPr>
          <w:rFonts w:hint="eastAsia"/>
          <w:lang w:eastAsia="zh-CN"/>
        </w:rPr>
        <w:t>m</w:t>
      </w:r>
      <w:r>
        <w:rPr>
          <w:rFonts w:hint="eastAsia"/>
          <w:lang w:eastAsia="zh-CN"/>
        </w:rPr>
        <w:t>像素间距。传感器通过热电冷却运行至</w:t>
      </w:r>
      <w:r>
        <w:rPr>
          <w:rFonts w:hint="eastAsia"/>
          <w:lang w:eastAsia="zh-CN"/>
        </w:rPr>
        <w:t>-20</w:t>
      </w:r>
      <w:r>
        <w:rPr>
          <w:rFonts w:hint="eastAsia"/>
          <w:lang w:eastAsia="zh-CN"/>
        </w:rPr>
        <w:t>°</w:t>
      </w:r>
      <w:r>
        <w:rPr>
          <w:rFonts w:hint="eastAsia"/>
          <w:lang w:eastAsia="zh-CN"/>
        </w:rPr>
        <w:t>C</w:t>
      </w:r>
      <w:r>
        <w:rPr>
          <w:rFonts w:hint="eastAsia"/>
          <w:lang w:eastAsia="zh-CN"/>
        </w:rPr>
        <w:t>，降低暗电流噪声以实现高质量成像。满阱容量超过</w:t>
      </w:r>
      <w:r>
        <w:rPr>
          <w:rFonts w:hint="eastAsia"/>
          <w:lang w:eastAsia="zh-CN"/>
        </w:rPr>
        <w:t>50,000</w:t>
      </w:r>
      <w:r>
        <w:rPr>
          <w:rFonts w:hint="eastAsia"/>
          <w:lang w:eastAsia="zh-CN"/>
        </w:rPr>
        <w:t>电子，读出噪声低于</w:t>
      </w:r>
      <w:r>
        <w:rPr>
          <w:rFonts w:hint="eastAsia"/>
          <w:lang w:eastAsia="zh-CN"/>
        </w:rPr>
        <w:t>10</w:t>
      </w:r>
      <w:r>
        <w:rPr>
          <w:rFonts w:hint="eastAsia"/>
          <w:lang w:eastAsia="zh-CN"/>
        </w:rPr>
        <w:t>电子</w:t>
      </w:r>
      <w:r>
        <w:rPr>
          <w:rFonts w:hint="eastAsia"/>
          <w:lang w:eastAsia="zh-CN"/>
        </w:rPr>
        <w:t>RMS</w:t>
      </w:r>
      <w:r>
        <w:rPr>
          <w:rFonts w:hint="eastAsia"/>
          <w:lang w:eastAsia="zh-CN"/>
        </w:rPr>
        <w:t>，支持地球观测应用的动态范围要求。</w:t>
      </w:r>
    </w:p>
    <w:p w14:paraId="3CB7ADD6" w14:textId="77777777" w:rsidR="00186886" w:rsidRDefault="00201339">
      <w:pPr>
        <w:pStyle w:val="a0"/>
        <w:rPr>
          <w:lang w:eastAsia="zh-CN"/>
        </w:rPr>
      </w:pPr>
      <w:r>
        <w:rPr>
          <w:rFonts w:hint="eastAsia"/>
          <w:b/>
          <w:bCs/>
          <w:lang w:eastAsia="zh-CN"/>
        </w:rPr>
        <w:t>光谱能力</w:t>
      </w:r>
      <w:r>
        <w:rPr>
          <w:rFonts w:hint="eastAsia"/>
          <w:lang w:eastAsia="zh-CN"/>
        </w:rPr>
        <w:t>包括</w:t>
      </w:r>
      <w:r>
        <w:rPr>
          <w:rFonts w:hint="eastAsia"/>
          <w:lang w:eastAsia="zh-CN"/>
        </w:rPr>
        <w:t>450-850nm</w:t>
      </w:r>
      <w:r>
        <w:rPr>
          <w:rFonts w:hint="eastAsia"/>
          <w:lang w:eastAsia="zh-CN"/>
        </w:rPr>
        <w:t>波长范围的全色成像，以及为植被分析和土地分类优化的四个多光谱波段。滤光轮机构提供快速波段切换，定位精度优于</w:t>
      </w:r>
      <w:r>
        <w:rPr>
          <w:rFonts w:hint="eastAsia"/>
          <w:lang w:eastAsia="zh-CN"/>
        </w:rPr>
        <w:t>10</w:t>
      </w:r>
      <w:r>
        <w:rPr>
          <w:rFonts w:hint="eastAsia"/>
          <w:lang w:eastAsia="zh-CN"/>
        </w:rPr>
        <w:t>角秒。</w:t>
      </w:r>
    </w:p>
    <w:p w14:paraId="43AC0396" w14:textId="77777777" w:rsidR="006272A8" w:rsidRDefault="006272A8" w:rsidP="006272A8">
      <w:pPr>
        <w:pStyle w:val="2"/>
        <w:rPr>
          <w:lang w:eastAsia="zh-CN"/>
        </w:rPr>
      </w:pPr>
      <w:bookmarkStart w:id="3" w:name="姿态确定与控制系统"/>
      <w:bookmarkEnd w:id="2"/>
      <w:r>
        <w:rPr>
          <w:lang w:eastAsia="zh-CN"/>
        </w:rPr>
        <w:t>姿态确定与控制子系统（</w:t>
      </w:r>
      <w:r>
        <w:rPr>
          <w:lang w:eastAsia="zh-CN"/>
        </w:rPr>
        <w:t>ADCS</w:t>
      </w:r>
      <w:r>
        <w:rPr>
          <w:lang w:eastAsia="zh-CN"/>
        </w:rPr>
        <w:t>）</w:t>
      </w:r>
    </w:p>
    <w:p w14:paraId="39125CDF" w14:textId="77777777" w:rsidR="006272A8" w:rsidRDefault="006272A8" w:rsidP="0006219F">
      <w:pPr>
        <w:pStyle w:val="AI"/>
        <w:rPr>
          <w:rFonts w:hint="eastAsia"/>
          <w:lang w:eastAsia="zh-CN"/>
        </w:rPr>
      </w:pPr>
      <w:r>
        <w:rPr>
          <w:lang w:eastAsia="zh-CN"/>
        </w:rPr>
        <w:t>本任务的ADCS以“高分辨率成像—稳定度优先”为设计主线，围绕0.5 m GSD在约600 km轨道高度的成像约束展开指标分解与实现路径。按几何关系，0.5 m在600 km对应的像元角度约为0.833 µrad（≈0.172″/像元）。为使线积分内的像移不超过0.3像元，低频稳定度与高频微振动在有效积分频带内的合成抖动需优于约0.25 µrad RMS（≈0.052″）。另一方面，绝对指向与地理定位误差可通</w:t>
      </w:r>
      <w:r>
        <w:rPr>
          <w:lang w:eastAsia="zh-CN"/>
        </w:rPr>
        <w:lastRenderedPageBreak/>
        <w:t>过星上与地面的联合标定矫正，允许较宽松的绝对指向精度（例如≤0.005°，约87 µrad），但要求指向“知识精度”（由传感器融合得到的姿态解算）优于10–20 µrad，以便在处理链中精确重构视线历史并进行几何纠偏。沿迹方向的成像拖影受地表投影速度与线积分时间共同约束。在600 km太阳同步轨道，卫星在地面的投影速度约为6.9 km/s，因此若不采用TDI与前视运动补偿（FMC），将拖影限制在0.15 m（0.3像元）以内意味着单线积分时间需小于约22 µs。实际设计以TDI-CCD配合FMC的“速率匹配”策略为主：星上导航环在成像窗口内实时生成机体偏置角速度指令，使焦平面电荷转移速率与地面像移严格同步；残余速差由TDI级数裕度与后处理稳像算法吸收。</w:t>
      </w:r>
    </w:p>
    <w:p w14:paraId="1081A684" w14:textId="77777777" w:rsidR="006272A8" w:rsidRDefault="006272A8" w:rsidP="0006219F">
      <w:pPr>
        <w:pStyle w:val="AI"/>
        <w:rPr>
          <w:rFonts w:hint="eastAsia"/>
          <w:lang w:eastAsia="zh-CN"/>
        </w:rPr>
      </w:pPr>
      <w:r>
        <w:rPr>
          <w:lang w:eastAsia="zh-CN"/>
        </w:rPr>
        <w:t>传感器配置采用“星敏感器+高稳定捷联陀螺”为核心，辅以磁力计、太阳敏感器与双频GNSS，以覆盖不同模式下的可观测性。两台或三台星敏感器在结构上与光学载荷同置于刚性光学基座上，通过光学—惯性一体化基准设计减少热致与力致相对偏转；每台星敏感器星表跟踪频率典型为5–15 Hz，单机视轴测量噪声约1–2″，通过双机互校与几何外参约束可将姿态“瞬时知识”压至≈0.7–1.4″的量级（3.4–6.8 µrad），再与千赫兹级读数的光纤陀螺（FOG）或石英谐振陀螺（HRG）在扩展卡尔曼滤波（EKF/UKF）中融合，实现高速、低噪的姿态率估计。为保证全天可用，星敏感器视场需具备严格的眩光隔离与避日避月策略，典型太阳俯仰禁入角≥30°、地缘弓形眩光边界≥20°；在高纬、高反照等复杂光照条件下，滤波器将自适应降低星敏感器权重，短时转入“陀螺主导”的推断状态，并通过地磁矢量/GNSS速度矢量提供可观测约束以抑制陀螺零偏漂移。</w:t>
      </w:r>
    </w:p>
    <w:p w14:paraId="58DDBEB7" w14:textId="77777777" w:rsidR="006272A8" w:rsidRDefault="006272A8" w:rsidP="0006219F">
      <w:pPr>
        <w:pStyle w:val="AI"/>
        <w:rPr>
          <w:rFonts w:hint="eastAsia"/>
          <w:lang w:eastAsia="zh-CN"/>
        </w:rPr>
      </w:pPr>
      <w:r>
        <w:rPr>
          <w:lang w:eastAsia="zh-CN"/>
        </w:rPr>
        <w:t>执行机构采用四轮冗余反作用轮框架（三正交一热备）承担绝大多数姿态机动与稳像任务，磁力矩器负责动量卸载与安全模式控制。反作用轮的连续力矩与动量存储分别按“机动—稳像—环境外扰”三重工况联合定值：成像窗口外需支持10–20°级的快速指向与目标切换，稳像期间要求以&lt;0.5 mN·m·√Hz 的力矩纹波抑制轮引入的微振动；动量存储须覆盖太阳压、重力梯度与不平衡气动外扰的轨道周期累积，并留有充足裕度以容纳长时间偏置跟踪与多次大幅机动，工程上常选单轮10–20 N·m·s、0.1–0.2 N·m等级产品并配柔性隔振座。动量卸载采用“机会性+计划性”混合策略：在非成像轨道弧段通过磁力矩器对地磁场施力矩，控制轮速回落至工作中域；当地磁几何不利时，提前在任务计划中预留短窗进行分步卸载，避免在关键成像区间触发轮饱和。若出现单轮退化，控制律切换至三轮解耦或“两轮+磁力矩器”的降级模式维持任务基本能力。</w:t>
      </w:r>
    </w:p>
    <w:p w14:paraId="4DEA4520" w14:textId="77777777" w:rsidR="006272A8" w:rsidRDefault="006272A8" w:rsidP="0006219F">
      <w:pPr>
        <w:pStyle w:val="AI"/>
        <w:rPr>
          <w:rFonts w:hint="eastAsia"/>
          <w:lang w:eastAsia="zh-CN"/>
        </w:rPr>
      </w:pPr>
      <w:r>
        <w:rPr>
          <w:lang w:eastAsia="zh-CN"/>
        </w:rPr>
        <w:lastRenderedPageBreak/>
        <w:t>控制与导航算法采用速率—姿态双环结构。内环以陀螺为主反馈，带宽通常设置在20–40 Hz，以高带宽压制结构—执行链上的低频扰动；外环以星敏感器为主反馈，带宽在0.5–2 Hz范围内，负责漂移校正与慢变指向锁定。在成像模式，外环叠加“体轴偏置率”前馈以实现FMC与“偏航转向”（yaw steering），补偿地球自转与投影几何带来的像移非对称；沿迹速率与TDI行频以GNSS秒脉冲（PPS）为统一时间基准进行相位同步，星上时统通过温补晶振+PPS守时，确保相位误差进入闭环可控域。在特殊情况下（大幅越窗扫描、非常规斜视、恒星标定），控制器切入不同的最优跟踪轨迹解算器（在线最小二乘或模型预测控制），以兼顾轨迹可行性与微振动约束。</w:t>
      </w:r>
    </w:p>
    <w:p w14:paraId="2F6AC3E1" w14:textId="77777777" w:rsidR="006272A8" w:rsidRDefault="006272A8" w:rsidP="0006219F">
      <w:pPr>
        <w:pStyle w:val="AI"/>
        <w:rPr>
          <w:rFonts w:hint="eastAsia"/>
          <w:lang w:eastAsia="zh-CN"/>
        </w:rPr>
      </w:pPr>
      <w:r>
        <w:rPr>
          <w:lang w:eastAsia="zh-CN"/>
        </w:rPr>
        <w:t>微振动控制是高分辨率成像的“隐形主线”。主要激励来自反作用轮的不平衡、齿槽转矩与电磁力脉动，次要激励包括致冷机（若配置SWIR）、阀件动作与结构自振。设计通过“源头抑制—路径隔离—视线滤除”三层手段协同达成：在源头选用转子动平衡优于G2.5级的轮机并采用无齿槽驱动与电流前馈，降低本征力矩纹波；在路径上通过弹性隔振座与调谐质量阻尼器（TMD）对轮—基座耦合进行整定，使轮基频与整星模态错开，并在光学基座上设置频带阻尼层抑制10–300 Hz的传递；在视线侧通过控制律成形与观测器抑制典型轮速及其谐波，必要时对某些“不可避免”的谐波设置任务禁转速区。抖动预算以PSD形式管理，规定10–300 Hz频带内的视线抖动积分不超过0.25 µrad RMS，预算项包含轮纹波、结构传递、星敏感器测量白噪声折算、控制量化与时延等，采用RSS合成并在环境与工艺不确定度上预留≥30%裕度。</w:t>
      </w:r>
    </w:p>
    <w:p w14:paraId="2DE94DC1" w14:textId="77777777" w:rsidR="006272A8" w:rsidRDefault="006272A8" w:rsidP="0006219F">
      <w:pPr>
        <w:pStyle w:val="AI"/>
        <w:rPr>
          <w:rFonts w:hint="eastAsia"/>
          <w:lang w:eastAsia="zh-CN"/>
        </w:rPr>
      </w:pPr>
      <w:r>
        <w:rPr>
          <w:lang w:eastAsia="zh-CN"/>
        </w:rPr>
        <w:t>模式管理覆盖发射入轨去动量（B-dot去旋）、太阳捕获、安全待机、粗指向、精指向/成像、快速机动与星标定等。入轨后首先以磁力计与磁力矩器闭环实现B-dot去旋，目标在一轨内将体角速度由数度每秒衰减至0.1°/s量级；随后进入太阳捕获模式保障电源正收支，再切换到粗指向模式完成星敏感器冷启动与星表匹配，建立高精度姿态解算后转入精指向。成像窗口前，任务序列触发惯导热机、轮速预置、热控微加热稳定星敏感器与光机基座温漂，并进行一次快拍星场以刷新光学—机体外参。若姿态丢锁或关键测量退化，系统立即切回安全模式，以太阳敏感器+磁力计维持粗稳定，并在地面授权或自主判据恢复后重入精指向。</w:t>
      </w:r>
    </w:p>
    <w:p w14:paraId="6A58B5BC" w14:textId="77777777" w:rsidR="006272A8" w:rsidRDefault="006272A8" w:rsidP="0006219F">
      <w:pPr>
        <w:pStyle w:val="AI"/>
        <w:rPr>
          <w:rFonts w:hint="eastAsia"/>
          <w:lang w:eastAsia="zh-CN"/>
        </w:rPr>
      </w:pPr>
      <w:r>
        <w:rPr>
          <w:lang w:eastAsia="zh-CN"/>
        </w:rPr>
        <w:t>抗辐射与容错策略遵循“传感—执行—计算链路分层冗余”的原则。星敏感器、FOG/HRG与反作用轮的关键电子均采用抗单粒子闩锁设计并配置上电自检与看门狗复位；姿态计算机（AOCS OBC）在关键任务线程上使用时间冗余与TMR/EDAC并行校验，姿态估计算法具备异常观测剔除与量测权重自适应能力，确保强宇宙线事件</w:t>
      </w:r>
      <w:r>
        <w:rPr>
          <w:lang w:eastAsia="zh-CN"/>
        </w:rPr>
        <w:lastRenderedPageBreak/>
        <w:t>或南大西洋异常区穿越时仍能维持闭环稳定。星上软件提供故障检测、隔离与恢复（FDIR）树，包含星敏感器致盲、陀螺饱和、轮机过速/过温、磁力矩器开路等典型分支，并对“不可逆”事件（如传感器永久失效）给出降级工作流程与任务再规划接口。</w:t>
      </w:r>
    </w:p>
    <w:p w14:paraId="6840D838" w14:textId="77777777" w:rsidR="006272A8" w:rsidRDefault="006272A8" w:rsidP="0006219F">
      <w:pPr>
        <w:pStyle w:val="AI"/>
        <w:rPr>
          <w:rFonts w:hint="eastAsia"/>
          <w:lang w:eastAsia="zh-CN"/>
        </w:rPr>
      </w:pPr>
      <w:r>
        <w:rPr>
          <w:lang w:eastAsia="zh-CN"/>
        </w:rPr>
        <w:t>标定与时间同步是把“控制做到位、质量做出来”的最后两块拼图。几何外参在热真空与力学试验后进行一次性地面标定，入轨后通过恒星标定与地面几何控制点联合优化在线更新；星载绝对时间由GNSS授时驱动，PPS分发至星敏感器、焦平面电子学和AOCS OBC，保证星敏感器曝光时标、轮速记录与成像行频处于同一时间基准，为地面几何校正与稳像反卷积保留充足的信息完整性。热控层面，星敏感器与惯导组件被维持在20±5 ℃并控制热梯度，光学基座与星敏感器支座匹配CTE的材料选型与等温化设计用来抑制热致相对漂移，残余的微小外参漂移通过在轨趋势分析与定期标定闭环消除。</w:t>
      </w:r>
    </w:p>
    <w:p w14:paraId="1AB3BDE7" w14:textId="77777777" w:rsidR="006272A8" w:rsidRDefault="006272A8" w:rsidP="0006219F">
      <w:pPr>
        <w:pStyle w:val="AI"/>
        <w:rPr>
          <w:rFonts w:hint="eastAsia"/>
          <w:lang w:eastAsia="zh-CN"/>
        </w:rPr>
      </w:pPr>
      <w:r>
        <w:rPr>
          <w:lang w:eastAsia="zh-CN"/>
        </w:rPr>
        <w:t>通过上述架构，系统在“姿态知识—控制精度—微振动抑制—时间同步—标定可追溯性”五个维度形成闭环，满足在0.5 m GSD条件下将有效积分内视线抖动控制在≈0.25 µrad RMS的核心目标，同时保持绝对指向与姿态知识的充足裕度，为TDI+FMC同步成像和地面高精度几何校正提供坚实基础。下一章节我将以同等深度展开“指令与数据处理子系统（C&amp;DH）”，把高速数据链与容错机制与ADCS时统/控制接口衔接起来。</w:t>
      </w:r>
    </w:p>
    <w:p w14:paraId="0009DC7A" w14:textId="77777777" w:rsidR="00186886" w:rsidRDefault="00201339" w:rsidP="0006219F">
      <w:pPr>
        <w:pStyle w:val="AI"/>
        <w:rPr>
          <w:rFonts w:hint="eastAsia"/>
        </w:rPr>
      </w:pPr>
      <w:r>
        <w:rPr>
          <w:rFonts w:hint="eastAsia"/>
        </w:rPr>
        <w:t>ADCS采用</w:t>
      </w:r>
      <w:r>
        <w:rPr>
          <w:b/>
          <w:bCs/>
        </w:rPr>
        <w:t>Blue Canyon Technologies XACT-50</w:t>
      </w:r>
      <w:r>
        <w:rPr>
          <w:rFonts w:hint="eastAsia"/>
        </w:rPr>
        <w:t>集成解决方案，在所有三轴提供±0.002°RMS指向精度。该系统集成星敏感器、反作用轮、磁力矩器、IMU和磁强计，形成紧凑的飞行验证包装，具有包括火星任务在内的广泛传承。</w:t>
      </w:r>
    </w:p>
    <w:tbl>
      <w:tblPr>
        <w:tblStyle w:val="Table"/>
        <w:tblW w:w="0" w:type="auto"/>
        <w:tblLook w:val="0020" w:firstRow="1" w:lastRow="0" w:firstColumn="0" w:lastColumn="0" w:noHBand="0" w:noVBand="0"/>
      </w:tblPr>
      <w:tblGrid>
        <w:gridCol w:w="1656"/>
        <w:gridCol w:w="2086"/>
        <w:gridCol w:w="1070"/>
        <w:gridCol w:w="1051"/>
        <w:gridCol w:w="2154"/>
      </w:tblGrid>
      <w:tr w:rsidR="00186886" w14:paraId="6957841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BD3B8" w14:textId="77777777" w:rsidR="00186886" w:rsidRDefault="00201339">
            <w:pPr>
              <w:pStyle w:val="Compact"/>
            </w:pPr>
            <w:r>
              <w:rPr>
                <w:rFonts w:hint="eastAsia"/>
              </w:rPr>
              <w:t>组件</w:t>
            </w:r>
          </w:p>
        </w:tc>
        <w:tc>
          <w:tcPr>
            <w:tcW w:w="0" w:type="auto"/>
          </w:tcPr>
          <w:p w14:paraId="7ED5F170" w14:textId="77777777" w:rsidR="00186886" w:rsidRDefault="00201339">
            <w:pPr>
              <w:pStyle w:val="Compact"/>
            </w:pPr>
            <w:r>
              <w:rPr>
                <w:rFonts w:hint="eastAsia"/>
              </w:rPr>
              <w:t>型号</w:t>
            </w:r>
          </w:p>
        </w:tc>
        <w:tc>
          <w:tcPr>
            <w:tcW w:w="0" w:type="auto"/>
          </w:tcPr>
          <w:p w14:paraId="709C5B00" w14:textId="77777777" w:rsidR="00186886" w:rsidRDefault="00201339">
            <w:pPr>
              <w:pStyle w:val="Compact"/>
            </w:pPr>
            <w:r>
              <w:rPr>
                <w:rFonts w:hint="eastAsia"/>
              </w:rPr>
              <w:t>质量</w:t>
            </w:r>
            <w:r>
              <w:rPr>
                <w:rFonts w:hint="eastAsia"/>
              </w:rPr>
              <w:t>(kg)</w:t>
            </w:r>
          </w:p>
        </w:tc>
        <w:tc>
          <w:tcPr>
            <w:tcW w:w="0" w:type="auto"/>
          </w:tcPr>
          <w:p w14:paraId="395C0CCE" w14:textId="77777777" w:rsidR="00186886" w:rsidRDefault="00201339">
            <w:pPr>
              <w:pStyle w:val="Compact"/>
            </w:pPr>
            <w:r>
              <w:rPr>
                <w:rFonts w:hint="eastAsia"/>
              </w:rPr>
              <w:t>功耗</w:t>
            </w:r>
            <w:r>
              <w:rPr>
                <w:rFonts w:hint="eastAsia"/>
              </w:rPr>
              <w:t>(W)</w:t>
            </w:r>
          </w:p>
        </w:tc>
        <w:tc>
          <w:tcPr>
            <w:tcW w:w="0" w:type="auto"/>
          </w:tcPr>
          <w:p w14:paraId="1B6413C7" w14:textId="77777777" w:rsidR="00186886" w:rsidRDefault="00201339">
            <w:pPr>
              <w:pStyle w:val="Compact"/>
            </w:pPr>
            <w:r>
              <w:rPr>
                <w:rFonts w:hint="eastAsia"/>
              </w:rPr>
              <w:t>性能</w:t>
            </w:r>
          </w:p>
        </w:tc>
      </w:tr>
      <w:tr w:rsidR="00186886" w14:paraId="024B2786" w14:textId="77777777">
        <w:tc>
          <w:tcPr>
            <w:tcW w:w="0" w:type="auto"/>
          </w:tcPr>
          <w:p w14:paraId="5D728B04" w14:textId="77777777" w:rsidR="00186886" w:rsidRDefault="00201339">
            <w:pPr>
              <w:pStyle w:val="Compact"/>
            </w:pPr>
            <w:r>
              <w:rPr>
                <w:rFonts w:hint="eastAsia"/>
              </w:rPr>
              <w:t>集成</w:t>
            </w:r>
            <w:r>
              <w:rPr>
                <w:rFonts w:hint="eastAsia"/>
              </w:rPr>
              <w:t>ADCS</w:t>
            </w:r>
          </w:p>
        </w:tc>
        <w:tc>
          <w:tcPr>
            <w:tcW w:w="0" w:type="auto"/>
          </w:tcPr>
          <w:p w14:paraId="0E4C088D" w14:textId="77777777" w:rsidR="00186886" w:rsidRDefault="00201339">
            <w:pPr>
              <w:pStyle w:val="Compact"/>
            </w:pPr>
            <w:r>
              <w:t>BCT XACT-50</w:t>
            </w:r>
          </w:p>
        </w:tc>
        <w:tc>
          <w:tcPr>
            <w:tcW w:w="0" w:type="auto"/>
          </w:tcPr>
          <w:p w14:paraId="15F0B283" w14:textId="77777777" w:rsidR="00186886" w:rsidRDefault="00201339">
            <w:pPr>
              <w:pStyle w:val="Compact"/>
            </w:pPr>
            <w:r>
              <w:t>3.2</w:t>
            </w:r>
          </w:p>
        </w:tc>
        <w:tc>
          <w:tcPr>
            <w:tcW w:w="0" w:type="auto"/>
          </w:tcPr>
          <w:p w14:paraId="4DFD0249" w14:textId="77777777" w:rsidR="00186886" w:rsidRDefault="00201339">
            <w:pPr>
              <w:pStyle w:val="Compact"/>
            </w:pPr>
            <w:r>
              <w:t>10.0</w:t>
            </w:r>
          </w:p>
        </w:tc>
        <w:tc>
          <w:tcPr>
            <w:tcW w:w="0" w:type="auto"/>
          </w:tcPr>
          <w:p w14:paraId="7E4D9B48" w14:textId="77777777" w:rsidR="00186886" w:rsidRDefault="00201339">
            <w:pPr>
              <w:pStyle w:val="Compact"/>
            </w:pPr>
            <w:r>
              <w:t xml:space="preserve">±0.002°RMS </w:t>
            </w:r>
            <w:r>
              <w:rPr>
                <w:rFonts w:hint="eastAsia"/>
              </w:rPr>
              <w:t>(</w:t>
            </w:r>
            <w:r>
              <w:rPr>
                <w:rFonts w:hint="eastAsia"/>
              </w:rPr>
              <w:t>三轴</w:t>
            </w:r>
            <w:r>
              <w:rPr>
                <w:rFonts w:hint="eastAsia"/>
              </w:rPr>
              <w:t>)</w:t>
            </w:r>
          </w:p>
        </w:tc>
      </w:tr>
      <w:tr w:rsidR="00186886" w14:paraId="39654DAC" w14:textId="77777777">
        <w:tc>
          <w:tcPr>
            <w:tcW w:w="0" w:type="auto"/>
          </w:tcPr>
          <w:p w14:paraId="1837F7A7" w14:textId="77777777" w:rsidR="00186886" w:rsidRDefault="00201339">
            <w:pPr>
              <w:pStyle w:val="Compact"/>
            </w:pPr>
            <w:r>
              <w:rPr>
                <w:rFonts w:hint="eastAsia"/>
              </w:rPr>
              <w:t>星敏感器</w:t>
            </w:r>
          </w:p>
        </w:tc>
        <w:tc>
          <w:tcPr>
            <w:tcW w:w="0" w:type="auto"/>
          </w:tcPr>
          <w:p w14:paraId="36248F72" w14:textId="77777777" w:rsidR="00186886" w:rsidRDefault="00201339">
            <w:pPr>
              <w:pStyle w:val="Compact"/>
            </w:pPr>
            <w:r>
              <w:rPr>
                <w:rFonts w:hint="eastAsia"/>
              </w:rPr>
              <w:t>双</w:t>
            </w:r>
            <w:r>
              <w:rPr>
                <w:rFonts w:hint="eastAsia"/>
              </w:rPr>
              <w:t>NST</w:t>
            </w:r>
            <w:r>
              <w:t xml:space="preserve"> </w:t>
            </w:r>
            <w:r>
              <w:rPr>
                <w:rFonts w:hint="eastAsia"/>
              </w:rPr>
              <w:t>(</w:t>
            </w:r>
            <w:r>
              <w:rPr>
                <w:rFonts w:hint="eastAsia"/>
              </w:rPr>
              <w:t>包含</w:t>
            </w:r>
            <w:r>
              <w:rPr>
                <w:rFonts w:hint="eastAsia"/>
              </w:rPr>
              <w:t>)</w:t>
            </w:r>
          </w:p>
        </w:tc>
        <w:tc>
          <w:tcPr>
            <w:tcW w:w="0" w:type="auto"/>
          </w:tcPr>
          <w:p w14:paraId="339FE7B9" w14:textId="77777777" w:rsidR="00186886" w:rsidRDefault="00201339">
            <w:pPr>
              <w:pStyle w:val="Compact"/>
            </w:pPr>
            <w:r>
              <w:t>-</w:t>
            </w:r>
          </w:p>
        </w:tc>
        <w:tc>
          <w:tcPr>
            <w:tcW w:w="0" w:type="auto"/>
          </w:tcPr>
          <w:p w14:paraId="18897FD9" w14:textId="77777777" w:rsidR="00186886" w:rsidRDefault="00201339">
            <w:pPr>
              <w:pStyle w:val="Compact"/>
            </w:pPr>
            <w:r>
              <w:t>-</w:t>
            </w:r>
          </w:p>
        </w:tc>
        <w:tc>
          <w:tcPr>
            <w:tcW w:w="0" w:type="auto"/>
          </w:tcPr>
          <w:p w14:paraId="6DFA60ED" w14:textId="77777777" w:rsidR="00186886" w:rsidRDefault="00201339">
            <w:pPr>
              <w:pStyle w:val="Compact"/>
            </w:pPr>
            <w:r>
              <w:rPr>
                <w:rFonts w:hint="eastAsia"/>
              </w:rPr>
              <w:t>4</w:t>
            </w:r>
            <w:r>
              <w:rPr>
                <w:rFonts w:hint="eastAsia"/>
              </w:rPr>
              <w:t>角秒瞄准线精度</w:t>
            </w:r>
          </w:p>
        </w:tc>
      </w:tr>
      <w:tr w:rsidR="00186886" w14:paraId="37DFA41C" w14:textId="77777777">
        <w:tc>
          <w:tcPr>
            <w:tcW w:w="0" w:type="auto"/>
          </w:tcPr>
          <w:p w14:paraId="7E6196C6" w14:textId="77777777" w:rsidR="00186886" w:rsidRDefault="00201339">
            <w:pPr>
              <w:pStyle w:val="Compact"/>
            </w:pPr>
            <w:r>
              <w:rPr>
                <w:rFonts w:hint="eastAsia"/>
              </w:rPr>
              <w:t>反作用轮</w:t>
            </w:r>
          </w:p>
        </w:tc>
        <w:tc>
          <w:tcPr>
            <w:tcW w:w="0" w:type="auto"/>
          </w:tcPr>
          <w:p w14:paraId="00E21B3A" w14:textId="77777777" w:rsidR="00186886" w:rsidRDefault="00201339">
            <w:pPr>
              <w:pStyle w:val="Compact"/>
            </w:pPr>
            <w:r>
              <w:t xml:space="preserve">50 mNms </w:t>
            </w:r>
            <w:r>
              <w:rPr>
                <w:rFonts w:hint="eastAsia"/>
              </w:rPr>
              <w:t>(</w:t>
            </w:r>
            <w:r>
              <w:rPr>
                <w:rFonts w:hint="eastAsia"/>
              </w:rPr>
              <w:t>包含</w:t>
            </w:r>
            <w:r>
              <w:rPr>
                <w:rFonts w:hint="eastAsia"/>
              </w:rPr>
              <w:t>)</w:t>
            </w:r>
          </w:p>
        </w:tc>
        <w:tc>
          <w:tcPr>
            <w:tcW w:w="0" w:type="auto"/>
          </w:tcPr>
          <w:p w14:paraId="7D3B25C1" w14:textId="77777777" w:rsidR="00186886" w:rsidRDefault="00201339">
            <w:pPr>
              <w:pStyle w:val="Compact"/>
            </w:pPr>
            <w:r>
              <w:t>-</w:t>
            </w:r>
          </w:p>
        </w:tc>
        <w:tc>
          <w:tcPr>
            <w:tcW w:w="0" w:type="auto"/>
          </w:tcPr>
          <w:p w14:paraId="61246B54" w14:textId="77777777" w:rsidR="00186886" w:rsidRDefault="00201339">
            <w:pPr>
              <w:pStyle w:val="Compact"/>
            </w:pPr>
            <w:r>
              <w:t>-</w:t>
            </w:r>
          </w:p>
        </w:tc>
        <w:tc>
          <w:tcPr>
            <w:tcW w:w="0" w:type="auto"/>
          </w:tcPr>
          <w:p w14:paraId="4D365174" w14:textId="77777777" w:rsidR="00186886" w:rsidRDefault="00201339">
            <w:pPr>
              <w:pStyle w:val="Compact"/>
            </w:pPr>
            <w:r>
              <w:rPr>
                <w:rFonts w:hint="eastAsia"/>
              </w:rPr>
              <w:t>超低抖动设计</w:t>
            </w:r>
          </w:p>
        </w:tc>
      </w:tr>
      <w:tr w:rsidR="00186886" w14:paraId="6818AEB7" w14:textId="77777777">
        <w:tc>
          <w:tcPr>
            <w:tcW w:w="0" w:type="auto"/>
          </w:tcPr>
          <w:p w14:paraId="19A79F44" w14:textId="77777777" w:rsidR="00186886" w:rsidRDefault="00201339">
            <w:pPr>
              <w:pStyle w:val="Compact"/>
            </w:pPr>
            <w:r>
              <w:rPr>
                <w:rFonts w:hint="eastAsia"/>
              </w:rPr>
              <w:t>磁力矩器</w:t>
            </w:r>
          </w:p>
        </w:tc>
        <w:tc>
          <w:tcPr>
            <w:tcW w:w="0" w:type="auto"/>
          </w:tcPr>
          <w:p w14:paraId="4E95A60E" w14:textId="77777777" w:rsidR="00186886" w:rsidRDefault="00201339">
            <w:pPr>
              <w:pStyle w:val="Compact"/>
            </w:pPr>
            <w:r>
              <w:rPr>
                <w:rFonts w:hint="eastAsia"/>
              </w:rPr>
              <w:t>三轴杆</w:t>
            </w:r>
            <w:r>
              <w:t xml:space="preserve"> </w:t>
            </w:r>
            <w:r>
              <w:rPr>
                <w:rFonts w:hint="eastAsia"/>
              </w:rPr>
              <w:t>(</w:t>
            </w:r>
            <w:r>
              <w:rPr>
                <w:rFonts w:hint="eastAsia"/>
              </w:rPr>
              <w:t>包含</w:t>
            </w:r>
            <w:r>
              <w:rPr>
                <w:rFonts w:hint="eastAsia"/>
              </w:rPr>
              <w:t>)</w:t>
            </w:r>
          </w:p>
        </w:tc>
        <w:tc>
          <w:tcPr>
            <w:tcW w:w="0" w:type="auto"/>
          </w:tcPr>
          <w:p w14:paraId="5E104352" w14:textId="77777777" w:rsidR="00186886" w:rsidRDefault="00201339">
            <w:pPr>
              <w:pStyle w:val="Compact"/>
            </w:pPr>
            <w:r>
              <w:t>-</w:t>
            </w:r>
          </w:p>
        </w:tc>
        <w:tc>
          <w:tcPr>
            <w:tcW w:w="0" w:type="auto"/>
          </w:tcPr>
          <w:p w14:paraId="30F391A2" w14:textId="77777777" w:rsidR="00186886" w:rsidRDefault="00201339">
            <w:pPr>
              <w:pStyle w:val="Compact"/>
            </w:pPr>
            <w:r>
              <w:t>-</w:t>
            </w:r>
          </w:p>
        </w:tc>
        <w:tc>
          <w:tcPr>
            <w:tcW w:w="0" w:type="auto"/>
          </w:tcPr>
          <w:p w14:paraId="0B26BC76" w14:textId="77777777" w:rsidR="00186886" w:rsidRDefault="00201339">
            <w:pPr>
              <w:pStyle w:val="Compact"/>
            </w:pPr>
            <w:r>
              <w:t xml:space="preserve">0.5 </w:t>
            </w:r>
            <w:r>
              <w:rPr>
                <w:rFonts w:hint="eastAsia"/>
              </w:rPr>
              <w:t>Am</w:t>
            </w:r>
            <w:r>
              <w:rPr>
                <w:rFonts w:hint="eastAsia"/>
              </w:rPr>
              <w:t>²偶极矩</w:t>
            </w:r>
          </w:p>
        </w:tc>
      </w:tr>
      <w:tr w:rsidR="00186886" w14:paraId="7F034F9C" w14:textId="77777777">
        <w:tc>
          <w:tcPr>
            <w:tcW w:w="0" w:type="auto"/>
          </w:tcPr>
          <w:p w14:paraId="15F396FF" w14:textId="77777777" w:rsidR="00186886" w:rsidRDefault="00201339">
            <w:pPr>
              <w:pStyle w:val="Compact"/>
            </w:pPr>
            <w:r>
              <w:rPr>
                <w:rFonts w:hint="eastAsia"/>
              </w:rPr>
              <w:t>控制电子器件</w:t>
            </w:r>
          </w:p>
        </w:tc>
        <w:tc>
          <w:tcPr>
            <w:tcW w:w="0" w:type="auto"/>
          </w:tcPr>
          <w:p w14:paraId="3CF4796C" w14:textId="77777777" w:rsidR="00186886" w:rsidRDefault="00201339">
            <w:pPr>
              <w:pStyle w:val="Compact"/>
            </w:pPr>
            <w:r>
              <w:rPr>
                <w:rFonts w:hint="eastAsia"/>
              </w:rPr>
              <w:t>飞行计算机</w:t>
            </w:r>
            <w:r>
              <w:t xml:space="preserve"> </w:t>
            </w:r>
            <w:r>
              <w:rPr>
                <w:rFonts w:hint="eastAsia"/>
              </w:rPr>
              <w:t>(</w:t>
            </w:r>
            <w:r>
              <w:rPr>
                <w:rFonts w:hint="eastAsia"/>
              </w:rPr>
              <w:t>包含</w:t>
            </w:r>
            <w:r>
              <w:rPr>
                <w:rFonts w:hint="eastAsia"/>
              </w:rPr>
              <w:t>)</w:t>
            </w:r>
          </w:p>
        </w:tc>
        <w:tc>
          <w:tcPr>
            <w:tcW w:w="0" w:type="auto"/>
          </w:tcPr>
          <w:p w14:paraId="09E2F456" w14:textId="77777777" w:rsidR="00186886" w:rsidRDefault="00201339">
            <w:pPr>
              <w:pStyle w:val="Compact"/>
            </w:pPr>
            <w:r>
              <w:t>-</w:t>
            </w:r>
          </w:p>
        </w:tc>
        <w:tc>
          <w:tcPr>
            <w:tcW w:w="0" w:type="auto"/>
          </w:tcPr>
          <w:p w14:paraId="62C44162" w14:textId="77777777" w:rsidR="00186886" w:rsidRDefault="00201339">
            <w:pPr>
              <w:pStyle w:val="Compact"/>
            </w:pPr>
            <w:r>
              <w:t>-</w:t>
            </w:r>
          </w:p>
        </w:tc>
        <w:tc>
          <w:tcPr>
            <w:tcW w:w="0" w:type="auto"/>
          </w:tcPr>
          <w:p w14:paraId="1E0D4B02" w14:textId="77777777" w:rsidR="00186886" w:rsidRDefault="00201339">
            <w:pPr>
              <w:pStyle w:val="Compact"/>
            </w:pPr>
            <w:r>
              <w:t xml:space="preserve">5 </w:t>
            </w:r>
            <w:r>
              <w:rPr>
                <w:rFonts w:hint="eastAsia"/>
              </w:rPr>
              <w:t>Hz</w:t>
            </w:r>
            <w:r>
              <w:rPr>
                <w:rFonts w:hint="eastAsia"/>
              </w:rPr>
              <w:t>姿态解算</w:t>
            </w:r>
          </w:p>
        </w:tc>
      </w:tr>
    </w:tbl>
    <w:p w14:paraId="3D12033E" w14:textId="77777777" w:rsidR="00186886" w:rsidRDefault="00201339" w:rsidP="0006219F">
      <w:pPr>
        <w:pStyle w:val="AI"/>
        <w:rPr>
          <w:rFonts w:hint="eastAsia"/>
          <w:lang w:eastAsia="zh-CN"/>
        </w:rPr>
      </w:pPr>
      <w:r>
        <w:rPr>
          <w:rFonts w:hint="eastAsia"/>
          <w:b/>
          <w:bCs/>
          <w:lang w:eastAsia="zh-CN"/>
        </w:rPr>
        <w:t>性能特征</w:t>
      </w:r>
      <w:r>
        <w:rPr>
          <w:rFonts w:hint="eastAsia"/>
          <w:lang w:eastAsia="zh-CN"/>
        </w:rPr>
        <w:t>超越任务要求，在成像操作期间指向稳定性优于0.01°/秒。迷航星体识别能力实现少于2秒的自主姿态恢复。</w:t>
      </w:r>
      <w:r>
        <w:rPr>
          <w:rFonts w:hint="eastAsia"/>
          <w:b/>
          <w:bCs/>
          <w:lang w:eastAsia="zh-CN"/>
        </w:rPr>
        <w:t>辐射耐受性</w:t>
      </w:r>
      <w:r>
        <w:rPr>
          <w:rFonts w:hint="eastAsia"/>
          <w:lang w:eastAsia="zh-CN"/>
        </w:rPr>
        <w:t>超过45</w:t>
      </w:r>
      <w:r>
        <w:rPr>
          <w:lang w:eastAsia="zh-CN"/>
        </w:rPr>
        <w:t xml:space="preserve"> </w:t>
      </w:r>
      <w:r>
        <w:rPr>
          <w:rFonts w:hint="eastAsia"/>
          <w:lang w:eastAsia="zh-CN"/>
        </w:rPr>
        <w:t>kRad总剂量，适用于5年以上低地球轨道任务。</w:t>
      </w:r>
    </w:p>
    <w:p w14:paraId="771326D4" w14:textId="77777777" w:rsidR="00186886" w:rsidRDefault="00201339" w:rsidP="0006219F">
      <w:pPr>
        <w:pStyle w:val="AI"/>
        <w:rPr>
          <w:rFonts w:hint="eastAsia"/>
          <w:lang w:eastAsia="zh-CN"/>
        </w:rPr>
      </w:pPr>
      <w:r>
        <w:rPr>
          <w:rFonts w:hint="eastAsia"/>
          <w:lang w:eastAsia="zh-CN"/>
        </w:rPr>
        <w:t>系统通过预测指向算法和高带宽姿态控制环路提供</w:t>
      </w:r>
      <w:r>
        <w:rPr>
          <w:rFonts w:hint="eastAsia"/>
          <w:b/>
          <w:bCs/>
          <w:lang w:eastAsia="zh-CN"/>
        </w:rPr>
        <w:t>像移补偿</w:t>
      </w:r>
      <w:r>
        <w:rPr>
          <w:rFonts w:hint="eastAsia"/>
          <w:lang w:eastAsia="zh-CN"/>
        </w:rPr>
        <w:t>。磁去饱和在非成像期间使用地球磁场，消除动量管理的推进剂消耗。</w:t>
      </w:r>
    </w:p>
    <w:p w14:paraId="66588C5D" w14:textId="0EC868BE" w:rsidR="00186886" w:rsidRDefault="00201339">
      <w:pPr>
        <w:pStyle w:val="a0"/>
        <w:rPr>
          <w:lang w:eastAsia="zh-CN"/>
        </w:rPr>
      </w:pPr>
      <w:bookmarkStart w:id="4" w:name="技术规格与性能"/>
      <w:bookmarkStart w:id="5" w:name="任务性能总结"/>
      <w:bookmarkEnd w:id="1"/>
      <w:bookmarkEnd w:id="3"/>
      <w:r>
        <w:rPr>
          <w:rFonts w:hint="eastAsia"/>
          <w:lang w:eastAsia="zh-CN"/>
        </w:rPr>
        <w:lastRenderedPageBreak/>
        <w:t>供可靠、高性价比的地球观测能力。</w:t>
      </w:r>
      <w:bookmarkEnd w:id="0"/>
      <w:bookmarkEnd w:id="4"/>
      <w:bookmarkEnd w:id="5"/>
    </w:p>
    <w:sectPr w:rsidR="00186886">
      <w:footerReference w:type="default" r:id="rId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21494" w14:textId="77777777" w:rsidR="00D61BFE" w:rsidRDefault="00D61BFE" w:rsidP="00201339">
      <w:pPr>
        <w:spacing w:after="0"/>
      </w:pPr>
      <w:r>
        <w:separator/>
      </w:r>
    </w:p>
  </w:endnote>
  <w:endnote w:type="continuationSeparator" w:id="0">
    <w:p w14:paraId="08F4AB5F" w14:textId="77777777" w:rsidR="00D61BFE" w:rsidRDefault="00D61BFE" w:rsidP="00201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782810"/>
      <w:docPartObj>
        <w:docPartGallery w:val="Page Numbers (Bottom of Page)"/>
        <w:docPartUnique/>
      </w:docPartObj>
    </w:sdtPr>
    <w:sdtContent>
      <w:p w14:paraId="0315A02D" w14:textId="1587CF90" w:rsidR="006272A8" w:rsidRDefault="006272A8">
        <w:pPr>
          <w:pStyle w:val="af2"/>
          <w:jc w:val="center"/>
        </w:pPr>
        <w:r>
          <w:fldChar w:fldCharType="begin"/>
        </w:r>
        <w:r>
          <w:instrText>PAGE   \* MERGEFORMAT</w:instrText>
        </w:r>
        <w:r>
          <w:fldChar w:fldCharType="separate"/>
        </w:r>
        <w:r w:rsidR="005A27BD" w:rsidRPr="005A27BD">
          <w:rPr>
            <w:noProof/>
            <w:lang w:val="zh-CN" w:eastAsia="zh-CN"/>
          </w:rPr>
          <w:t>29</w:t>
        </w:r>
        <w:r>
          <w:fldChar w:fldCharType="end"/>
        </w:r>
      </w:p>
    </w:sdtContent>
  </w:sdt>
  <w:p w14:paraId="570BFC68" w14:textId="77777777" w:rsidR="006272A8" w:rsidRDefault="006272A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E3EEE" w14:textId="77777777" w:rsidR="00D61BFE" w:rsidRDefault="00D61BFE" w:rsidP="00201339">
      <w:pPr>
        <w:spacing w:after="0"/>
      </w:pPr>
      <w:r>
        <w:separator/>
      </w:r>
    </w:p>
  </w:footnote>
  <w:footnote w:type="continuationSeparator" w:id="0">
    <w:p w14:paraId="51B31248" w14:textId="77777777" w:rsidR="00D61BFE" w:rsidRDefault="00D61BFE" w:rsidP="002013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1A7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D945B7"/>
    <w:multiLevelType w:val="multilevel"/>
    <w:tmpl w:val="5B8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E7800"/>
    <w:multiLevelType w:val="multilevel"/>
    <w:tmpl w:val="F5D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B099E"/>
    <w:multiLevelType w:val="multilevel"/>
    <w:tmpl w:val="2A9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FA0"/>
    <w:multiLevelType w:val="multilevel"/>
    <w:tmpl w:val="CBA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68EA"/>
    <w:multiLevelType w:val="multilevel"/>
    <w:tmpl w:val="329E4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2338"/>
    <w:multiLevelType w:val="multilevel"/>
    <w:tmpl w:val="A03E1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1151F"/>
    <w:multiLevelType w:val="multilevel"/>
    <w:tmpl w:val="E2E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6090E"/>
    <w:multiLevelType w:val="multilevel"/>
    <w:tmpl w:val="0E948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83C09"/>
    <w:multiLevelType w:val="multilevel"/>
    <w:tmpl w:val="D9E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47DD6"/>
    <w:multiLevelType w:val="multilevel"/>
    <w:tmpl w:val="BB9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327427">
    <w:abstractNumId w:val="0"/>
  </w:num>
  <w:num w:numId="2" w16cid:durableId="606621360">
    <w:abstractNumId w:val="8"/>
  </w:num>
  <w:num w:numId="3" w16cid:durableId="1340082921">
    <w:abstractNumId w:val="9"/>
  </w:num>
  <w:num w:numId="4" w16cid:durableId="1989478974">
    <w:abstractNumId w:val="6"/>
  </w:num>
  <w:num w:numId="5" w16cid:durableId="1431050656">
    <w:abstractNumId w:val="3"/>
  </w:num>
  <w:num w:numId="6" w16cid:durableId="729575680">
    <w:abstractNumId w:val="4"/>
  </w:num>
  <w:num w:numId="7" w16cid:durableId="1507552251">
    <w:abstractNumId w:val="2"/>
  </w:num>
  <w:num w:numId="8" w16cid:durableId="1080909386">
    <w:abstractNumId w:val="1"/>
  </w:num>
  <w:num w:numId="9" w16cid:durableId="1563635084">
    <w:abstractNumId w:val="5"/>
  </w:num>
  <w:num w:numId="10" w16cid:durableId="2073499158">
    <w:abstractNumId w:val="7"/>
  </w:num>
  <w:num w:numId="11" w16cid:durableId="376859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6886"/>
    <w:rsid w:val="0000195F"/>
    <w:rsid w:val="0001068C"/>
    <w:rsid w:val="0006219F"/>
    <w:rsid w:val="000B1B5A"/>
    <w:rsid w:val="000C53BA"/>
    <w:rsid w:val="00186886"/>
    <w:rsid w:val="001B1996"/>
    <w:rsid w:val="001D504D"/>
    <w:rsid w:val="001F20DF"/>
    <w:rsid w:val="00201339"/>
    <w:rsid w:val="00357884"/>
    <w:rsid w:val="003B3BAE"/>
    <w:rsid w:val="004472F4"/>
    <w:rsid w:val="004D39B1"/>
    <w:rsid w:val="004E0861"/>
    <w:rsid w:val="005A27BD"/>
    <w:rsid w:val="006272A8"/>
    <w:rsid w:val="00716249"/>
    <w:rsid w:val="0075233D"/>
    <w:rsid w:val="00756EAC"/>
    <w:rsid w:val="007916E8"/>
    <w:rsid w:val="008830D4"/>
    <w:rsid w:val="0093275C"/>
    <w:rsid w:val="00B60D57"/>
    <w:rsid w:val="00B92EC4"/>
    <w:rsid w:val="00BD5D26"/>
    <w:rsid w:val="00BE68B2"/>
    <w:rsid w:val="00D61BFE"/>
    <w:rsid w:val="00E91FD2"/>
    <w:rsid w:val="00FA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8274C"/>
  <w15:docId w15:val="{D81B67F3-582A-4884-A08E-0205A0F1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01339"/>
    <w:pPr>
      <w:tabs>
        <w:tab w:val="center" w:pos="4153"/>
        <w:tab w:val="right" w:pos="8306"/>
      </w:tabs>
      <w:snapToGrid w:val="0"/>
      <w:jc w:val="center"/>
    </w:pPr>
    <w:rPr>
      <w:sz w:val="18"/>
      <w:szCs w:val="18"/>
    </w:rPr>
  </w:style>
  <w:style w:type="character" w:customStyle="1" w:styleId="af1">
    <w:name w:val="页眉 字符"/>
    <w:basedOn w:val="a1"/>
    <w:link w:val="af0"/>
    <w:rsid w:val="00201339"/>
    <w:rPr>
      <w:sz w:val="18"/>
      <w:szCs w:val="18"/>
    </w:rPr>
  </w:style>
  <w:style w:type="paragraph" w:styleId="af2">
    <w:name w:val="footer"/>
    <w:basedOn w:val="a"/>
    <w:link w:val="af3"/>
    <w:uiPriority w:val="99"/>
    <w:rsid w:val="00201339"/>
    <w:pPr>
      <w:tabs>
        <w:tab w:val="center" w:pos="4153"/>
        <w:tab w:val="right" w:pos="8306"/>
      </w:tabs>
      <w:snapToGrid w:val="0"/>
    </w:pPr>
    <w:rPr>
      <w:sz w:val="18"/>
      <w:szCs w:val="18"/>
    </w:rPr>
  </w:style>
  <w:style w:type="character" w:customStyle="1" w:styleId="af3">
    <w:name w:val="页脚 字符"/>
    <w:basedOn w:val="a1"/>
    <w:link w:val="af2"/>
    <w:uiPriority w:val="99"/>
    <w:rsid w:val="00201339"/>
    <w:rPr>
      <w:sz w:val="18"/>
      <w:szCs w:val="18"/>
    </w:rPr>
  </w:style>
  <w:style w:type="paragraph" w:styleId="af4">
    <w:name w:val="Normal (Web)"/>
    <w:basedOn w:val="a"/>
    <w:uiPriority w:val="99"/>
    <w:unhideWhenUsed/>
    <w:rsid w:val="00B60D57"/>
    <w:pPr>
      <w:spacing w:before="100" w:beforeAutospacing="1" w:after="100" w:afterAutospacing="1"/>
    </w:pPr>
    <w:rPr>
      <w:rFonts w:ascii="宋体" w:eastAsia="宋体" w:hAnsi="宋体" w:cs="宋体"/>
      <w:lang w:eastAsia="zh-CN"/>
    </w:rPr>
  </w:style>
  <w:style w:type="character" w:styleId="af5">
    <w:name w:val="Strong"/>
    <w:basedOn w:val="a1"/>
    <w:uiPriority w:val="22"/>
    <w:qFormat/>
    <w:rsid w:val="00B60D57"/>
    <w:rPr>
      <w:b/>
      <w:bCs/>
    </w:rPr>
  </w:style>
  <w:style w:type="paragraph" w:customStyle="1" w:styleId="AI">
    <w:name w:val="AI正文"/>
    <w:basedOn w:val="a"/>
    <w:link w:val="AIChar"/>
    <w:qFormat/>
    <w:rsid w:val="00BE68B2"/>
    <w:pPr>
      <w:spacing w:after="0" w:line="400" w:lineRule="exact"/>
      <w:ind w:firstLine="480"/>
      <w:jc w:val="both"/>
    </w:pPr>
    <w:rPr>
      <w:rFonts w:ascii="宋体" w:eastAsia="宋体" w:hAnsi="宋体"/>
    </w:rPr>
  </w:style>
  <w:style w:type="character" w:customStyle="1" w:styleId="AIChar">
    <w:name w:val="AI正文 Char"/>
    <w:basedOn w:val="a1"/>
    <w:link w:val="AI"/>
    <w:rsid w:val="00BE68B2"/>
    <w:rPr>
      <w:rFonts w:ascii="宋体" w:eastAsia="宋体" w:hAnsi="宋体"/>
    </w:rPr>
  </w:style>
  <w:style w:type="paragraph" w:customStyle="1" w:styleId="AI0">
    <w:name w:val="AI一级"/>
    <w:basedOn w:val="a"/>
    <w:link w:val="AIChar0"/>
    <w:rsid w:val="00BE68B2"/>
    <w:pPr>
      <w:spacing w:before="480" w:after="360" w:line="400" w:lineRule="exact"/>
      <w:jc w:val="center"/>
    </w:pPr>
    <w:rPr>
      <w:rFonts w:ascii="黑体" w:eastAsia="黑体" w:hAnsi="黑体"/>
      <w:b/>
      <w:sz w:val="32"/>
    </w:rPr>
  </w:style>
  <w:style w:type="character" w:customStyle="1" w:styleId="AIChar0">
    <w:name w:val="AI一级 Char"/>
    <w:basedOn w:val="a1"/>
    <w:link w:val="AI0"/>
    <w:rsid w:val="00BE68B2"/>
    <w:rPr>
      <w:rFonts w:ascii="黑体" w:eastAsia="黑体" w:hAnsi="黑体"/>
      <w:b/>
      <w:sz w:val="32"/>
    </w:rPr>
  </w:style>
  <w:style w:type="paragraph" w:customStyle="1" w:styleId="AI1">
    <w:name w:val="AI二级"/>
    <w:basedOn w:val="a"/>
    <w:link w:val="AIChar1"/>
    <w:rsid w:val="00BE68B2"/>
    <w:pPr>
      <w:spacing w:before="360" w:after="240" w:line="400" w:lineRule="exact"/>
    </w:pPr>
    <w:rPr>
      <w:rFonts w:ascii="黑体" w:eastAsia="黑体" w:hAnsi="黑体"/>
      <w:b/>
      <w:sz w:val="28"/>
    </w:rPr>
  </w:style>
  <w:style w:type="character" w:customStyle="1" w:styleId="AIChar1">
    <w:name w:val="AI二级 Char"/>
    <w:basedOn w:val="a1"/>
    <w:link w:val="AI1"/>
    <w:rsid w:val="00BE68B2"/>
    <w:rPr>
      <w:rFonts w:ascii="黑体" w:eastAsia="黑体" w:hAnsi="黑体"/>
      <w:b/>
      <w:sz w:val="28"/>
    </w:rPr>
  </w:style>
  <w:style w:type="paragraph" w:customStyle="1" w:styleId="AI2">
    <w:name w:val="AI三级"/>
    <w:basedOn w:val="a"/>
    <w:link w:val="AIChar2"/>
    <w:rsid w:val="00BE68B2"/>
    <w:pPr>
      <w:spacing w:before="240" w:after="120" w:line="400" w:lineRule="exact"/>
    </w:pPr>
    <w:rPr>
      <w:rFonts w:ascii="黑体" w:eastAsia="黑体" w:hAnsi="黑体"/>
      <w:b/>
      <w:sz w:val="30"/>
    </w:rPr>
  </w:style>
  <w:style w:type="character" w:customStyle="1" w:styleId="AIChar2">
    <w:name w:val="AI三级 Char"/>
    <w:basedOn w:val="a1"/>
    <w:link w:val="AI2"/>
    <w:rsid w:val="00BE68B2"/>
    <w:rPr>
      <w:rFonts w:ascii="黑体" w:eastAsia="黑体" w:hAnsi="黑体"/>
      <w:b/>
      <w:sz w:val="30"/>
    </w:rPr>
  </w:style>
  <w:style w:type="paragraph" w:customStyle="1" w:styleId="AI3">
    <w:name w:val="AI四级"/>
    <w:basedOn w:val="a"/>
    <w:link w:val="AIChar3"/>
    <w:rsid w:val="00BE68B2"/>
    <w:pPr>
      <w:spacing w:before="240" w:after="120" w:line="400" w:lineRule="exact"/>
    </w:pPr>
    <w:rPr>
      <w:rFonts w:ascii="黑体" w:eastAsia="黑体" w:hAnsi="黑体"/>
      <w:b/>
      <w:sz w:val="28"/>
    </w:rPr>
  </w:style>
  <w:style w:type="character" w:customStyle="1" w:styleId="AIChar3">
    <w:name w:val="AI四级 Char"/>
    <w:basedOn w:val="a1"/>
    <w:link w:val="AI3"/>
    <w:rsid w:val="00BE68B2"/>
    <w:rPr>
      <w:rFonts w:ascii="黑体" w:eastAsia="黑体" w:hAnsi="黑体"/>
      <w:b/>
      <w:sz w:val="28"/>
    </w:rPr>
  </w:style>
  <w:style w:type="paragraph" w:customStyle="1" w:styleId="AI4">
    <w:name w:val="AI五级"/>
    <w:basedOn w:val="a"/>
    <w:link w:val="AIChar4"/>
    <w:rsid w:val="00BE68B2"/>
    <w:pPr>
      <w:spacing w:before="240" w:after="120" w:line="400" w:lineRule="exact"/>
    </w:pPr>
    <w:rPr>
      <w:rFonts w:ascii="黑体" w:eastAsia="黑体" w:hAnsi="黑体"/>
      <w:b/>
      <w:sz w:val="26"/>
    </w:rPr>
  </w:style>
  <w:style w:type="character" w:customStyle="1" w:styleId="AIChar4">
    <w:name w:val="AI五级 Char"/>
    <w:basedOn w:val="a1"/>
    <w:link w:val="AI4"/>
    <w:rsid w:val="00BE68B2"/>
    <w:rPr>
      <w:rFonts w:ascii="黑体" w:eastAsia="黑体" w:hAnsi="黑体"/>
      <w:b/>
      <w:sz w:val="26"/>
    </w:rPr>
  </w:style>
  <w:style w:type="paragraph" w:customStyle="1" w:styleId="AI5">
    <w:name w:val="AI六级"/>
    <w:basedOn w:val="a"/>
    <w:link w:val="AIChar5"/>
    <w:rsid w:val="00BE68B2"/>
    <w:pPr>
      <w:spacing w:before="240" w:after="120" w:line="400" w:lineRule="exact"/>
    </w:pPr>
    <w:rPr>
      <w:rFonts w:ascii="黑体" w:eastAsia="黑体" w:hAnsi="黑体"/>
      <w:b/>
    </w:rPr>
  </w:style>
  <w:style w:type="character" w:customStyle="1" w:styleId="AIChar5">
    <w:name w:val="AI六级 Char"/>
    <w:basedOn w:val="a1"/>
    <w:link w:val="AI5"/>
    <w:rsid w:val="00BE68B2"/>
    <w:rPr>
      <w:rFonts w:ascii="黑体" w:eastAsia="黑体" w:hAnsi="黑体"/>
      <w:b/>
    </w:rPr>
  </w:style>
  <w:style w:type="paragraph" w:customStyle="1" w:styleId="AI6">
    <w:name w:val="AI图片"/>
    <w:basedOn w:val="a"/>
    <w:link w:val="AIChar6"/>
    <w:rsid w:val="00BE68B2"/>
    <w:pPr>
      <w:spacing w:before="120" w:after="240" w:line="320" w:lineRule="exact"/>
      <w:jc w:val="center"/>
    </w:pPr>
    <w:rPr>
      <w:rFonts w:ascii="宋体" w:eastAsia="宋体" w:hAnsi="宋体"/>
      <w:sz w:val="21"/>
    </w:rPr>
  </w:style>
  <w:style w:type="character" w:customStyle="1" w:styleId="AIChar6">
    <w:name w:val="AI图片 Char"/>
    <w:basedOn w:val="a1"/>
    <w:link w:val="AI6"/>
    <w:rsid w:val="00BE68B2"/>
    <w:rPr>
      <w:rFonts w:ascii="宋体" w:eastAsia="宋体" w:hAnsi="宋体"/>
      <w:sz w:val="21"/>
    </w:rPr>
  </w:style>
  <w:style w:type="paragraph" w:customStyle="1" w:styleId="AI7">
    <w:name w:val="AI表格"/>
    <w:basedOn w:val="a"/>
    <w:link w:val="AIChar7"/>
    <w:rsid w:val="00BE68B2"/>
    <w:pPr>
      <w:spacing w:before="120" w:after="120" w:line="320" w:lineRule="exact"/>
      <w:jc w:val="center"/>
    </w:pPr>
    <w:rPr>
      <w:rFonts w:ascii="宋体" w:eastAsia="宋体" w:hAnsi="宋体"/>
      <w:sz w:val="21"/>
    </w:rPr>
  </w:style>
  <w:style w:type="character" w:customStyle="1" w:styleId="AIChar7">
    <w:name w:val="AI表格 Char"/>
    <w:basedOn w:val="a1"/>
    <w:link w:val="AI7"/>
    <w:rsid w:val="00BE68B2"/>
    <w:rPr>
      <w:rFonts w:ascii="宋体" w:eastAsia="宋体" w:hAnsi="宋体"/>
      <w:sz w:val="21"/>
    </w:rPr>
  </w:style>
  <w:style w:type="character" w:styleId="af6">
    <w:name w:val="annotation reference"/>
    <w:basedOn w:val="a1"/>
    <w:rsid w:val="001D504D"/>
    <w:rPr>
      <w:sz w:val="21"/>
      <w:szCs w:val="21"/>
    </w:rPr>
  </w:style>
  <w:style w:type="paragraph" w:styleId="af7">
    <w:name w:val="annotation text"/>
    <w:basedOn w:val="a"/>
    <w:link w:val="af8"/>
    <w:rsid w:val="001D504D"/>
  </w:style>
  <w:style w:type="character" w:customStyle="1" w:styleId="af8">
    <w:name w:val="批注文字 字符"/>
    <w:basedOn w:val="a1"/>
    <w:link w:val="af7"/>
    <w:rsid w:val="001D504D"/>
  </w:style>
  <w:style w:type="paragraph" w:styleId="af9">
    <w:name w:val="annotation subject"/>
    <w:basedOn w:val="af7"/>
    <w:next w:val="af7"/>
    <w:link w:val="afa"/>
    <w:rsid w:val="001D504D"/>
    <w:rPr>
      <w:b/>
      <w:bCs/>
    </w:rPr>
  </w:style>
  <w:style w:type="character" w:customStyle="1" w:styleId="afa">
    <w:name w:val="批注主题 字符"/>
    <w:basedOn w:val="af8"/>
    <w:link w:val="af9"/>
    <w:rsid w:val="001D5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14">
      <w:bodyDiv w:val="1"/>
      <w:marLeft w:val="0"/>
      <w:marRight w:val="0"/>
      <w:marTop w:val="0"/>
      <w:marBottom w:val="0"/>
      <w:divBdr>
        <w:top w:val="none" w:sz="0" w:space="0" w:color="auto"/>
        <w:left w:val="none" w:sz="0" w:space="0" w:color="auto"/>
        <w:bottom w:val="none" w:sz="0" w:space="0" w:color="auto"/>
        <w:right w:val="none" w:sz="0" w:space="0" w:color="auto"/>
      </w:divBdr>
    </w:div>
    <w:div w:id="234706412">
      <w:bodyDiv w:val="1"/>
      <w:marLeft w:val="0"/>
      <w:marRight w:val="0"/>
      <w:marTop w:val="0"/>
      <w:marBottom w:val="0"/>
      <w:divBdr>
        <w:top w:val="none" w:sz="0" w:space="0" w:color="auto"/>
        <w:left w:val="none" w:sz="0" w:space="0" w:color="auto"/>
        <w:bottom w:val="none" w:sz="0" w:space="0" w:color="auto"/>
        <w:right w:val="none" w:sz="0" w:space="0" w:color="auto"/>
      </w:divBdr>
    </w:div>
    <w:div w:id="286477177">
      <w:bodyDiv w:val="1"/>
      <w:marLeft w:val="0"/>
      <w:marRight w:val="0"/>
      <w:marTop w:val="0"/>
      <w:marBottom w:val="0"/>
      <w:divBdr>
        <w:top w:val="none" w:sz="0" w:space="0" w:color="auto"/>
        <w:left w:val="none" w:sz="0" w:space="0" w:color="auto"/>
        <w:bottom w:val="none" w:sz="0" w:space="0" w:color="auto"/>
        <w:right w:val="none" w:sz="0" w:space="0" w:color="auto"/>
      </w:divBdr>
    </w:div>
    <w:div w:id="616375907">
      <w:bodyDiv w:val="1"/>
      <w:marLeft w:val="0"/>
      <w:marRight w:val="0"/>
      <w:marTop w:val="0"/>
      <w:marBottom w:val="0"/>
      <w:divBdr>
        <w:top w:val="none" w:sz="0" w:space="0" w:color="auto"/>
        <w:left w:val="none" w:sz="0" w:space="0" w:color="auto"/>
        <w:bottom w:val="none" w:sz="0" w:space="0" w:color="auto"/>
        <w:right w:val="none" w:sz="0" w:space="0" w:color="auto"/>
      </w:divBdr>
    </w:div>
    <w:div w:id="639463216">
      <w:bodyDiv w:val="1"/>
      <w:marLeft w:val="0"/>
      <w:marRight w:val="0"/>
      <w:marTop w:val="0"/>
      <w:marBottom w:val="0"/>
      <w:divBdr>
        <w:top w:val="none" w:sz="0" w:space="0" w:color="auto"/>
        <w:left w:val="none" w:sz="0" w:space="0" w:color="auto"/>
        <w:bottom w:val="none" w:sz="0" w:space="0" w:color="auto"/>
        <w:right w:val="none" w:sz="0" w:space="0" w:color="auto"/>
      </w:divBdr>
    </w:div>
    <w:div w:id="845941362">
      <w:bodyDiv w:val="1"/>
      <w:marLeft w:val="0"/>
      <w:marRight w:val="0"/>
      <w:marTop w:val="0"/>
      <w:marBottom w:val="0"/>
      <w:divBdr>
        <w:top w:val="none" w:sz="0" w:space="0" w:color="auto"/>
        <w:left w:val="none" w:sz="0" w:space="0" w:color="auto"/>
        <w:bottom w:val="none" w:sz="0" w:space="0" w:color="auto"/>
        <w:right w:val="none" w:sz="0" w:space="0" w:color="auto"/>
      </w:divBdr>
    </w:div>
    <w:div w:id="895316365">
      <w:bodyDiv w:val="1"/>
      <w:marLeft w:val="0"/>
      <w:marRight w:val="0"/>
      <w:marTop w:val="0"/>
      <w:marBottom w:val="0"/>
      <w:divBdr>
        <w:top w:val="none" w:sz="0" w:space="0" w:color="auto"/>
        <w:left w:val="none" w:sz="0" w:space="0" w:color="auto"/>
        <w:bottom w:val="none" w:sz="0" w:space="0" w:color="auto"/>
        <w:right w:val="none" w:sz="0" w:space="0" w:color="auto"/>
      </w:divBdr>
    </w:div>
    <w:div w:id="1013189003">
      <w:bodyDiv w:val="1"/>
      <w:marLeft w:val="0"/>
      <w:marRight w:val="0"/>
      <w:marTop w:val="0"/>
      <w:marBottom w:val="0"/>
      <w:divBdr>
        <w:top w:val="none" w:sz="0" w:space="0" w:color="auto"/>
        <w:left w:val="none" w:sz="0" w:space="0" w:color="auto"/>
        <w:bottom w:val="none" w:sz="0" w:space="0" w:color="auto"/>
        <w:right w:val="none" w:sz="0" w:space="0" w:color="auto"/>
      </w:divBdr>
    </w:div>
    <w:div w:id="1186943176">
      <w:bodyDiv w:val="1"/>
      <w:marLeft w:val="0"/>
      <w:marRight w:val="0"/>
      <w:marTop w:val="0"/>
      <w:marBottom w:val="0"/>
      <w:divBdr>
        <w:top w:val="none" w:sz="0" w:space="0" w:color="auto"/>
        <w:left w:val="none" w:sz="0" w:space="0" w:color="auto"/>
        <w:bottom w:val="none" w:sz="0" w:space="0" w:color="auto"/>
        <w:right w:val="none" w:sz="0" w:space="0" w:color="auto"/>
      </w:divBdr>
    </w:div>
    <w:div w:id="1310743069">
      <w:bodyDiv w:val="1"/>
      <w:marLeft w:val="0"/>
      <w:marRight w:val="0"/>
      <w:marTop w:val="0"/>
      <w:marBottom w:val="0"/>
      <w:divBdr>
        <w:top w:val="none" w:sz="0" w:space="0" w:color="auto"/>
        <w:left w:val="none" w:sz="0" w:space="0" w:color="auto"/>
        <w:bottom w:val="none" w:sz="0" w:space="0" w:color="auto"/>
        <w:right w:val="none" w:sz="0" w:space="0" w:color="auto"/>
      </w:divBdr>
    </w:div>
    <w:div w:id="1588029644">
      <w:bodyDiv w:val="1"/>
      <w:marLeft w:val="0"/>
      <w:marRight w:val="0"/>
      <w:marTop w:val="0"/>
      <w:marBottom w:val="0"/>
      <w:divBdr>
        <w:top w:val="none" w:sz="0" w:space="0" w:color="auto"/>
        <w:left w:val="none" w:sz="0" w:space="0" w:color="auto"/>
        <w:bottom w:val="none" w:sz="0" w:space="0" w:color="auto"/>
        <w:right w:val="none" w:sz="0" w:space="0" w:color="auto"/>
      </w:divBdr>
    </w:div>
    <w:div w:id="1603103534">
      <w:bodyDiv w:val="1"/>
      <w:marLeft w:val="0"/>
      <w:marRight w:val="0"/>
      <w:marTop w:val="0"/>
      <w:marBottom w:val="0"/>
      <w:divBdr>
        <w:top w:val="none" w:sz="0" w:space="0" w:color="auto"/>
        <w:left w:val="none" w:sz="0" w:space="0" w:color="auto"/>
        <w:bottom w:val="none" w:sz="0" w:space="0" w:color="auto"/>
        <w:right w:val="none" w:sz="0" w:space="0" w:color="auto"/>
      </w:divBdr>
    </w:div>
    <w:div w:id="1607926323">
      <w:bodyDiv w:val="1"/>
      <w:marLeft w:val="0"/>
      <w:marRight w:val="0"/>
      <w:marTop w:val="0"/>
      <w:marBottom w:val="0"/>
      <w:divBdr>
        <w:top w:val="none" w:sz="0" w:space="0" w:color="auto"/>
        <w:left w:val="none" w:sz="0" w:space="0" w:color="auto"/>
        <w:bottom w:val="none" w:sz="0" w:space="0" w:color="auto"/>
        <w:right w:val="none" w:sz="0" w:space="0" w:color="auto"/>
      </w:divBdr>
    </w:div>
    <w:div w:id="1647469695">
      <w:bodyDiv w:val="1"/>
      <w:marLeft w:val="0"/>
      <w:marRight w:val="0"/>
      <w:marTop w:val="0"/>
      <w:marBottom w:val="0"/>
      <w:divBdr>
        <w:top w:val="none" w:sz="0" w:space="0" w:color="auto"/>
        <w:left w:val="none" w:sz="0" w:space="0" w:color="auto"/>
        <w:bottom w:val="none" w:sz="0" w:space="0" w:color="auto"/>
        <w:right w:val="none" w:sz="0" w:space="0" w:color="auto"/>
      </w:divBdr>
    </w:div>
    <w:div w:id="1988313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02831-8E6F-4EF6-B614-3C0E7A9E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ykf@live.cn</cp:lastModifiedBy>
  <cp:revision>15</cp:revision>
  <dcterms:created xsi:type="dcterms:W3CDTF">2025-07-27T05:13:00Z</dcterms:created>
  <dcterms:modified xsi:type="dcterms:W3CDTF">2026-02-26T09:04:00Z</dcterms:modified>
</cp:coreProperties>
</file>