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C28B6" w:rsidRDefault="00413A1A">
      <w:pPr>
        <w:pBdr>
          <w:top w:val="nil"/>
          <w:left w:val="nil"/>
          <w:bottom w:val="nil"/>
          <w:right w:val="nil"/>
          <w:between w:val="nil"/>
        </w:pBdr>
        <w:spacing w:after="520"/>
        <w:rPr>
          <w:b/>
          <w:color w:val="000000"/>
          <w:sz w:val="48"/>
          <w:szCs w:val="48"/>
        </w:rPr>
      </w:pPr>
      <w:r>
        <w:rPr>
          <w:b/>
          <w:sz w:val="48"/>
          <w:szCs w:val="48"/>
        </w:rPr>
        <w:t xml:space="preserve">Towards In-Process Prediction of Voids in Laser Powder Bed Fusion </w:t>
      </w:r>
    </w:p>
    <w:p w:rsidR="00AC28B6" w:rsidRDefault="00413A1A">
      <w:pPr>
        <w:pBdr>
          <w:top w:val="nil"/>
          <w:left w:val="nil"/>
          <w:bottom w:val="nil"/>
          <w:right w:val="nil"/>
          <w:between w:val="nil"/>
        </w:pBdr>
        <w:spacing w:after="200"/>
        <w:rPr>
          <w:b/>
          <w:color w:val="000000"/>
          <w:vertAlign w:val="superscript"/>
        </w:rPr>
      </w:pPr>
      <w:r>
        <w:rPr>
          <w:b/>
        </w:rPr>
        <w:t>Sean O’Loughlin</w:t>
      </w:r>
      <w:r>
        <w:rPr>
          <w:b/>
          <w:color w:val="000000"/>
          <w:vertAlign w:val="superscript"/>
        </w:rPr>
        <w:t>1</w:t>
      </w:r>
      <w:r>
        <w:rPr>
          <w:b/>
          <w:color w:val="000000"/>
        </w:rPr>
        <w:t xml:space="preserve">, </w:t>
      </w:r>
      <w:r>
        <w:rPr>
          <w:b/>
        </w:rPr>
        <w:t>Benjamin Dutton</w:t>
      </w:r>
      <w:r>
        <w:rPr>
          <w:b/>
          <w:vertAlign w:val="superscript"/>
        </w:rPr>
        <w:t>1</w:t>
      </w:r>
      <w:r>
        <w:rPr>
          <w:b/>
          <w:color w:val="000000"/>
        </w:rPr>
        <w:t xml:space="preserve">, </w:t>
      </w:r>
      <w:r>
        <w:rPr>
          <w:b/>
        </w:rPr>
        <w:t>Gent Semaj</w:t>
      </w:r>
      <w:r>
        <w:rPr>
          <w:b/>
          <w:vertAlign w:val="superscript"/>
        </w:rPr>
        <w:t>1</w:t>
      </w:r>
      <w:r>
        <w:rPr>
          <w:b/>
        </w:rPr>
        <w:t>, Eric Snell</w:t>
      </w:r>
      <w:r>
        <w:rPr>
          <w:b/>
          <w:vertAlign w:val="superscript"/>
        </w:rPr>
        <w:t>1</w:t>
      </w:r>
      <w:r>
        <w:rPr>
          <w:b/>
        </w:rPr>
        <w:t>, Jacob Rindler</w:t>
      </w:r>
      <w:r>
        <w:rPr>
          <w:b/>
          <w:vertAlign w:val="superscript"/>
        </w:rPr>
        <w:t>1</w:t>
      </w:r>
      <w:r>
        <w:rPr>
          <w:b/>
        </w:rPr>
        <w:t xml:space="preserve"> </w:t>
      </w:r>
      <w:r>
        <w:rPr>
          <w:b/>
          <w:color w:val="000000"/>
        </w:rPr>
        <w:t>and Michael A. Groeber</w:t>
      </w:r>
      <w:r>
        <w:rPr>
          <w:b/>
          <w:vertAlign w:val="superscript"/>
        </w:rPr>
        <w:t>2</w:t>
      </w:r>
      <w:r>
        <w:rPr>
          <w:b/>
          <w:color w:val="000000"/>
          <w:vertAlign w:val="superscript"/>
        </w:rPr>
        <w:t>,*</w:t>
      </w:r>
    </w:p>
    <w:p w:rsidR="00AC28B6" w:rsidRDefault="00413A1A">
      <w:pPr>
        <w:pBdr>
          <w:top w:val="nil"/>
          <w:left w:val="nil"/>
          <w:bottom w:val="nil"/>
          <w:right w:val="nil"/>
          <w:between w:val="nil"/>
        </w:pBdr>
        <w:spacing w:after="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vertAlign w:val="superscript"/>
        </w:rPr>
        <w:t xml:space="preserve">1 </w:t>
      </w:r>
      <w:r>
        <w:rPr>
          <w:rFonts w:ascii="Times New Roman" w:eastAsia="Times New Roman" w:hAnsi="Times New Roman" w:cs="Times New Roman"/>
          <w:color w:val="000000"/>
          <w:sz w:val="18"/>
          <w:szCs w:val="18"/>
        </w:rPr>
        <w:t>The Ohio State University, Center for Design and Manufacturing Excellence, Columbus, OH 43210</w:t>
      </w:r>
    </w:p>
    <w:p w:rsidR="00AC28B6" w:rsidRDefault="00413A1A">
      <w:pPr>
        <w:pBdr>
          <w:top w:val="nil"/>
          <w:left w:val="nil"/>
          <w:bottom w:val="nil"/>
          <w:right w:val="nil"/>
          <w:between w:val="nil"/>
        </w:pBdr>
        <w:spacing w:after="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vertAlign w:val="superscript"/>
        </w:rPr>
        <w:t xml:space="preserve">2 </w:t>
      </w:r>
      <w:r>
        <w:rPr>
          <w:rFonts w:ascii="Times New Roman" w:eastAsia="Times New Roman" w:hAnsi="Times New Roman" w:cs="Times New Roman"/>
          <w:color w:val="000000"/>
          <w:sz w:val="18"/>
          <w:szCs w:val="18"/>
        </w:rPr>
        <w:t xml:space="preserve">The Ohio State University, </w:t>
      </w:r>
      <w:r>
        <w:rPr>
          <w:rFonts w:ascii="Times New Roman" w:eastAsia="Times New Roman" w:hAnsi="Times New Roman" w:cs="Times New Roman"/>
          <w:sz w:val="18"/>
          <w:szCs w:val="18"/>
        </w:rPr>
        <w:t>Department of Integrated Systems Engineering</w:t>
      </w:r>
      <w:r>
        <w:rPr>
          <w:rFonts w:ascii="Times New Roman" w:eastAsia="Times New Roman" w:hAnsi="Times New Roman" w:cs="Times New Roman"/>
          <w:color w:val="000000"/>
          <w:sz w:val="18"/>
          <w:szCs w:val="18"/>
        </w:rPr>
        <w:t>, Columbus, OH 43210</w:t>
      </w:r>
    </w:p>
    <w:p w:rsidR="00AC28B6" w:rsidRDefault="00AC28B6">
      <w:pPr>
        <w:pBdr>
          <w:top w:val="nil"/>
          <w:left w:val="nil"/>
          <w:bottom w:val="nil"/>
          <w:right w:val="nil"/>
          <w:between w:val="nil"/>
        </w:pBdr>
        <w:spacing w:after="0"/>
        <w:rPr>
          <w:rFonts w:ascii="Times New Roman" w:eastAsia="Times New Roman" w:hAnsi="Times New Roman" w:cs="Times New Roman"/>
          <w:color w:val="000000"/>
          <w:sz w:val="18"/>
          <w:szCs w:val="18"/>
          <w:vertAlign w:val="superscript"/>
        </w:rPr>
      </w:pPr>
    </w:p>
    <w:p w:rsidR="00AC28B6" w:rsidRDefault="00413A1A">
      <w:pPr>
        <w:pBdr>
          <w:top w:val="nil"/>
          <w:left w:val="nil"/>
          <w:bottom w:val="nil"/>
          <w:right w:val="nil"/>
          <w:between w:val="nil"/>
        </w:pBdr>
        <w:spacing w:after="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vertAlign w:val="superscript"/>
        </w:rPr>
        <w:t>*</w:t>
      </w:r>
      <w:r>
        <w:rPr>
          <w:rFonts w:ascii="Times New Roman" w:eastAsia="Times New Roman" w:hAnsi="Times New Roman" w:cs="Times New Roman"/>
          <w:color w:val="000000"/>
          <w:sz w:val="18"/>
          <w:szCs w:val="18"/>
        </w:rPr>
        <w:t xml:space="preserve"> Corresponding author</w:t>
      </w:r>
    </w:p>
    <w:p w:rsidR="00AC28B6" w:rsidRDefault="00413A1A">
      <w:pPr>
        <w:pBdr>
          <w:top w:val="nil"/>
          <w:left w:val="nil"/>
          <w:bottom w:val="nil"/>
          <w:right w:val="nil"/>
          <w:between w:val="nil"/>
        </w:pBdr>
        <w:spacing w:after="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E-mail: groeber.9@osu.edu</w:t>
      </w:r>
    </w:p>
    <w:p w:rsidR="00AC28B6" w:rsidRDefault="00413A1A">
      <w:pPr>
        <w:pBdr>
          <w:top w:val="nil"/>
          <w:left w:val="nil"/>
          <w:bottom w:val="nil"/>
          <w:right w:val="nil"/>
          <w:between w:val="nil"/>
        </w:pBdr>
        <w:spacing w:before="200" w:after="120"/>
        <w:rPr>
          <w:b/>
          <w:color w:val="000000"/>
        </w:rPr>
      </w:pPr>
      <w:r>
        <w:rPr>
          <w:b/>
          <w:color w:val="000000"/>
        </w:rPr>
        <w:t>Abstract</w:t>
      </w:r>
    </w:p>
    <w:p w:rsidR="00AC28B6" w:rsidRDefault="008B5C4E">
      <w:pPr>
        <w:pBdr>
          <w:top w:val="nil"/>
          <w:left w:val="nil"/>
          <w:bottom w:val="nil"/>
          <w:right w:val="nil"/>
          <w:between w:val="nil"/>
        </w:pBdr>
        <w:spacing w:after="0"/>
        <w:jc w:val="both"/>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 xml:space="preserve">In this work, we investigate a framework for collecting, processing, and </w:t>
      </w:r>
      <w:r w:rsidR="00817F5B">
        <w:rPr>
          <w:rFonts w:ascii="Times New Roman" w:eastAsia="Times New Roman" w:hAnsi="Times New Roman" w:cs="Times New Roman"/>
          <w:sz w:val="20"/>
          <w:szCs w:val="20"/>
        </w:rPr>
        <w:t xml:space="preserve">registering </w:t>
      </w:r>
      <w:r>
        <w:rPr>
          <w:rFonts w:ascii="Times New Roman" w:eastAsia="Times New Roman" w:hAnsi="Times New Roman" w:cs="Times New Roman"/>
          <w:sz w:val="20"/>
          <w:szCs w:val="20"/>
        </w:rPr>
        <w:t xml:space="preserve">in-process monitoring data from </w:t>
      </w:r>
      <w:r w:rsidR="00F8787F">
        <w:rPr>
          <w:rFonts w:ascii="Times New Roman" w:eastAsia="Times New Roman" w:hAnsi="Times New Roman" w:cs="Times New Roman"/>
          <w:sz w:val="20"/>
          <w:szCs w:val="20"/>
        </w:rPr>
        <w:t>an</w:t>
      </w:r>
      <w:r>
        <w:rPr>
          <w:rFonts w:ascii="Times New Roman" w:eastAsia="Times New Roman" w:hAnsi="Times New Roman" w:cs="Times New Roman"/>
          <w:sz w:val="20"/>
          <w:szCs w:val="20"/>
        </w:rPr>
        <w:t xml:space="preserve"> additive manufacturing build</w:t>
      </w:r>
      <w:r w:rsidR="00F8787F">
        <w:rPr>
          <w:rFonts w:ascii="Times New Roman" w:eastAsia="Times New Roman" w:hAnsi="Times New Roman" w:cs="Times New Roman"/>
          <w:sz w:val="20"/>
          <w:szCs w:val="20"/>
        </w:rPr>
        <w:t xml:space="preserve"> with post-</w:t>
      </w:r>
      <w:r>
        <w:rPr>
          <w:rFonts w:ascii="Times New Roman" w:eastAsia="Times New Roman" w:hAnsi="Times New Roman" w:cs="Times New Roman"/>
          <w:sz w:val="20"/>
          <w:szCs w:val="20"/>
        </w:rPr>
        <w:t xml:space="preserve">build inspection data </w:t>
      </w:r>
      <w:r w:rsidR="00F8787F">
        <w:rPr>
          <w:rFonts w:ascii="Times New Roman" w:eastAsia="Times New Roman" w:hAnsi="Times New Roman" w:cs="Times New Roman"/>
          <w:sz w:val="20"/>
          <w:szCs w:val="20"/>
        </w:rPr>
        <w:t xml:space="preserve">obtained from CT scans of the produced samples. In addition to processing and </w:t>
      </w:r>
      <w:r w:rsidR="00817F5B">
        <w:rPr>
          <w:rFonts w:ascii="Times New Roman" w:eastAsia="Times New Roman" w:hAnsi="Times New Roman" w:cs="Times New Roman"/>
          <w:sz w:val="20"/>
          <w:szCs w:val="20"/>
        </w:rPr>
        <w:t xml:space="preserve">combining </w:t>
      </w:r>
      <w:r w:rsidR="00F8787F">
        <w:rPr>
          <w:rFonts w:ascii="Times New Roman" w:eastAsia="Times New Roman" w:hAnsi="Times New Roman" w:cs="Times New Roman"/>
          <w:sz w:val="20"/>
          <w:szCs w:val="20"/>
        </w:rPr>
        <w:t xml:space="preserve">the data, we look at a statistical analysis of the </w:t>
      </w:r>
      <w:r w:rsidR="00817F5B">
        <w:rPr>
          <w:rFonts w:ascii="Times New Roman" w:eastAsia="Times New Roman" w:hAnsi="Times New Roman" w:cs="Times New Roman"/>
          <w:sz w:val="20"/>
          <w:szCs w:val="20"/>
        </w:rPr>
        <w:t xml:space="preserve">combined </w:t>
      </w:r>
      <w:r w:rsidR="00F8787F">
        <w:rPr>
          <w:rFonts w:ascii="Times New Roman" w:eastAsia="Times New Roman" w:hAnsi="Times New Roman" w:cs="Times New Roman"/>
          <w:sz w:val="20"/>
          <w:szCs w:val="20"/>
        </w:rPr>
        <w:t xml:space="preserve">data streams using machine learning methods to obtain a quantitative prediction of local void probability in the CT data from local </w:t>
      </w:r>
      <w:r w:rsidR="00817F5B">
        <w:rPr>
          <w:rFonts w:ascii="Times New Roman" w:eastAsia="Times New Roman" w:hAnsi="Times New Roman" w:cs="Times New Roman"/>
          <w:sz w:val="20"/>
          <w:szCs w:val="20"/>
        </w:rPr>
        <w:t xml:space="preserve">feature </w:t>
      </w:r>
      <w:r w:rsidR="00F8787F">
        <w:rPr>
          <w:rFonts w:ascii="Times New Roman" w:eastAsia="Times New Roman" w:hAnsi="Times New Roman" w:cs="Times New Roman"/>
          <w:sz w:val="20"/>
          <w:szCs w:val="20"/>
        </w:rPr>
        <w:t xml:space="preserve">metrics extracted from the in-process monitoring data. Results show promise when the in-process monitoring data is processed to extract designed features/metrics, rather than using the </w:t>
      </w:r>
      <w:r w:rsidR="00817F5B">
        <w:rPr>
          <w:rFonts w:ascii="Times New Roman" w:eastAsia="Times New Roman" w:hAnsi="Times New Roman" w:cs="Times New Roman"/>
          <w:sz w:val="20"/>
          <w:szCs w:val="20"/>
        </w:rPr>
        <w:t xml:space="preserve">only </w:t>
      </w:r>
      <w:r w:rsidR="00F8787F">
        <w:rPr>
          <w:rFonts w:ascii="Times New Roman" w:eastAsia="Times New Roman" w:hAnsi="Times New Roman" w:cs="Times New Roman"/>
          <w:sz w:val="20"/>
          <w:szCs w:val="20"/>
        </w:rPr>
        <w:t>raw signals.</w:t>
      </w:r>
    </w:p>
    <w:p w:rsidR="00AC28B6" w:rsidRDefault="00413A1A">
      <w:pPr>
        <w:pBdr>
          <w:top w:val="nil"/>
          <w:left w:val="nil"/>
          <w:bottom w:val="single" w:sz="4" w:space="1" w:color="000000"/>
          <w:right w:val="nil"/>
          <w:between w:val="nil"/>
        </w:pBdr>
        <w:spacing w:before="240" w:after="24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Keywords: additive manufacturing, </w:t>
      </w:r>
      <w:r>
        <w:rPr>
          <w:rFonts w:ascii="Times New Roman" w:eastAsia="Times New Roman" w:hAnsi="Times New Roman" w:cs="Times New Roman"/>
          <w:sz w:val="20"/>
          <w:szCs w:val="20"/>
        </w:rPr>
        <w:t xml:space="preserve">data </w:t>
      </w:r>
      <w:r w:rsidR="00817F5B">
        <w:rPr>
          <w:rFonts w:ascii="Times New Roman" w:eastAsia="Times New Roman" w:hAnsi="Times New Roman" w:cs="Times New Roman"/>
          <w:sz w:val="20"/>
          <w:szCs w:val="20"/>
        </w:rPr>
        <w:t>registration</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sz w:val="20"/>
          <w:szCs w:val="20"/>
        </w:rPr>
        <w:t>in-situ process monitoring</w:t>
      </w:r>
      <w:r w:rsidR="00817F5B">
        <w:rPr>
          <w:rFonts w:ascii="Times New Roman" w:eastAsia="Times New Roman" w:hAnsi="Times New Roman" w:cs="Times New Roman"/>
          <w:sz w:val="20"/>
          <w:szCs w:val="20"/>
        </w:rPr>
        <w:t>, machine learning</w:t>
      </w:r>
    </w:p>
    <w:p w:rsidR="00AC28B6" w:rsidRDefault="00AC28B6">
      <w:pPr>
        <w:pBdr>
          <w:top w:val="nil"/>
          <w:left w:val="nil"/>
          <w:bottom w:val="single" w:sz="4" w:space="1" w:color="000000"/>
          <w:right w:val="nil"/>
          <w:between w:val="nil"/>
        </w:pBdr>
        <w:spacing w:before="240" w:after="240"/>
        <w:rPr>
          <w:rFonts w:ascii="Times New Roman" w:eastAsia="Times New Roman" w:hAnsi="Times New Roman" w:cs="Times New Roman"/>
          <w:color w:val="000000"/>
          <w:sz w:val="20"/>
          <w:szCs w:val="20"/>
        </w:rPr>
        <w:sectPr w:rsidR="00AC28B6">
          <w:footerReference w:type="default" r:id="rId7"/>
          <w:pgSz w:w="11906" w:h="16838"/>
          <w:pgMar w:top="1440" w:right="1440" w:bottom="1440" w:left="1440" w:header="706" w:footer="706" w:gutter="0"/>
          <w:pgNumType w:start="1"/>
          <w:cols w:space="720"/>
        </w:sectPr>
      </w:pPr>
    </w:p>
    <w:p w:rsidR="00AC28B6" w:rsidRDefault="00413A1A">
      <w:pPr>
        <w:pBdr>
          <w:top w:val="nil"/>
          <w:left w:val="nil"/>
          <w:bottom w:val="nil"/>
          <w:right w:val="nil"/>
          <w:between w:val="nil"/>
        </w:pBdr>
        <w:spacing w:before="200" w:after="120"/>
        <w:rPr>
          <w:b/>
          <w:color w:val="000000"/>
        </w:rPr>
      </w:pPr>
      <w:r>
        <w:rPr>
          <w:b/>
          <w:color w:val="000000"/>
        </w:rPr>
        <w:t>1. Introduction</w:t>
      </w:r>
    </w:p>
    <w:p w:rsidR="00AC28B6" w:rsidRDefault="00413A1A">
      <w:pPr>
        <w:spacing w:after="0" w:line="240" w:lineRule="auto"/>
        <w:ind w:firstLine="27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Additive Manufacturing (AM) is a processing technique that enables users to manufacture complex geometries from digital part files [1]. The opportunity to eliminate part-specific tooling and consolidate a multi-part system into a single complex part makes AM attractive for several industries [2]. Laser-Powder Bed Fusion (L-PBF) is a form of AM that is the layer-by-layer fusing of metal powders into a desired geometry by exposure to a laser [3]. L-PBF is of particular interest to the aerospace and biomedical industries having been demonstrated on commonly utilized nickel, titanium, and aluminum alloys [4].</w:t>
      </w:r>
    </w:p>
    <w:p w:rsidR="00AC28B6" w:rsidRDefault="00413A1A">
      <w:pPr>
        <w:spacing w:after="0" w:line="240" w:lineRule="auto"/>
        <w:ind w:firstLine="27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However, there are barriers in quality and reproducibility that must be overcome to increase widespread use of L-PBF in critical parts. </w:t>
      </w:r>
      <w:r w:rsidR="00C7264B">
        <w:rPr>
          <w:rFonts w:ascii="Times New Roman" w:eastAsia="Times New Roman" w:hAnsi="Times New Roman" w:cs="Times New Roman"/>
          <w:sz w:val="20"/>
          <w:szCs w:val="20"/>
        </w:rPr>
        <w:t>Multiple common defect classes</w:t>
      </w:r>
      <w:r>
        <w:rPr>
          <w:rFonts w:ascii="Times New Roman" w:eastAsia="Times New Roman" w:hAnsi="Times New Roman" w:cs="Times New Roman"/>
          <w:sz w:val="20"/>
          <w:szCs w:val="20"/>
        </w:rPr>
        <w:t xml:space="preserve"> arise during L-PBF builds. </w:t>
      </w:r>
      <w:r w:rsidR="00C7264B">
        <w:rPr>
          <w:rFonts w:ascii="Times New Roman" w:eastAsia="Times New Roman" w:hAnsi="Times New Roman" w:cs="Times New Roman"/>
          <w:sz w:val="20"/>
          <w:szCs w:val="20"/>
        </w:rPr>
        <w:t>Incomplete fusing between tracks or layers caused by process instability or improper process parameters [5] causes lack of fusion (LoF) porosity</w:t>
      </w:r>
      <w:r>
        <w:rPr>
          <w:rFonts w:ascii="Times New Roman" w:eastAsia="Times New Roman" w:hAnsi="Times New Roman" w:cs="Times New Roman"/>
          <w:sz w:val="20"/>
          <w:szCs w:val="20"/>
        </w:rPr>
        <w:t xml:space="preserve">. LoF flaws severely </w:t>
      </w:r>
      <w:r w:rsidR="00C7264B">
        <w:rPr>
          <w:rFonts w:ascii="Times New Roman" w:eastAsia="Times New Roman" w:hAnsi="Times New Roman" w:cs="Times New Roman"/>
          <w:sz w:val="20"/>
          <w:szCs w:val="20"/>
        </w:rPr>
        <w:t>affect</w:t>
      </w:r>
      <w:r w:rsidR="00C7264B">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 xml:space="preserve">the fatigue and fracture resistance of parts by creating crack initiation and growth sites [6,7]. Keyhole porosity is another defect common to L-PBF caused by excessive penetration of the laser, due to either too high laser power or too slow scan speeds [8,9]. Porosity may also form due to gasses trapped within the melt [10,11]. Finally, cracking can occur due to thermal stresses developed of the nonuniform and extreme heating and cooling rates during the printing process. Beyond defects, the microstructure of L-PBF parts is also susceptible to anisotropy due to the epitaxial growth of grains [12]. This inherent texture leads to anisotropic mechanical properties, which could be detrimental in a loaded part. </w:t>
      </w:r>
    </w:p>
    <w:p w:rsidR="00AC28B6" w:rsidRDefault="00413A1A">
      <w:pPr>
        <w:spacing w:after="0" w:line="240" w:lineRule="auto"/>
        <w:ind w:firstLine="27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Many of these defects occur within or between individual melt tracks, making in-process monitoring of the melt pool integral to the understanding of where they form during the process [3].  In 2013 the US National Institute of Standards and Technology identified in-situ data acquisition as a priority area of research and development and a crucial barrier to AM implementation [13]. A majority of the early research of in-situ inspection of L-PBF uses an in-line camera set-up. In Berumen et al.’s work, electromagnetic radiation emitted by the melt pool was transmitted and then a camera was used to measure the dimensions of the melt pool [14]. Clijsters et al. developed a system using a data processing algorithm to find material discontinuities caused by process failure [15]. A similar approach was performed by Furumoto et al. while investigating the effect of altering powder layer thickness by assembling a Photoron FASTCAM SA5 model 1300K C2 high-speed camera onto a laser-PBF machine [16].</w:t>
      </w:r>
    </w:p>
    <w:p w:rsidR="00AC28B6" w:rsidRDefault="00413A1A">
      <w:pPr>
        <w:spacing w:after="0" w:line="240" w:lineRule="auto"/>
        <w:ind w:firstLine="27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An additional benefit of in-process monitoring, if it can be used to identify important structural features robustly, is that it is obtained during the build process and may alleviate the need for expensive or time-consuming post build inspection (i.e. computed tomography). The goal of this work is to investigate machine learning methods for extracting features and patterns within the in process monitoring data that correlate with defects observed in traditional post build inspection. </w:t>
      </w:r>
    </w:p>
    <w:p w:rsidR="000629DA" w:rsidRDefault="000629DA">
      <w:pPr>
        <w:pBdr>
          <w:top w:val="nil"/>
          <w:left w:val="nil"/>
          <w:bottom w:val="nil"/>
          <w:right w:val="nil"/>
          <w:between w:val="nil"/>
        </w:pBdr>
        <w:spacing w:before="200" w:after="120"/>
        <w:rPr>
          <w:b/>
          <w:color w:val="000000"/>
        </w:rPr>
      </w:pPr>
      <w:r>
        <w:rPr>
          <w:b/>
          <w:color w:val="000000"/>
        </w:rPr>
        <w:lastRenderedPageBreak/>
        <w:t>2. Experiment Overview</w:t>
      </w:r>
    </w:p>
    <w:p w:rsidR="000629DA" w:rsidRPr="00044702" w:rsidRDefault="000629DA" w:rsidP="000629DA">
      <w:pPr>
        <w:spacing w:after="0" w:line="240" w:lineRule="auto"/>
        <w:ind w:firstLine="270"/>
        <w:jc w:val="both"/>
        <w:rPr>
          <w:rFonts w:ascii="Times New Roman" w:eastAsia="Times New Roman" w:hAnsi="Times New Roman" w:cs="Times New Roman"/>
          <w:sz w:val="20"/>
          <w:szCs w:val="20"/>
        </w:rPr>
      </w:pPr>
      <w:r w:rsidRPr="00044702">
        <w:rPr>
          <w:rFonts w:ascii="Times New Roman" w:eastAsia="Cardo" w:hAnsi="Times New Roman" w:cs="Times New Roman"/>
          <w:sz w:val="20"/>
          <w:szCs w:val="20"/>
        </w:rPr>
        <w:t xml:space="preserve">A Concept Laser M2 ML-PBF </w:t>
      </w:r>
      <w:r w:rsidR="00660C1D">
        <w:rPr>
          <w:rFonts w:ascii="Times New Roman" w:eastAsia="Cardo" w:hAnsi="Times New Roman" w:cs="Times New Roman"/>
          <w:sz w:val="20"/>
          <w:szCs w:val="20"/>
        </w:rPr>
        <w:t>system</w:t>
      </w:r>
      <w:r w:rsidRPr="00044702">
        <w:rPr>
          <w:rFonts w:ascii="Times New Roman" w:eastAsia="Cardo" w:hAnsi="Times New Roman" w:cs="Times New Roman"/>
          <w:sz w:val="20"/>
          <w:szCs w:val="20"/>
        </w:rPr>
        <w:t xml:space="preserve"> equipped with dual 400-watt continuous wave Nd: YAG lasers (1064 nm wavelength) was used to manufacture the specimens for this study. Samples of nickel-base superalloy IN718 were manufactured in a nitrogen environment utilizing a laser power of 350W, slice thickness of 50μm, hatch spacing of 130μm, spot size of 175μm, and laser speed of 1000 mm∙s</w:t>
      </w:r>
      <w:r w:rsidRPr="00044702">
        <w:rPr>
          <w:rFonts w:ascii="Times New Roman" w:eastAsia="Times New Roman" w:hAnsi="Times New Roman" w:cs="Times New Roman"/>
          <w:sz w:val="20"/>
          <w:szCs w:val="20"/>
          <w:vertAlign w:val="superscript"/>
        </w:rPr>
        <w:t>-1</w:t>
      </w:r>
      <w:r w:rsidRPr="00044702">
        <w:rPr>
          <w:rFonts w:ascii="Times New Roman" w:eastAsia="Times New Roman" w:hAnsi="Times New Roman" w:cs="Times New Roman"/>
          <w:sz w:val="20"/>
          <w:szCs w:val="20"/>
        </w:rPr>
        <w:t xml:space="preserve">. </w:t>
      </w:r>
      <w:r w:rsidR="00660C1D" w:rsidRPr="00044702">
        <w:rPr>
          <w:rFonts w:ascii="Times New Roman" w:eastAsia="Cardo" w:hAnsi="Times New Roman" w:cs="Times New Roman"/>
          <w:sz w:val="20"/>
          <w:szCs w:val="20"/>
        </w:rPr>
        <w:t xml:space="preserve">The Concept Laser M2 has gas flow parallel to the recoating direction and </w:t>
      </w:r>
      <w:r w:rsidR="00C7264B">
        <w:rPr>
          <w:rFonts w:ascii="Times New Roman" w:eastAsia="Cardo" w:hAnsi="Times New Roman" w:cs="Times New Roman"/>
          <w:sz w:val="20"/>
          <w:szCs w:val="20"/>
        </w:rPr>
        <w:t>i</w:t>
      </w:r>
      <w:r w:rsidR="00660C1D" w:rsidRPr="00044702">
        <w:rPr>
          <w:rFonts w:ascii="Times New Roman" w:eastAsia="Cardo" w:hAnsi="Times New Roman" w:cs="Times New Roman"/>
          <w:sz w:val="20"/>
          <w:szCs w:val="20"/>
        </w:rPr>
        <w:t xml:space="preserve">s controlled as a function of percentage of total gas flow available and chamber oxygen content. </w:t>
      </w:r>
      <w:r w:rsidRPr="00044702">
        <w:rPr>
          <w:rFonts w:ascii="Times New Roman" w:eastAsia="Times New Roman" w:hAnsi="Times New Roman" w:cs="Times New Roman"/>
          <w:sz w:val="20"/>
          <w:szCs w:val="20"/>
        </w:rPr>
        <w:t xml:space="preserve">A series of 12 cylinders, 6mm in diameter were built. Within each cylinder, </w:t>
      </w:r>
      <w:r w:rsidR="00C7264B">
        <w:rPr>
          <w:rFonts w:ascii="Times New Roman" w:eastAsia="Times New Roman" w:hAnsi="Times New Roman" w:cs="Times New Roman"/>
          <w:sz w:val="20"/>
          <w:szCs w:val="20"/>
        </w:rPr>
        <w:t>five</w:t>
      </w:r>
      <w:r w:rsidRPr="00044702">
        <w:rPr>
          <w:rFonts w:ascii="Times New Roman" w:eastAsia="Times New Roman" w:hAnsi="Times New Roman" w:cs="Times New Roman"/>
          <w:sz w:val="20"/>
          <w:szCs w:val="20"/>
        </w:rPr>
        <w:t xml:space="preserve"> defective regions were implanted at regular intervals along the build height using unfavorable process parameters, which had been previously observed to produce lack of fusion defects. The defective regions were square inserts and ranged in size from 0.25mm to 4mm on edge. The thickness of the defective inserts ranged from 200μm to 600μm. All of the cylinders were monitored in-process and had CT collected after completion of the build. </w:t>
      </w:r>
      <w:r>
        <w:rPr>
          <w:rFonts w:ascii="Times New Roman" w:eastAsia="Times New Roman" w:hAnsi="Times New Roman" w:cs="Times New Roman"/>
          <w:sz w:val="20"/>
          <w:szCs w:val="20"/>
        </w:rPr>
        <w:t xml:space="preserve">Figure </w:t>
      </w:r>
      <w:r w:rsidR="00A01B19">
        <w:rPr>
          <w:rFonts w:ascii="Times New Roman" w:eastAsia="Times New Roman" w:hAnsi="Times New Roman" w:cs="Times New Roman"/>
          <w:sz w:val="20"/>
          <w:szCs w:val="20"/>
        </w:rPr>
        <w:t>1</w:t>
      </w:r>
      <w:r w:rsidRPr="00044702">
        <w:rPr>
          <w:rFonts w:ascii="Times New Roman" w:eastAsia="Times New Roman" w:hAnsi="Times New Roman" w:cs="Times New Roman"/>
          <w:sz w:val="20"/>
          <w:szCs w:val="20"/>
        </w:rPr>
        <w:t xml:space="preserve"> shows a rendering of one of the cylinders with implanted defective regions.</w:t>
      </w:r>
      <w:r w:rsidR="00660C1D">
        <w:rPr>
          <w:rFonts w:ascii="Times New Roman" w:eastAsia="Times New Roman" w:hAnsi="Times New Roman" w:cs="Times New Roman"/>
          <w:sz w:val="20"/>
          <w:szCs w:val="20"/>
        </w:rPr>
        <w:t xml:space="preserve"> The intentional insertion of defects is part of a larger program for developing methods for the controlled generation of representative LPBF flaws. This build focused on generation of lack of fusion porosity sheets, which have been observed in previous builds [17]. These defect sheets have been seen to be as large as multiple millimeters, though individual defects are significantly smaller (~50-150 µm). </w:t>
      </w:r>
      <w:r w:rsidR="002C0078">
        <w:rPr>
          <w:rFonts w:ascii="Times New Roman" w:eastAsia="Times New Roman" w:hAnsi="Times New Roman" w:cs="Times New Roman"/>
          <w:sz w:val="20"/>
          <w:szCs w:val="20"/>
        </w:rPr>
        <w:t>The defect sheets also exhibit high amounts of heterogeneity in the local void distribution. The larger goal of the controlled generation of representative flaws is to enable studies on the effect of defects on mechanical properties, the probability of post build detection of defects, and the ability to use in-process monitoring sensors to predict defects (the focus of this paper).</w:t>
      </w:r>
    </w:p>
    <w:p w:rsidR="000629DA" w:rsidRDefault="000629DA" w:rsidP="000629DA">
      <w:pPr>
        <w:spacing w:after="0" w:line="240" w:lineRule="auto"/>
        <w:ind w:firstLine="270"/>
        <w:jc w:val="both"/>
        <w:rPr>
          <w:rFonts w:ascii="Times New Roman" w:eastAsia="Times New Roman" w:hAnsi="Times New Roman" w:cs="Times New Roman"/>
          <w:sz w:val="20"/>
          <w:szCs w:val="20"/>
        </w:rPr>
      </w:pPr>
    </w:p>
    <w:p w:rsidR="000629DA" w:rsidRDefault="000629DA" w:rsidP="000629DA">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114300" distB="114300" distL="114300" distR="114300" wp14:anchorId="4CD17557" wp14:editId="1A8F5F94">
            <wp:extent cx="4279900" cy="1015104"/>
            <wp:effectExtent l="0" t="0" r="0" b="0"/>
            <wp:docPr id="2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8"/>
                    <a:srcRect/>
                    <a:stretch>
                      <a:fillRect/>
                    </a:stretch>
                  </pic:blipFill>
                  <pic:spPr>
                    <a:xfrm>
                      <a:off x="0" y="0"/>
                      <a:ext cx="4279900" cy="1015104"/>
                    </a:xfrm>
                    <a:prstGeom prst="rect">
                      <a:avLst/>
                    </a:prstGeom>
                    <a:ln/>
                  </pic:spPr>
                </pic:pic>
              </a:graphicData>
            </a:graphic>
          </wp:inline>
        </w:drawing>
      </w:r>
    </w:p>
    <w:p w:rsidR="000629DA" w:rsidRDefault="000629DA" w:rsidP="000629DA">
      <w:pPr>
        <w:spacing w:after="0" w:line="240" w:lineRule="auto"/>
        <w:jc w:val="both"/>
        <w:rPr>
          <w:rFonts w:ascii="Times New Roman" w:eastAsia="Times New Roman" w:hAnsi="Times New Roman" w:cs="Times New Roman"/>
          <w:sz w:val="20"/>
          <w:szCs w:val="20"/>
        </w:rPr>
      </w:pPr>
      <w:r w:rsidRPr="00C5519B">
        <w:rPr>
          <w:rFonts w:ascii="Times New Roman" w:eastAsia="Times New Roman" w:hAnsi="Times New Roman" w:cs="Times New Roman"/>
          <w:sz w:val="20"/>
          <w:szCs w:val="20"/>
        </w:rPr>
        <w:t xml:space="preserve">Figure </w:t>
      </w:r>
      <w:r w:rsidR="00A01B19">
        <w:rPr>
          <w:rFonts w:ascii="Times New Roman" w:eastAsia="Times New Roman" w:hAnsi="Times New Roman" w:cs="Times New Roman"/>
          <w:sz w:val="20"/>
          <w:szCs w:val="20"/>
        </w:rPr>
        <w:t>1</w:t>
      </w:r>
      <w:r w:rsidRPr="00C5519B">
        <w:rPr>
          <w:rFonts w:ascii="Times New Roman" w:eastAsia="Times New Roman" w:hAnsi="Times New Roman" w:cs="Times New Roman"/>
          <w:sz w:val="20"/>
          <w:szCs w:val="20"/>
        </w:rPr>
        <w:t>:</w:t>
      </w:r>
      <w:r>
        <w:rPr>
          <w:rFonts w:ascii="Times New Roman" w:eastAsia="Times New Roman" w:hAnsi="Times New Roman" w:cs="Times New Roman"/>
          <w:b/>
          <w:sz w:val="20"/>
          <w:szCs w:val="20"/>
        </w:rPr>
        <w:t xml:space="preserve"> </w:t>
      </w:r>
      <w:r>
        <w:rPr>
          <w:rFonts w:ascii="Times New Roman" w:eastAsia="Times New Roman" w:hAnsi="Times New Roman" w:cs="Times New Roman"/>
          <w:sz w:val="20"/>
          <w:szCs w:val="20"/>
        </w:rPr>
        <w:t xml:space="preserve">Schematic of cylindrical specimen with intentional defective regions implanted to ensure the presence of controlled voids. </w:t>
      </w:r>
    </w:p>
    <w:p w:rsidR="000629DA" w:rsidRPr="00CD0FF9" w:rsidRDefault="000629DA" w:rsidP="00CD0FF9">
      <w:pPr>
        <w:pBdr>
          <w:top w:val="nil"/>
          <w:left w:val="nil"/>
          <w:bottom w:val="nil"/>
          <w:right w:val="nil"/>
          <w:between w:val="nil"/>
        </w:pBdr>
        <w:spacing w:before="200" w:after="120"/>
        <w:jc w:val="both"/>
        <w:rPr>
          <w:color w:val="000000"/>
        </w:rPr>
      </w:pPr>
      <w:r>
        <w:rPr>
          <w:rFonts w:ascii="Times New Roman" w:eastAsia="Times New Roman" w:hAnsi="Times New Roman" w:cs="Times New Roman"/>
          <w:sz w:val="20"/>
          <w:szCs w:val="20"/>
        </w:rPr>
        <w:t xml:space="preserve">Inserting defects by intentionally manipulating processing conditions makes detecting the initiation of the defects problematic, because all the in-process monitoring points within the defective regions show far from nominal response. However, all of the layers printed with nominal processing conditions should exhibit similar in-process monitoring signals, unless something about the material below the layer is substantially different </w:t>
      </w:r>
      <w:r w:rsidR="00C7264B">
        <w:rPr>
          <w:rFonts w:ascii="Times New Roman" w:eastAsia="Times New Roman" w:hAnsi="Times New Roman" w:cs="Times New Roman"/>
          <w:sz w:val="20"/>
          <w:szCs w:val="20"/>
        </w:rPr>
        <w:t>from</w:t>
      </w:r>
      <w:r>
        <w:rPr>
          <w:rFonts w:ascii="Times New Roman" w:eastAsia="Times New Roman" w:hAnsi="Times New Roman" w:cs="Times New Roman"/>
          <w:sz w:val="20"/>
          <w:szCs w:val="20"/>
        </w:rPr>
        <w:t xml:space="preserve"> what is typical. It is our hypothesis that nominal print layers directly above the defective regions will exhibit fundamentally different in-process monitoring responses, which can be used to detect if low quality material is directly below a given layer. One concern with this experiment is that the defects are physically separated from the location of the in-process measurement that is affected by them and this may create challenges with the regression method. </w:t>
      </w:r>
      <w:r w:rsidR="002C0078">
        <w:rPr>
          <w:rFonts w:ascii="Times New Roman" w:eastAsia="Times New Roman" w:hAnsi="Times New Roman" w:cs="Times New Roman"/>
          <w:sz w:val="20"/>
          <w:szCs w:val="20"/>
        </w:rPr>
        <w:t xml:space="preserve">We will discuss how we handle this in the section on CT data processing. </w:t>
      </w:r>
    </w:p>
    <w:p w:rsidR="00AC28B6" w:rsidRDefault="00705F45">
      <w:pPr>
        <w:pBdr>
          <w:top w:val="nil"/>
          <w:left w:val="nil"/>
          <w:bottom w:val="nil"/>
          <w:right w:val="nil"/>
          <w:between w:val="nil"/>
        </w:pBdr>
        <w:spacing w:before="200" w:after="120"/>
        <w:rPr>
          <w:b/>
          <w:color w:val="000000"/>
        </w:rPr>
      </w:pPr>
      <w:r>
        <w:rPr>
          <w:b/>
          <w:color w:val="000000"/>
        </w:rPr>
        <w:t>3</w:t>
      </w:r>
      <w:r w:rsidR="00413A1A">
        <w:rPr>
          <w:b/>
          <w:color w:val="000000"/>
        </w:rPr>
        <w:t xml:space="preserve">. </w:t>
      </w:r>
      <w:r w:rsidR="00413A1A">
        <w:rPr>
          <w:b/>
        </w:rPr>
        <w:t>Data Collection, Processing, Featurization, and Machine Learning Workflow</w:t>
      </w:r>
    </w:p>
    <w:p w:rsidR="00AC28B6" w:rsidRDefault="00413A1A">
      <w:pPr>
        <w:pBdr>
          <w:top w:val="nil"/>
          <w:left w:val="nil"/>
          <w:bottom w:val="nil"/>
          <w:right w:val="nil"/>
          <w:between w:val="nil"/>
        </w:pBdr>
        <w:spacing w:before="200" w:after="120"/>
        <w:ind w:firstLine="27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In this work, we present a framework for </w:t>
      </w:r>
      <w:r>
        <w:rPr>
          <w:rFonts w:ascii="Times New Roman" w:eastAsia="Times New Roman" w:hAnsi="Times New Roman" w:cs="Times New Roman"/>
          <w:sz w:val="20"/>
          <w:szCs w:val="20"/>
        </w:rPr>
        <w:t xml:space="preserve">training a data-driven </w:t>
      </w:r>
      <w:r w:rsidR="00817F5B">
        <w:rPr>
          <w:rFonts w:ascii="Times New Roman" w:eastAsia="Times New Roman" w:hAnsi="Times New Roman" w:cs="Times New Roman"/>
          <w:sz w:val="20"/>
          <w:szCs w:val="20"/>
        </w:rPr>
        <w:t xml:space="preserve">statistical </w:t>
      </w:r>
      <w:r>
        <w:rPr>
          <w:rFonts w:ascii="Times New Roman" w:eastAsia="Times New Roman" w:hAnsi="Times New Roman" w:cs="Times New Roman"/>
          <w:sz w:val="20"/>
          <w:szCs w:val="20"/>
        </w:rPr>
        <w:t xml:space="preserve">model that can predict local void likelihood given in-situ process monitoring data. The framework involves collecting in-situ process monitoring data, as well as computed tomography (CT) data on the same samples, registering and </w:t>
      </w:r>
      <w:r w:rsidR="00817F5B">
        <w:rPr>
          <w:rFonts w:ascii="Times New Roman" w:eastAsia="Times New Roman" w:hAnsi="Times New Roman" w:cs="Times New Roman"/>
          <w:sz w:val="20"/>
          <w:szCs w:val="20"/>
        </w:rPr>
        <w:t xml:space="preserve">combining </w:t>
      </w:r>
      <w:r>
        <w:rPr>
          <w:rFonts w:ascii="Times New Roman" w:eastAsia="Times New Roman" w:hAnsi="Times New Roman" w:cs="Times New Roman"/>
          <w:sz w:val="20"/>
          <w:szCs w:val="20"/>
        </w:rPr>
        <w:t>the data streams</w:t>
      </w:r>
      <w:r w:rsidR="00817F5B">
        <w:rPr>
          <w:rFonts w:ascii="Times New Roman" w:eastAsia="Times New Roman" w:hAnsi="Times New Roman" w:cs="Times New Roman"/>
          <w:sz w:val="20"/>
          <w:szCs w:val="20"/>
        </w:rPr>
        <w:t xml:space="preserve"> on a common grid</w:t>
      </w:r>
      <w:r>
        <w:rPr>
          <w:rFonts w:ascii="Times New Roman" w:eastAsia="Times New Roman" w:hAnsi="Times New Roman" w:cs="Times New Roman"/>
          <w:sz w:val="20"/>
          <w:szCs w:val="20"/>
        </w:rPr>
        <w:t xml:space="preserve">, extracting statistical features from the datasets and using </w:t>
      </w:r>
      <w:r w:rsidR="00817F5B">
        <w:rPr>
          <w:rFonts w:ascii="Times New Roman" w:eastAsia="Times New Roman" w:hAnsi="Times New Roman" w:cs="Times New Roman"/>
          <w:sz w:val="20"/>
          <w:szCs w:val="20"/>
        </w:rPr>
        <w:t>regression</w:t>
      </w:r>
      <w:r>
        <w:rPr>
          <w:rFonts w:ascii="Times New Roman" w:eastAsia="Times New Roman" w:hAnsi="Times New Roman" w:cs="Times New Roman"/>
          <w:sz w:val="20"/>
          <w:szCs w:val="20"/>
        </w:rPr>
        <w:t xml:space="preserve"> methods for extracting relationships between the features. The following subsections will discuss the collection, processing, featurization, </w:t>
      </w:r>
      <w:r w:rsidR="00817F5B">
        <w:rPr>
          <w:rFonts w:ascii="Times New Roman" w:eastAsia="Times New Roman" w:hAnsi="Times New Roman" w:cs="Times New Roman"/>
          <w:sz w:val="20"/>
          <w:szCs w:val="20"/>
        </w:rPr>
        <w:t xml:space="preserve">and statistical </w:t>
      </w:r>
      <w:r>
        <w:rPr>
          <w:rFonts w:ascii="Times New Roman" w:eastAsia="Times New Roman" w:hAnsi="Times New Roman" w:cs="Times New Roman"/>
          <w:sz w:val="20"/>
          <w:szCs w:val="20"/>
        </w:rPr>
        <w:t>learning methods employed.</w:t>
      </w:r>
      <w:r>
        <w:rPr>
          <w:rFonts w:ascii="Times New Roman" w:eastAsia="Times New Roman" w:hAnsi="Times New Roman" w:cs="Times New Roman"/>
          <w:color w:val="000000"/>
          <w:sz w:val="20"/>
          <w:szCs w:val="20"/>
        </w:rPr>
        <w:t xml:space="preserve"> </w:t>
      </w:r>
    </w:p>
    <w:p w:rsidR="00AC28B6" w:rsidRDefault="00705F45">
      <w:pPr>
        <w:pBdr>
          <w:top w:val="nil"/>
          <w:left w:val="nil"/>
          <w:bottom w:val="nil"/>
          <w:right w:val="nil"/>
          <w:between w:val="nil"/>
        </w:pBdr>
        <w:spacing w:before="200" w:after="120"/>
        <w:rPr>
          <w:i/>
        </w:rPr>
      </w:pPr>
      <w:r>
        <w:rPr>
          <w:i/>
          <w:color w:val="000000"/>
        </w:rPr>
        <w:t>3</w:t>
      </w:r>
      <w:r w:rsidR="00413A1A">
        <w:rPr>
          <w:i/>
          <w:color w:val="000000"/>
        </w:rPr>
        <w:t xml:space="preserve">.1 </w:t>
      </w:r>
      <w:r w:rsidR="00413A1A">
        <w:rPr>
          <w:i/>
        </w:rPr>
        <w:t>Data Collection</w:t>
      </w:r>
    </w:p>
    <w:p w:rsidR="00AC28B6" w:rsidRDefault="00705F45">
      <w:pPr>
        <w:pBdr>
          <w:top w:val="nil"/>
          <w:left w:val="nil"/>
          <w:bottom w:val="nil"/>
          <w:right w:val="nil"/>
          <w:between w:val="nil"/>
        </w:pBdr>
        <w:spacing w:before="200" w:after="120"/>
        <w:rPr>
          <w:i/>
        </w:rPr>
      </w:pPr>
      <w:r>
        <w:rPr>
          <w:i/>
        </w:rPr>
        <w:t>3</w:t>
      </w:r>
      <w:r w:rsidR="00413A1A">
        <w:rPr>
          <w:i/>
        </w:rPr>
        <w:t>.1.1 In-Process Monitoring Collection</w:t>
      </w:r>
    </w:p>
    <w:p w:rsidR="00AC28B6" w:rsidRDefault="00413A1A">
      <w:pPr>
        <w:spacing w:after="0" w:line="240" w:lineRule="auto"/>
        <w:ind w:firstLine="27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Many of the melt pool monitoring tools that are available today use a coaxial monitoring technique. The hardware records data at high frequency (&gt;10 kHz); however, it is often left up to the user to analyze and draw conclusions from the data [</w:t>
      </w:r>
      <w:r w:rsidR="002470F7">
        <w:rPr>
          <w:rFonts w:ascii="Times New Roman" w:eastAsia="Times New Roman" w:hAnsi="Times New Roman" w:cs="Times New Roman"/>
          <w:sz w:val="20"/>
          <w:szCs w:val="20"/>
        </w:rPr>
        <w:t>18</w:t>
      </w:r>
      <w:r>
        <w:rPr>
          <w:rFonts w:ascii="Times New Roman" w:eastAsia="Times New Roman" w:hAnsi="Times New Roman" w:cs="Times New Roman"/>
          <w:sz w:val="20"/>
          <w:szCs w:val="20"/>
        </w:rPr>
        <w:t xml:space="preserve">]. Software for feedback control and quality assurance has largely not been developed and widely accepted. Processing and analysis of the in-situ data stream(s) is a very time-consuming task for the user to evaluate the data. Fisher et al. bridged the knowledge gap by presenting a way to correlate sensor data to key melt pool size metric in hopes to lessen the difficulty of picking out anomalies. In addition, a coaxial melt pool monitoring (MPM) system </w:t>
      </w:r>
      <w:r>
        <w:rPr>
          <w:rFonts w:ascii="Times New Roman" w:eastAsia="Times New Roman" w:hAnsi="Times New Roman" w:cs="Times New Roman"/>
          <w:sz w:val="20"/>
          <w:szCs w:val="20"/>
        </w:rPr>
        <w:lastRenderedPageBreak/>
        <w:t>was used for online qualification originally developed by Kruth et al [</w:t>
      </w:r>
      <w:r w:rsidR="00493AA1">
        <w:rPr>
          <w:rFonts w:ascii="Times New Roman" w:eastAsia="Times New Roman" w:hAnsi="Times New Roman" w:cs="Times New Roman"/>
          <w:sz w:val="20"/>
          <w:szCs w:val="20"/>
        </w:rPr>
        <w:t>19</w:t>
      </w:r>
      <w:r>
        <w:rPr>
          <w:rFonts w:ascii="Times New Roman" w:eastAsia="Times New Roman" w:hAnsi="Times New Roman" w:cs="Times New Roman"/>
          <w:sz w:val="20"/>
          <w:szCs w:val="20"/>
        </w:rPr>
        <w:t xml:space="preserve">]. Toepell et al. utilized similar collection equipment in describing the QM Meltpool system. Concept Laser GmbH developed </w:t>
      </w:r>
      <w:r w:rsidR="00FF543F">
        <w:rPr>
          <w:rFonts w:ascii="Times New Roman" w:eastAsia="Times New Roman" w:hAnsi="Times New Roman" w:cs="Times New Roman"/>
          <w:sz w:val="20"/>
          <w:szCs w:val="20"/>
        </w:rPr>
        <w:t xml:space="preserve">a </w:t>
      </w:r>
      <w:r>
        <w:rPr>
          <w:rFonts w:ascii="Times New Roman" w:eastAsia="Times New Roman" w:hAnsi="Times New Roman" w:cs="Times New Roman"/>
          <w:sz w:val="20"/>
          <w:szCs w:val="20"/>
        </w:rPr>
        <w:t>position-related, real-time monitoring system for their LaserCUSING process, called QM Meltpool 3D [</w:t>
      </w:r>
      <w:r w:rsidR="00493AA1">
        <w:rPr>
          <w:rFonts w:ascii="Times New Roman" w:eastAsia="Times New Roman" w:hAnsi="Times New Roman" w:cs="Times New Roman"/>
          <w:sz w:val="20"/>
          <w:szCs w:val="20"/>
        </w:rPr>
        <w:t>20</w:t>
      </w:r>
      <w:r>
        <w:rPr>
          <w:rFonts w:ascii="Times New Roman" w:eastAsia="Times New Roman" w:hAnsi="Times New Roman" w:cs="Times New Roman"/>
          <w:sz w:val="20"/>
          <w:szCs w:val="20"/>
        </w:rPr>
        <w:t xml:space="preserve">, </w:t>
      </w:r>
      <w:r w:rsidR="00493AA1">
        <w:rPr>
          <w:rFonts w:ascii="Times New Roman" w:eastAsia="Times New Roman" w:hAnsi="Times New Roman" w:cs="Times New Roman"/>
          <w:sz w:val="20"/>
          <w:szCs w:val="20"/>
        </w:rPr>
        <w:t>21</w:t>
      </w:r>
      <w:r>
        <w:rPr>
          <w:rFonts w:ascii="Times New Roman" w:eastAsia="Times New Roman" w:hAnsi="Times New Roman" w:cs="Times New Roman"/>
          <w:sz w:val="20"/>
          <w:szCs w:val="20"/>
        </w:rPr>
        <w:t xml:space="preserve">]. </w:t>
      </w:r>
      <w:r w:rsidR="005B2C48">
        <w:rPr>
          <w:rFonts w:ascii="Times New Roman" w:eastAsia="Times New Roman" w:hAnsi="Times New Roman" w:cs="Times New Roman"/>
          <w:sz w:val="20"/>
          <w:szCs w:val="20"/>
        </w:rPr>
        <w:t>T</w:t>
      </w:r>
      <w:r>
        <w:rPr>
          <w:rFonts w:ascii="Times New Roman" w:eastAsia="Times New Roman" w:hAnsi="Times New Roman" w:cs="Times New Roman"/>
          <w:sz w:val="20"/>
          <w:szCs w:val="20"/>
        </w:rPr>
        <w:t>he basic principle and appendant hardware of QM Meltpool 3D are shown</w:t>
      </w:r>
      <w:r w:rsidR="005B2C48">
        <w:rPr>
          <w:rFonts w:ascii="Times New Roman" w:eastAsia="Times New Roman" w:hAnsi="Times New Roman" w:cs="Times New Roman"/>
          <w:sz w:val="20"/>
          <w:szCs w:val="20"/>
        </w:rPr>
        <w:t xml:space="preserve"> in the supplementary material</w:t>
      </w:r>
      <w:r>
        <w:rPr>
          <w:rFonts w:ascii="Times New Roman" w:eastAsia="Times New Roman" w:hAnsi="Times New Roman" w:cs="Times New Roman"/>
          <w:sz w:val="20"/>
          <w:szCs w:val="20"/>
        </w:rPr>
        <w:t>.</w:t>
      </w:r>
    </w:p>
    <w:p w:rsidR="00AC28B6" w:rsidRDefault="00413A1A">
      <w:pPr>
        <w:spacing w:after="0" w:line="240" w:lineRule="auto"/>
        <w:ind w:firstLine="27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In QM Meltpool 3D, an infrared high-speed camera and photodiode are installed coaxial in the optical path of the L-PBF machine. An additional infrared translucent static optical mirror in the optical path between the laser source and the scanning system allows the on-axis detection of melt pool emissions. The QM Meltpool 3D system provides data points that consist of a </w:t>
      </w:r>
      <w:r w:rsidR="00C7264B">
        <w:rPr>
          <w:rFonts w:ascii="Times New Roman" w:eastAsia="Times New Roman" w:hAnsi="Times New Roman" w:cs="Times New Roman"/>
          <w:sz w:val="20"/>
          <w:szCs w:val="20"/>
        </w:rPr>
        <w:t>E</w:t>
      </w:r>
      <w:r w:rsidR="00C7264B">
        <w:rPr>
          <w:rFonts w:ascii="Times New Roman" w:eastAsia="Times New Roman" w:hAnsi="Times New Roman" w:cs="Times New Roman"/>
          <w:sz w:val="20"/>
          <w:szCs w:val="20"/>
        </w:rPr>
        <w:t xml:space="preserve">uclidean </w:t>
      </w:r>
      <w:r>
        <w:rPr>
          <w:rFonts w:ascii="Times New Roman" w:eastAsia="Times New Roman" w:hAnsi="Times New Roman" w:cs="Times New Roman"/>
          <w:sz w:val="20"/>
          <w:szCs w:val="20"/>
        </w:rPr>
        <w:t xml:space="preserve">coordinate, melt pool area, photodiode measured intensity, and laser TTL (on/off) value. The melt pool area as recorded by a high frame-rate thermal camera samples at a frequency of </w:t>
      </w:r>
      <w:r w:rsidR="000629DA">
        <w:rPr>
          <w:rFonts w:ascii="Times New Roman" w:eastAsia="Times New Roman" w:hAnsi="Times New Roman" w:cs="Times New Roman"/>
          <w:sz w:val="20"/>
          <w:szCs w:val="20"/>
        </w:rPr>
        <w:t xml:space="preserve">15 kHz </w:t>
      </w:r>
      <w:r>
        <w:rPr>
          <w:rFonts w:ascii="Times New Roman" w:eastAsia="Times New Roman" w:hAnsi="Times New Roman" w:cs="Times New Roman"/>
          <w:sz w:val="20"/>
          <w:szCs w:val="20"/>
        </w:rPr>
        <w:t xml:space="preserve">and provides a calculated area of the molten material at that </w:t>
      </w:r>
      <w:r w:rsidR="00FF543F">
        <w:rPr>
          <w:rFonts w:ascii="Times New Roman" w:eastAsia="Times New Roman" w:hAnsi="Times New Roman" w:cs="Times New Roman"/>
          <w:sz w:val="20"/>
          <w:szCs w:val="20"/>
        </w:rPr>
        <w:t>instant</w:t>
      </w:r>
      <w:r>
        <w:rPr>
          <w:rFonts w:ascii="Times New Roman" w:eastAsia="Times New Roman" w:hAnsi="Times New Roman" w:cs="Times New Roman"/>
          <w:sz w:val="20"/>
          <w:szCs w:val="20"/>
        </w:rPr>
        <w:t xml:space="preserve">.  </w:t>
      </w:r>
      <w:r w:rsidR="00FF543F">
        <w:rPr>
          <w:rFonts w:ascii="Times New Roman" w:eastAsia="Times New Roman" w:hAnsi="Times New Roman" w:cs="Times New Roman"/>
          <w:sz w:val="20"/>
          <w:szCs w:val="20"/>
        </w:rPr>
        <w:t xml:space="preserve">It should be noted that the thermal camera does not directly measure temperature, but the user has the ability to calibrate the thresholding value while viewing the melt pool live to establish the extents of the melt pool. The high-frame rate images have a pixel size of approximately 6 µm, which yields </w:t>
      </w:r>
      <w:r w:rsidR="009E70E9">
        <w:rPr>
          <w:rFonts w:ascii="Times New Roman" w:eastAsia="Times New Roman" w:hAnsi="Times New Roman" w:cs="Times New Roman"/>
          <w:sz w:val="20"/>
          <w:szCs w:val="20"/>
        </w:rPr>
        <w:t xml:space="preserve">&gt;20 pixels across the diameter of the melt pool, resulting in relatively good sensitivity to size and shape changes. </w:t>
      </w:r>
      <w:r>
        <w:rPr>
          <w:rFonts w:ascii="Times New Roman" w:eastAsia="Times New Roman" w:hAnsi="Times New Roman" w:cs="Times New Roman"/>
          <w:sz w:val="20"/>
          <w:szCs w:val="20"/>
        </w:rPr>
        <w:t xml:space="preserve">The photodiode samples at a frequency of </w:t>
      </w:r>
      <w:r w:rsidR="000629DA">
        <w:rPr>
          <w:rFonts w:ascii="Times New Roman" w:eastAsia="Times New Roman" w:hAnsi="Times New Roman" w:cs="Times New Roman"/>
          <w:sz w:val="20"/>
          <w:szCs w:val="20"/>
        </w:rPr>
        <w:t xml:space="preserve">50 kHz </w:t>
      </w:r>
      <w:r>
        <w:rPr>
          <w:rFonts w:ascii="Times New Roman" w:eastAsia="Times New Roman" w:hAnsi="Times New Roman" w:cs="Times New Roman"/>
          <w:sz w:val="20"/>
          <w:szCs w:val="20"/>
        </w:rPr>
        <w:t>and collects the intensity of light given off by the melt pool. The laser TTL parameter</w:t>
      </w:r>
      <w:r w:rsidR="000629DA">
        <w:rPr>
          <w:rFonts w:ascii="Times New Roman" w:eastAsia="Times New Roman" w:hAnsi="Times New Roman" w:cs="Times New Roman"/>
          <w:sz w:val="20"/>
          <w:szCs w:val="20"/>
        </w:rPr>
        <w:t>, also collected at 50 kHz,</w:t>
      </w:r>
      <w:r>
        <w:rPr>
          <w:rFonts w:ascii="Times New Roman" w:eastAsia="Times New Roman" w:hAnsi="Times New Roman" w:cs="Times New Roman"/>
          <w:sz w:val="20"/>
          <w:szCs w:val="20"/>
        </w:rPr>
        <w:t xml:space="preserve"> is an indication of whether the laser was on at that instance or not. This study does not include the photodiode data but it is still an important channel of data that can be incorporated in further analyses.  In order to focus only on the steady state process, all points in which the laser was off were removed.</w:t>
      </w:r>
    </w:p>
    <w:p w:rsidR="00AC28B6" w:rsidRDefault="00705F45">
      <w:pPr>
        <w:pBdr>
          <w:top w:val="nil"/>
          <w:left w:val="nil"/>
          <w:bottom w:val="nil"/>
          <w:right w:val="nil"/>
          <w:between w:val="nil"/>
        </w:pBdr>
        <w:spacing w:before="200" w:after="120"/>
        <w:rPr>
          <w:i/>
        </w:rPr>
      </w:pPr>
      <w:r>
        <w:rPr>
          <w:i/>
        </w:rPr>
        <w:t>3</w:t>
      </w:r>
      <w:r w:rsidR="00413A1A">
        <w:rPr>
          <w:i/>
        </w:rPr>
        <w:t>.1.2 Computed Tomography (CT) Collection</w:t>
      </w:r>
    </w:p>
    <w:p w:rsidR="00AC28B6" w:rsidRDefault="00413A1A">
      <w:pPr>
        <w:spacing w:before="240" w:after="0" w:line="240" w:lineRule="auto"/>
        <w:ind w:firstLine="27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After printing, it is often desired to inspect both for dimensional accuracy and for defects (i.e., voids or cracks).  CT is a common tool for non-destructively inspecting metallic components. CT is capable of quantifying measureable density gradients within parts, but has some limitations with respect to spatial resolution.  It can be difficult to investigate large volumes of material with high spatial resolution using laboratory-scale CT, since the volume of inspected material is coupled inversely to the spatial resolution.  Due to this limitation, surface roughness is difficult to quantify using CT, and small defects (&lt; 50µm) are often not detected in samples larger than a few cubic centimeters.  Further, the complex geometries that can be printed with additive manufacturing present significant difficulties for CT reconstruction.  The most common techniques for CT reconstruction, such as filtered back projection, often exhibit noticeable artifacts when applied to complex or highly anisotropic.  For this work, the relatively small LPBF samples were inspected using CT; the simple geometric form of the samples and the overall small volume allows for a reasonable spatial resolution (~13 µm</w:t>
      </w:r>
      <w:r w:rsidR="00AD74FC">
        <w:rPr>
          <w:rFonts w:ascii="Times New Roman" w:eastAsia="Times New Roman" w:hAnsi="Times New Roman" w:cs="Times New Roman"/>
          <w:sz w:val="20"/>
          <w:szCs w:val="20"/>
        </w:rPr>
        <w:t xml:space="preserve"> in all directions</w:t>
      </w:r>
      <w:r>
        <w:rPr>
          <w:rFonts w:ascii="Times New Roman" w:eastAsia="Times New Roman" w:hAnsi="Times New Roman" w:cs="Times New Roman"/>
          <w:sz w:val="20"/>
          <w:szCs w:val="20"/>
        </w:rPr>
        <w:t>) for inspecting the defects of interest.</w:t>
      </w:r>
    </w:p>
    <w:p w:rsidR="00AC28B6" w:rsidRDefault="00413A1A">
      <w:pPr>
        <w:spacing w:after="240" w:line="240" w:lineRule="auto"/>
        <w:ind w:firstLine="270"/>
        <w:jc w:val="both"/>
        <w:rPr>
          <w:rFonts w:ascii="Times New Roman" w:eastAsia="Times New Roman" w:hAnsi="Times New Roman" w:cs="Times New Roman"/>
          <w:sz w:val="18"/>
          <w:szCs w:val="18"/>
        </w:rPr>
      </w:pPr>
      <w:r>
        <w:rPr>
          <w:rFonts w:ascii="Times New Roman" w:eastAsia="Times New Roman" w:hAnsi="Times New Roman" w:cs="Times New Roman"/>
          <w:sz w:val="20"/>
          <w:szCs w:val="20"/>
        </w:rPr>
        <w:t xml:space="preserve">All CT data presented in this work was collected on a North Star Imaging System model X-7000 with 225kV micro focus and 450kV fine focus tubes. The system used a PerkinElmer 200 micron pixel pitch Digital Detector Array. The CT system uses a cone beam geometry and standard filtered backplane-based reconstruction. Subsequent data processing for void identification will be discussed in a later section. </w:t>
      </w:r>
    </w:p>
    <w:p w:rsidR="00AC28B6" w:rsidRDefault="00705F45">
      <w:pPr>
        <w:pBdr>
          <w:top w:val="nil"/>
          <w:left w:val="nil"/>
          <w:bottom w:val="nil"/>
          <w:right w:val="nil"/>
          <w:between w:val="nil"/>
        </w:pBdr>
        <w:spacing w:before="200" w:after="120"/>
        <w:rPr>
          <w:i/>
        </w:rPr>
      </w:pPr>
      <w:r>
        <w:rPr>
          <w:i/>
          <w:color w:val="000000"/>
        </w:rPr>
        <w:t>3</w:t>
      </w:r>
      <w:r w:rsidR="00413A1A">
        <w:rPr>
          <w:i/>
          <w:color w:val="000000"/>
        </w:rPr>
        <w:t xml:space="preserve">.2 </w:t>
      </w:r>
      <w:r w:rsidR="00413A1A">
        <w:rPr>
          <w:i/>
        </w:rPr>
        <w:t>Data Processing</w:t>
      </w:r>
    </w:p>
    <w:p w:rsidR="00AC28B6" w:rsidRDefault="00705F45">
      <w:pPr>
        <w:pBdr>
          <w:top w:val="nil"/>
          <w:left w:val="nil"/>
          <w:bottom w:val="nil"/>
          <w:right w:val="nil"/>
          <w:between w:val="nil"/>
        </w:pBdr>
        <w:spacing w:before="200" w:after="120"/>
        <w:rPr>
          <w:i/>
        </w:rPr>
      </w:pPr>
      <w:r>
        <w:rPr>
          <w:i/>
        </w:rPr>
        <w:t>3</w:t>
      </w:r>
      <w:r w:rsidR="00413A1A">
        <w:rPr>
          <w:i/>
        </w:rPr>
        <w:t>.2.1 In-Process Monitoring Data Processing</w:t>
      </w:r>
    </w:p>
    <w:p w:rsidR="00AC28B6" w:rsidRDefault="00413A1A">
      <w:pPr>
        <w:spacing w:before="200" w:after="200" w:line="240" w:lineRule="auto"/>
        <w:ind w:firstLine="36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In-process monitoring measurements are generally associated with the position of the beam at the time the measurement is made, though in most cases the measurement is reflective of a signal that is coming from an area or volume of material. Additionally, a point in space that is associated with a given in-processing measurement is further influenced by the process when subsequent layers are deposited, though any contribution it may make to later in-process measurements is not connected to it directly. In our analysis, we attempt to connect multiple in-process measurements to capture a fuller picture of the process at each point in space. In order to achieve this goal, the melt pool area data w</w:t>
      </w:r>
      <w:r w:rsidR="00C7264B">
        <w:rPr>
          <w:rFonts w:ascii="Times New Roman" w:eastAsia="Times New Roman" w:hAnsi="Times New Roman" w:cs="Times New Roman"/>
          <w:sz w:val="20"/>
          <w:szCs w:val="20"/>
        </w:rPr>
        <w:t>ere</w:t>
      </w:r>
      <w:r>
        <w:rPr>
          <w:rFonts w:ascii="Times New Roman" w:eastAsia="Times New Roman" w:hAnsi="Times New Roman" w:cs="Times New Roman"/>
          <w:sz w:val="20"/>
          <w:szCs w:val="20"/>
        </w:rPr>
        <w:t xml:space="preserve"> analyzed in groups of four layers at a time, an example of which is shown in </w:t>
      </w:r>
      <w:r w:rsidR="005B2C48" w:rsidRPr="00133659">
        <w:rPr>
          <w:rFonts w:ascii="Times New Roman" w:eastAsia="Times New Roman" w:hAnsi="Times New Roman" w:cs="Times New Roman"/>
          <w:sz w:val="20"/>
          <w:szCs w:val="20"/>
        </w:rPr>
        <w:t xml:space="preserve">Figure </w:t>
      </w:r>
      <w:r w:rsidR="00A01B19">
        <w:rPr>
          <w:rFonts w:ascii="Times New Roman" w:eastAsia="Times New Roman" w:hAnsi="Times New Roman" w:cs="Times New Roman"/>
          <w:sz w:val="20"/>
          <w:szCs w:val="20"/>
        </w:rPr>
        <w:t>2</w:t>
      </w:r>
      <w:r>
        <w:rPr>
          <w:rFonts w:ascii="Times New Roman" w:eastAsia="Times New Roman" w:hAnsi="Times New Roman" w:cs="Times New Roman"/>
          <w:sz w:val="20"/>
          <w:szCs w:val="20"/>
        </w:rPr>
        <w:t xml:space="preserve">. Within each group of four layers, the first layer served as the reference layer. Each in-process measurement point within the reference layer was translated up to the three layers above it and the closest in-situ point on each of those layers was found. The melt pool areas for those ‘nearest’ points were associated with the point on the reference layer. At the conclusion of this process, every in-process measurement location on the reference layer had four melt pool area measurements, one corresponding to the original measurement at that point and three additional measurements from in-process locations nearly directly above at progressively further distances.  Subsequently, the frame was shifted up one layer, re-analyzed, and the process was repeated throughout the entirety of the height of the part. </w:t>
      </w:r>
    </w:p>
    <w:p w:rsidR="00AC28B6" w:rsidRDefault="00FF543F">
      <w:pPr>
        <w:spacing w:before="240" w:after="240" w:line="240" w:lineRule="auto"/>
        <w:rPr>
          <w:rFonts w:ascii="Times New Roman" w:eastAsia="Times New Roman" w:hAnsi="Times New Roman" w:cs="Times New Roman"/>
          <w:b/>
          <w:sz w:val="20"/>
          <w:szCs w:val="20"/>
        </w:rPr>
      </w:pPr>
      <w:bookmarkStart w:id="0" w:name="_l4lxvyyjzdsg" w:colFirst="0" w:colLast="0"/>
      <w:bookmarkEnd w:id="0"/>
      <w:r>
        <w:rPr>
          <w:rFonts w:ascii="Times New Roman" w:eastAsia="Times New Roman" w:hAnsi="Times New Roman" w:cs="Times New Roman"/>
          <w:b/>
          <w:noProof/>
          <w:sz w:val="20"/>
          <w:szCs w:val="20"/>
        </w:rPr>
        <w:lastRenderedPageBreak/>
        <w:drawing>
          <wp:inline distT="0" distB="0" distL="0" distR="0">
            <wp:extent cx="5943600" cy="1614170"/>
            <wp:effectExtent l="0" t="0" r="0" b="508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Figure 2.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1614170"/>
                    </a:xfrm>
                    <a:prstGeom prst="rect">
                      <a:avLst/>
                    </a:prstGeom>
                  </pic:spPr>
                </pic:pic>
              </a:graphicData>
            </a:graphic>
          </wp:inline>
        </w:drawing>
      </w:r>
    </w:p>
    <w:p w:rsidR="00AC28B6" w:rsidRDefault="005B2C48">
      <w:pPr>
        <w:spacing w:before="200" w:after="200" w:line="240" w:lineRule="auto"/>
        <w:jc w:val="center"/>
        <w:rPr>
          <w:rFonts w:ascii="Times New Roman" w:eastAsia="Times New Roman" w:hAnsi="Times New Roman" w:cs="Times New Roman"/>
          <w:sz w:val="20"/>
          <w:szCs w:val="20"/>
        </w:rPr>
      </w:pPr>
      <w:r w:rsidRPr="00133659">
        <w:rPr>
          <w:rFonts w:ascii="Times New Roman" w:eastAsia="Times New Roman" w:hAnsi="Times New Roman" w:cs="Times New Roman"/>
          <w:sz w:val="20"/>
          <w:szCs w:val="20"/>
        </w:rPr>
        <w:t xml:space="preserve">Figure </w:t>
      </w:r>
      <w:r w:rsidR="00A01B19">
        <w:rPr>
          <w:rFonts w:ascii="Times New Roman" w:eastAsia="Times New Roman" w:hAnsi="Times New Roman" w:cs="Times New Roman"/>
          <w:sz w:val="20"/>
          <w:szCs w:val="20"/>
        </w:rPr>
        <w:t>2</w:t>
      </w:r>
      <w:r w:rsidR="00413A1A" w:rsidRPr="00133659">
        <w:rPr>
          <w:rFonts w:ascii="Times New Roman" w:eastAsia="Times New Roman" w:hAnsi="Times New Roman" w:cs="Times New Roman"/>
          <w:sz w:val="20"/>
          <w:szCs w:val="20"/>
        </w:rPr>
        <w:t xml:space="preserve">: </w:t>
      </w:r>
      <w:r w:rsidR="00413A1A">
        <w:rPr>
          <w:rFonts w:ascii="Times New Roman" w:eastAsia="Times New Roman" w:hAnsi="Times New Roman" w:cs="Times New Roman"/>
          <w:sz w:val="20"/>
          <w:szCs w:val="20"/>
        </w:rPr>
        <w:t>Melt pool area heat maps</w:t>
      </w:r>
      <w:r w:rsidR="003D51A1">
        <w:rPr>
          <w:rFonts w:ascii="Times New Roman" w:eastAsia="Times New Roman" w:hAnsi="Times New Roman" w:cs="Times New Roman"/>
          <w:sz w:val="20"/>
          <w:szCs w:val="20"/>
        </w:rPr>
        <w:t>, normalized by layer,</w:t>
      </w:r>
      <w:r w:rsidR="00413A1A">
        <w:rPr>
          <w:rFonts w:ascii="Times New Roman" w:eastAsia="Times New Roman" w:hAnsi="Times New Roman" w:cs="Times New Roman"/>
          <w:sz w:val="20"/>
          <w:szCs w:val="20"/>
        </w:rPr>
        <w:t xml:space="preserve"> for 4 subsequent in-</w:t>
      </w:r>
      <w:r w:rsidR="003D51A1">
        <w:rPr>
          <w:rFonts w:ascii="Times New Roman" w:eastAsia="Times New Roman" w:hAnsi="Times New Roman" w:cs="Times New Roman"/>
          <w:sz w:val="20"/>
          <w:szCs w:val="20"/>
        </w:rPr>
        <w:t xml:space="preserve">process monitoring </w:t>
      </w:r>
      <w:r w:rsidR="00413A1A">
        <w:rPr>
          <w:rFonts w:ascii="Times New Roman" w:eastAsia="Times New Roman" w:hAnsi="Times New Roman" w:cs="Times New Roman"/>
          <w:sz w:val="20"/>
          <w:szCs w:val="20"/>
        </w:rPr>
        <w:t xml:space="preserve">layers. Stacked on top of one another, the closest points on each layer were recorded, creating a vector of melt pool area values assigned to each coordinate on the first layer. </w:t>
      </w:r>
      <w:r w:rsidR="000629DA">
        <w:rPr>
          <w:rFonts w:ascii="Times New Roman" w:eastAsia="Times New Roman" w:hAnsi="Times New Roman" w:cs="Times New Roman"/>
          <w:sz w:val="20"/>
          <w:szCs w:val="20"/>
        </w:rPr>
        <w:t>The diameter of the cylinder is 6 mm.</w:t>
      </w:r>
    </w:p>
    <w:p w:rsidR="00ED4763" w:rsidRDefault="00413A1A" w:rsidP="00133659">
      <w:pPr>
        <w:spacing w:after="0"/>
        <w:ind w:firstLine="36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The intent of observing the melt pool area at a particular location for multiple layers directly above it is to monitor the change in melt pool area with each increase in the z-direction. It is generally assumed that during the additive process subsequent layers ‘heal’ or homogenize the structure on previous layers. While this may be true, it implies that focusing on detecting issues using raw in-process monitoring data is likely to result in significant amounts of ‘false positives’ because the next layer may heal the observation on the first layer. We propose to look for signals/patterns in the sequence of melt pool area measurements that may be more robust against over</w:t>
      </w:r>
      <w:r w:rsidR="00C7264B">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 xml:space="preserve">prediction of defects. In order to design metrics for the change in melt pool area, the four melt pool area values for sequential layers were subtracted from one another (equations 1-3). </w:t>
      </w:r>
    </w:p>
    <w:p w:rsidR="00AC28B6" w:rsidRDefault="00ED4763" w:rsidP="00CD0FF9">
      <w:pPr>
        <w:spacing w:after="0"/>
        <w:ind w:firstLine="36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I</w:t>
      </w:r>
      <w:r w:rsidR="00413A1A">
        <w:rPr>
          <w:rFonts w:ascii="Times New Roman" w:eastAsia="Times New Roman" w:hAnsi="Times New Roman" w:cs="Times New Roman"/>
          <w:sz w:val="20"/>
          <w:szCs w:val="20"/>
        </w:rPr>
        <w:t>t was observed that the orientation of the scan vectors</w:t>
      </w:r>
      <w:r>
        <w:rPr>
          <w:rFonts w:ascii="Times New Roman" w:eastAsia="Times New Roman" w:hAnsi="Times New Roman" w:cs="Times New Roman"/>
          <w:sz w:val="20"/>
          <w:szCs w:val="20"/>
        </w:rPr>
        <w:t xml:space="preserve"> with respect to the process gas flow direction caused</w:t>
      </w:r>
      <w:r w:rsidR="00413A1A">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layer-to-</w:t>
      </w:r>
      <w:r w:rsidR="00413A1A">
        <w:rPr>
          <w:rFonts w:ascii="Times New Roman" w:eastAsia="Times New Roman" w:hAnsi="Times New Roman" w:cs="Times New Roman"/>
          <w:sz w:val="20"/>
          <w:szCs w:val="20"/>
        </w:rPr>
        <w:t xml:space="preserve">layer variance in the melt pool measurements, likely due </w:t>
      </w:r>
      <w:r>
        <w:rPr>
          <w:rFonts w:ascii="Times New Roman" w:eastAsia="Times New Roman" w:hAnsi="Times New Roman" w:cs="Times New Roman"/>
          <w:sz w:val="20"/>
          <w:szCs w:val="20"/>
        </w:rPr>
        <w:t xml:space="preserve">to the </w:t>
      </w:r>
      <w:r w:rsidR="00413A1A">
        <w:rPr>
          <w:rFonts w:ascii="Times New Roman" w:eastAsia="Times New Roman" w:hAnsi="Times New Roman" w:cs="Times New Roman"/>
          <w:sz w:val="20"/>
          <w:szCs w:val="20"/>
        </w:rPr>
        <w:t>gas flow direction</w:t>
      </w:r>
      <w:r>
        <w:rPr>
          <w:rFonts w:ascii="Times New Roman" w:eastAsia="Times New Roman" w:hAnsi="Times New Roman" w:cs="Times New Roman"/>
          <w:sz w:val="20"/>
          <w:szCs w:val="20"/>
        </w:rPr>
        <w:t>’</w:t>
      </w:r>
      <w:r w:rsidR="00413A1A">
        <w:rPr>
          <w:rFonts w:ascii="Times New Roman" w:eastAsia="Times New Roman" w:hAnsi="Times New Roman" w:cs="Times New Roman"/>
          <w:sz w:val="20"/>
          <w:szCs w:val="20"/>
        </w:rPr>
        <w:t>s effect on soot and spatter. The average melt pool area on a layer followed a cyclic pattern that significantly imp</w:t>
      </w:r>
      <w:r w:rsidR="005B2C48">
        <w:rPr>
          <w:rFonts w:ascii="Times New Roman" w:eastAsia="Times New Roman" w:hAnsi="Times New Roman" w:cs="Times New Roman"/>
          <w:sz w:val="20"/>
          <w:szCs w:val="20"/>
        </w:rPr>
        <w:t>acted the signal-to-noise ratio</w:t>
      </w:r>
      <w:r w:rsidR="00413A1A">
        <w:rPr>
          <w:rFonts w:ascii="Times New Roman" w:eastAsia="Times New Roman" w:hAnsi="Times New Roman" w:cs="Times New Roman"/>
          <w:sz w:val="20"/>
          <w:szCs w:val="20"/>
        </w:rPr>
        <w:t xml:space="preserve"> </w:t>
      </w:r>
      <w:r w:rsidR="005B2C48">
        <w:rPr>
          <w:rFonts w:ascii="Times New Roman" w:eastAsia="Times New Roman" w:hAnsi="Times New Roman" w:cs="Times New Roman"/>
          <w:sz w:val="20"/>
          <w:szCs w:val="20"/>
        </w:rPr>
        <w:t>(shown</w:t>
      </w:r>
      <w:r w:rsidR="00413A1A">
        <w:rPr>
          <w:rFonts w:ascii="Times New Roman" w:eastAsia="Times New Roman" w:hAnsi="Times New Roman" w:cs="Times New Roman"/>
          <w:sz w:val="20"/>
          <w:szCs w:val="20"/>
        </w:rPr>
        <w:t xml:space="preserve"> in </w:t>
      </w:r>
      <w:r w:rsidR="005B2C48">
        <w:rPr>
          <w:rFonts w:ascii="Times New Roman" w:eastAsia="Times New Roman" w:hAnsi="Times New Roman" w:cs="Times New Roman"/>
          <w:sz w:val="20"/>
          <w:szCs w:val="20"/>
        </w:rPr>
        <w:t>the supplementary material)</w:t>
      </w:r>
      <w:r w:rsidR="00413A1A">
        <w:rPr>
          <w:rFonts w:ascii="Times New Roman" w:eastAsia="Times New Roman" w:hAnsi="Times New Roman" w:cs="Times New Roman"/>
          <w:sz w:val="20"/>
          <w:szCs w:val="20"/>
        </w:rPr>
        <w:t>.To account for this, the melt pool area</w:t>
      </w:r>
      <w:r w:rsidR="00A563DD">
        <w:rPr>
          <w:rFonts w:ascii="Times New Roman" w:eastAsia="Times New Roman" w:hAnsi="Times New Roman" w:cs="Times New Roman"/>
          <w:sz w:val="20"/>
          <w:szCs w:val="20"/>
        </w:rPr>
        <w:t>s</w:t>
      </w:r>
      <w:r w:rsidR="00413A1A">
        <w:rPr>
          <w:rFonts w:ascii="Times New Roman" w:eastAsia="Times New Roman" w:hAnsi="Times New Roman" w:cs="Times New Roman"/>
          <w:sz w:val="20"/>
          <w:szCs w:val="20"/>
        </w:rPr>
        <w:t xml:space="preserve"> </w:t>
      </w:r>
      <w:r w:rsidR="00A563DD">
        <w:rPr>
          <w:rFonts w:ascii="Times New Roman" w:eastAsia="Times New Roman" w:hAnsi="Times New Roman" w:cs="Times New Roman"/>
          <w:sz w:val="20"/>
          <w:szCs w:val="20"/>
        </w:rPr>
        <w:t>are normalized for each</w:t>
      </w:r>
      <w:r w:rsidR="00413A1A">
        <w:rPr>
          <w:rFonts w:ascii="Times New Roman" w:eastAsia="Times New Roman" w:hAnsi="Times New Roman" w:cs="Times New Roman"/>
          <w:sz w:val="20"/>
          <w:szCs w:val="20"/>
        </w:rPr>
        <w:t xml:space="preserve"> layer </w:t>
      </w:r>
      <w:r w:rsidR="00A563DD">
        <w:rPr>
          <w:rFonts w:ascii="Times New Roman" w:eastAsia="Times New Roman" w:hAnsi="Times New Roman" w:cs="Times New Roman"/>
          <w:sz w:val="20"/>
          <w:szCs w:val="20"/>
        </w:rPr>
        <w:t xml:space="preserve">by subtracting the mean melt pool area </w:t>
      </w:r>
      <w:r w:rsidR="00413A1A">
        <w:rPr>
          <w:rFonts w:ascii="Times New Roman" w:eastAsia="Times New Roman" w:hAnsi="Times New Roman" w:cs="Times New Roman"/>
          <w:sz w:val="20"/>
          <w:szCs w:val="20"/>
        </w:rPr>
        <w:t>from each data point on the layer prior to performing further analysis. This ensure</w:t>
      </w:r>
      <w:r w:rsidR="00A563DD">
        <w:rPr>
          <w:rFonts w:ascii="Times New Roman" w:eastAsia="Times New Roman" w:hAnsi="Times New Roman" w:cs="Times New Roman"/>
          <w:sz w:val="20"/>
          <w:szCs w:val="20"/>
        </w:rPr>
        <w:t>s</w:t>
      </w:r>
      <w:r w:rsidR="00413A1A">
        <w:rPr>
          <w:rFonts w:ascii="Times New Roman" w:eastAsia="Times New Roman" w:hAnsi="Times New Roman" w:cs="Times New Roman"/>
          <w:sz w:val="20"/>
          <w:szCs w:val="20"/>
        </w:rPr>
        <w:t xml:space="preserve"> the average melt pool area</w:t>
      </w:r>
      <w:r w:rsidR="00A563DD">
        <w:rPr>
          <w:rFonts w:ascii="Times New Roman" w:eastAsia="Times New Roman" w:hAnsi="Times New Roman" w:cs="Times New Roman"/>
          <w:sz w:val="20"/>
          <w:szCs w:val="20"/>
        </w:rPr>
        <w:t>, after normalization,</w:t>
      </w:r>
      <w:r w:rsidR="00413A1A">
        <w:rPr>
          <w:rFonts w:ascii="Times New Roman" w:eastAsia="Times New Roman" w:hAnsi="Times New Roman" w:cs="Times New Roman"/>
          <w:sz w:val="20"/>
          <w:szCs w:val="20"/>
        </w:rPr>
        <w:t xml:space="preserve">  on every layer is zero. </w:t>
      </w:r>
      <w:r w:rsidR="003D51A1">
        <w:rPr>
          <w:rFonts w:ascii="Times New Roman" w:eastAsia="Times New Roman" w:hAnsi="Times New Roman" w:cs="Times New Roman"/>
          <w:sz w:val="20"/>
          <w:szCs w:val="20"/>
        </w:rPr>
        <w:t xml:space="preserve">Normalized melt pool area maps are shown in Figure 2. </w:t>
      </w:r>
    </w:p>
    <w:p w:rsidR="00AC28B6" w:rsidRDefault="000B0AD5">
      <w:pPr>
        <w:spacing w:after="0" w:line="240" w:lineRule="auto"/>
        <w:ind w:left="2160" w:firstLine="720"/>
        <w:rPr>
          <w:rFonts w:ascii="Times New Roman" w:eastAsia="Times New Roman" w:hAnsi="Times New Roman" w:cs="Times New Roman"/>
          <w:b/>
          <w:sz w:val="20"/>
          <w:szCs w:val="20"/>
        </w:rPr>
      </w:pPr>
      <m:oMath>
        <m:sSub>
          <m:sSubPr>
            <m:ctrlPr>
              <w:rPr>
                <w:rFonts w:ascii="Cambria Math" w:eastAsia="Times New Roman" w:hAnsi="Cambria Math" w:cs="Times New Roman"/>
                <w:b/>
                <w:i/>
                <w:sz w:val="20"/>
                <w:szCs w:val="20"/>
              </w:rPr>
            </m:ctrlPr>
          </m:sSubPr>
          <m:e>
            <m:r>
              <m:rPr>
                <m:sty m:val="bi"/>
              </m:rPr>
              <w:rPr>
                <w:rFonts w:ascii="Cambria Math" w:eastAsia="Times New Roman" w:hAnsi="Cambria Math" w:cs="Times New Roman"/>
                <w:sz w:val="20"/>
                <w:szCs w:val="20"/>
              </w:rPr>
              <m:t>M</m:t>
            </m:r>
          </m:e>
          <m:sub>
            <m:r>
              <m:rPr>
                <m:sty m:val="bi"/>
              </m:rPr>
              <w:rPr>
                <w:rFonts w:ascii="Cambria Math" w:eastAsia="Times New Roman" w:hAnsi="Cambria Math" w:cs="Times New Roman"/>
                <w:sz w:val="20"/>
                <w:szCs w:val="20"/>
              </w:rPr>
              <m:t>1</m:t>
            </m:r>
          </m:sub>
        </m:sSub>
        <m:r>
          <m:rPr>
            <m:sty m:val="bi"/>
          </m:rPr>
          <w:rPr>
            <w:rFonts w:ascii="Cambria Math" w:eastAsia="Times New Roman" w:hAnsi="Cambria Math" w:cs="Times New Roman"/>
            <w:sz w:val="20"/>
            <w:szCs w:val="20"/>
          </w:rPr>
          <m:t>=</m:t>
        </m:r>
        <m:d>
          <m:dPr>
            <m:ctrlPr>
              <w:rPr>
                <w:rFonts w:ascii="Cambria Math" w:eastAsia="Times New Roman" w:hAnsi="Cambria Math" w:cs="Times New Roman"/>
                <w:b/>
                <w:i/>
                <w:sz w:val="20"/>
                <w:szCs w:val="20"/>
              </w:rPr>
            </m:ctrlPr>
          </m:dPr>
          <m:e>
            <m:sSub>
              <m:sSubPr>
                <m:ctrlPr>
                  <w:rPr>
                    <w:rFonts w:ascii="Cambria Math" w:eastAsia="Times New Roman" w:hAnsi="Cambria Math" w:cs="Times New Roman"/>
                    <w:b/>
                    <w:i/>
                    <w:sz w:val="20"/>
                    <w:szCs w:val="20"/>
                  </w:rPr>
                </m:ctrlPr>
              </m:sSubPr>
              <m:e>
                <m:r>
                  <m:rPr>
                    <m:sty m:val="bi"/>
                  </m:rPr>
                  <w:rPr>
                    <w:rFonts w:ascii="Cambria Math" w:eastAsia="Times New Roman" w:hAnsi="Cambria Math" w:cs="Times New Roman"/>
                    <w:sz w:val="20"/>
                    <w:szCs w:val="20"/>
                  </w:rPr>
                  <m:t>MPA</m:t>
                </m:r>
              </m:e>
              <m:sub>
                <m:r>
                  <m:rPr>
                    <m:sty m:val="bi"/>
                  </m:rPr>
                  <w:rPr>
                    <w:rFonts w:ascii="Cambria Math" w:eastAsia="Times New Roman" w:hAnsi="Cambria Math" w:cs="Times New Roman"/>
                    <w:sz w:val="20"/>
                    <w:szCs w:val="20"/>
                  </w:rPr>
                  <m:t>L</m:t>
                </m:r>
                <m:r>
                  <m:rPr>
                    <m:sty m:val="bi"/>
                  </m:rPr>
                  <w:rPr>
                    <w:rFonts w:ascii="Cambria Math" w:eastAsia="Times New Roman" w:hAnsi="Cambria Math" w:cs="Times New Roman"/>
                    <w:sz w:val="20"/>
                    <w:szCs w:val="20"/>
                  </w:rPr>
                  <m:t>2</m:t>
                </m:r>
              </m:sub>
            </m:sSub>
            <m:r>
              <m:rPr>
                <m:sty m:val="bi"/>
              </m:rPr>
              <w:rPr>
                <w:rFonts w:ascii="Cambria Math" w:eastAsia="Times New Roman" w:hAnsi="Cambria Math" w:cs="Times New Roman"/>
                <w:sz w:val="20"/>
                <w:szCs w:val="20"/>
              </w:rPr>
              <m:t>-</m:t>
            </m:r>
            <m:sSub>
              <m:sSubPr>
                <m:ctrlPr>
                  <w:rPr>
                    <w:rFonts w:ascii="Cambria Math" w:eastAsia="Times New Roman" w:hAnsi="Cambria Math" w:cs="Times New Roman"/>
                    <w:b/>
                    <w:i/>
                    <w:sz w:val="20"/>
                    <w:szCs w:val="20"/>
                  </w:rPr>
                </m:ctrlPr>
              </m:sSubPr>
              <m:e>
                <m:acc>
                  <m:accPr>
                    <m:chr m:val="̅"/>
                    <m:ctrlPr>
                      <w:rPr>
                        <w:rFonts w:ascii="Cambria Math" w:eastAsia="Times New Roman" w:hAnsi="Cambria Math" w:cs="Times New Roman"/>
                        <w:b/>
                        <w:i/>
                        <w:sz w:val="20"/>
                        <w:szCs w:val="20"/>
                      </w:rPr>
                    </m:ctrlPr>
                  </m:accPr>
                  <m:e>
                    <m:r>
                      <m:rPr>
                        <m:sty m:val="bi"/>
                      </m:rPr>
                      <w:rPr>
                        <w:rFonts w:ascii="Cambria Math" w:eastAsia="Times New Roman" w:hAnsi="Cambria Math" w:cs="Times New Roman"/>
                        <w:sz w:val="20"/>
                        <w:szCs w:val="20"/>
                      </w:rPr>
                      <m:t>MPA</m:t>
                    </m:r>
                  </m:e>
                </m:acc>
              </m:e>
              <m:sub>
                <m:r>
                  <m:rPr>
                    <m:sty m:val="bi"/>
                  </m:rPr>
                  <w:rPr>
                    <w:rFonts w:ascii="Cambria Math" w:eastAsia="Times New Roman" w:hAnsi="Cambria Math" w:cs="Times New Roman"/>
                    <w:sz w:val="20"/>
                    <w:szCs w:val="20"/>
                  </w:rPr>
                  <m:t>L</m:t>
                </m:r>
                <m:r>
                  <m:rPr>
                    <m:sty m:val="bi"/>
                  </m:rPr>
                  <w:rPr>
                    <w:rFonts w:ascii="Cambria Math" w:eastAsia="Times New Roman" w:hAnsi="Cambria Math" w:cs="Times New Roman"/>
                    <w:sz w:val="20"/>
                    <w:szCs w:val="20"/>
                  </w:rPr>
                  <m:t>2</m:t>
                </m:r>
              </m:sub>
            </m:sSub>
          </m:e>
        </m:d>
        <m:r>
          <m:rPr>
            <m:sty m:val="bi"/>
          </m:rPr>
          <w:rPr>
            <w:rFonts w:ascii="Cambria Math" w:eastAsia="Times New Roman" w:hAnsi="Cambria Math" w:cs="Times New Roman"/>
            <w:sz w:val="20"/>
            <w:szCs w:val="20"/>
          </w:rPr>
          <m:t>-</m:t>
        </m:r>
        <m:d>
          <m:dPr>
            <m:ctrlPr>
              <w:rPr>
                <w:rFonts w:ascii="Cambria Math" w:eastAsia="Times New Roman" w:hAnsi="Cambria Math" w:cs="Times New Roman"/>
                <w:b/>
                <w:i/>
                <w:sz w:val="20"/>
                <w:szCs w:val="20"/>
              </w:rPr>
            </m:ctrlPr>
          </m:dPr>
          <m:e>
            <m:sSub>
              <m:sSubPr>
                <m:ctrlPr>
                  <w:rPr>
                    <w:rFonts w:ascii="Cambria Math" w:eastAsia="Times New Roman" w:hAnsi="Cambria Math" w:cs="Times New Roman"/>
                    <w:b/>
                    <w:i/>
                    <w:sz w:val="20"/>
                    <w:szCs w:val="20"/>
                  </w:rPr>
                </m:ctrlPr>
              </m:sSubPr>
              <m:e>
                <m:r>
                  <m:rPr>
                    <m:sty m:val="bi"/>
                  </m:rPr>
                  <w:rPr>
                    <w:rFonts w:ascii="Cambria Math" w:eastAsia="Times New Roman" w:hAnsi="Cambria Math" w:cs="Times New Roman"/>
                    <w:sz w:val="20"/>
                    <w:szCs w:val="20"/>
                  </w:rPr>
                  <m:t>MPA</m:t>
                </m:r>
              </m:e>
              <m:sub>
                <m:r>
                  <m:rPr>
                    <m:sty m:val="bi"/>
                  </m:rPr>
                  <w:rPr>
                    <w:rFonts w:ascii="Cambria Math" w:eastAsia="Times New Roman" w:hAnsi="Cambria Math" w:cs="Times New Roman"/>
                    <w:sz w:val="20"/>
                    <w:szCs w:val="20"/>
                  </w:rPr>
                  <m:t>L1</m:t>
                </m:r>
              </m:sub>
            </m:sSub>
            <m:r>
              <m:rPr>
                <m:sty m:val="bi"/>
              </m:rPr>
              <w:rPr>
                <w:rFonts w:ascii="Cambria Math" w:eastAsia="Times New Roman" w:hAnsi="Cambria Math" w:cs="Times New Roman"/>
                <w:sz w:val="20"/>
                <w:szCs w:val="20"/>
              </w:rPr>
              <m:t>-</m:t>
            </m:r>
            <m:sSub>
              <m:sSubPr>
                <m:ctrlPr>
                  <w:rPr>
                    <w:rFonts w:ascii="Cambria Math" w:eastAsia="Times New Roman" w:hAnsi="Cambria Math" w:cs="Times New Roman"/>
                    <w:b/>
                    <w:i/>
                    <w:sz w:val="20"/>
                    <w:szCs w:val="20"/>
                  </w:rPr>
                </m:ctrlPr>
              </m:sSubPr>
              <m:e>
                <m:acc>
                  <m:accPr>
                    <m:chr m:val="̅"/>
                    <m:ctrlPr>
                      <w:rPr>
                        <w:rFonts w:ascii="Cambria Math" w:eastAsia="Times New Roman" w:hAnsi="Cambria Math" w:cs="Times New Roman"/>
                        <w:b/>
                        <w:i/>
                        <w:sz w:val="20"/>
                        <w:szCs w:val="20"/>
                      </w:rPr>
                    </m:ctrlPr>
                  </m:accPr>
                  <m:e>
                    <m:r>
                      <m:rPr>
                        <m:sty m:val="bi"/>
                      </m:rPr>
                      <w:rPr>
                        <w:rFonts w:ascii="Cambria Math" w:eastAsia="Times New Roman" w:hAnsi="Cambria Math" w:cs="Times New Roman"/>
                        <w:sz w:val="20"/>
                        <w:szCs w:val="20"/>
                      </w:rPr>
                      <m:t>MPA</m:t>
                    </m:r>
                  </m:e>
                </m:acc>
              </m:e>
              <m:sub>
                <m:r>
                  <m:rPr>
                    <m:sty m:val="bi"/>
                  </m:rPr>
                  <w:rPr>
                    <w:rFonts w:ascii="Cambria Math" w:eastAsia="Times New Roman" w:hAnsi="Cambria Math" w:cs="Times New Roman"/>
                    <w:sz w:val="20"/>
                    <w:szCs w:val="20"/>
                  </w:rPr>
                  <m:t>L</m:t>
                </m:r>
                <m:r>
                  <m:rPr>
                    <m:sty m:val="bi"/>
                  </m:rPr>
                  <w:rPr>
                    <w:rFonts w:ascii="Cambria Math" w:eastAsia="Times New Roman" w:hAnsi="Cambria Math" w:cs="Times New Roman"/>
                    <w:sz w:val="20"/>
                    <w:szCs w:val="20"/>
                  </w:rPr>
                  <m:t>1</m:t>
                </m:r>
              </m:sub>
            </m:sSub>
          </m:e>
        </m:d>
      </m:oMath>
      <w:r w:rsidR="00413A1A">
        <w:rPr>
          <w:rFonts w:ascii="Times New Roman" w:eastAsia="Times New Roman" w:hAnsi="Times New Roman" w:cs="Times New Roman"/>
          <w:b/>
          <w:sz w:val="20"/>
          <w:szCs w:val="20"/>
        </w:rPr>
        <w:tab/>
      </w:r>
      <w:r w:rsidR="00413A1A">
        <w:rPr>
          <w:rFonts w:ascii="Times New Roman" w:eastAsia="Times New Roman" w:hAnsi="Times New Roman" w:cs="Times New Roman"/>
          <w:b/>
          <w:sz w:val="20"/>
          <w:szCs w:val="20"/>
        </w:rPr>
        <w:tab/>
        <w:t>(1)</w:t>
      </w:r>
    </w:p>
    <w:p w:rsidR="00AC28B6" w:rsidRDefault="00AC28B6">
      <w:pPr>
        <w:spacing w:after="0" w:line="240" w:lineRule="auto"/>
        <w:jc w:val="center"/>
        <w:rPr>
          <w:rFonts w:ascii="Times New Roman" w:eastAsia="Times New Roman" w:hAnsi="Times New Roman" w:cs="Times New Roman"/>
          <w:b/>
          <w:sz w:val="20"/>
          <w:szCs w:val="20"/>
        </w:rPr>
      </w:pPr>
    </w:p>
    <w:p w:rsidR="003C1A73" w:rsidRDefault="000B0AD5" w:rsidP="003C1A73">
      <w:pPr>
        <w:spacing w:after="0" w:line="240" w:lineRule="auto"/>
        <w:ind w:left="2160" w:firstLine="720"/>
        <w:rPr>
          <w:rFonts w:ascii="Times New Roman" w:eastAsia="Times New Roman" w:hAnsi="Times New Roman" w:cs="Times New Roman"/>
          <w:b/>
          <w:sz w:val="20"/>
          <w:szCs w:val="20"/>
        </w:rPr>
      </w:pPr>
      <m:oMath>
        <m:sSub>
          <m:sSubPr>
            <m:ctrlPr>
              <w:rPr>
                <w:rFonts w:ascii="Cambria Math" w:eastAsia="Times New Roman" w:hAnsi="Cambria Math" w:cs="Times New Roman"/>
                <w:b/>
                <w:i/>
                <w:sz w:val="20"/>
                <w:szCs w:val="20"/>
              </w:rPr>
            </m:ctrlPr>
          </m:sSubPr>
          <m:e>
            <m:r>
              <m:rPr>
                <m:sty m:val="bi"/>
              </m:rPr>
              <w:rPr>
                <w:rFonts w:ascii="Cambria Math" w:eastAsia="Times New Roman" w:hAnsi="Cambria Math" w:cs="Times New Roman"/>
                <w:sz w:val="20"/>
                <w:szCs w:val="20"/>
              </w:rPr>
              <m:t>M</m:t>
            </m:r>
          </m:e>
          <m:sub>
            <m:r>
              <m:rPr>
                <m:sty m:val="bi"/>
              </m:rPr>
              <w:rPr>
                <w:rFonts w:ascii="Cambria Math" w:eastAsia="Times New Roman" w:hAnsi="Cambria Math" w:cs="Times New Roman"/>
                <w:sz w:val="20"/>
                <w:szCs w:val="20"/>
              </w:rPr>
              <m:t>2</m:t>
            </m:r>
          </m:sub>
        </m:sSub>
        <m:r>
          <m:rPr>
            <m:sty m:val="bi"/>
          </m:rPr>
          <w:rPr>
            <w:rFonts w:ascii="Cambria Math" w:eastAsia="Times New Roman" w:hAnsi="Cambria Math" w:cs="Times New Roman"/>
            <w:sz w:val="20"/>
            <w:szCs w:val="20"/>
          </w:rPr>
          <m:t>=</m:t>
        </m:r>
        <m:d>
          <m:dPr>
            <m:ctrlPr>
              <w:rPr>
                <w:rFonts w:ascii="Cambria Math" w:eastAsia="Times New Roman" w:hAnsi="Cambria Math" w:cs="Times New Roman"/>
                <w:b/>
                <w:i/>
                <w:sz w:val="20"/>
                <w:szCs w:val="20"/>
              </w:rPr>
            </m:ctrlPr>
          </m:dPr>
          <m:e>
            <m:sSub>
              <m:sSubPr>
                <m:ctrlPr>
                  <w:rPr>
                    <w:rFonts w:ascii="Cambria Math" w:eastAsia="Times New Roman" w:hAnsi="Cambria Math" w:cs="Times New Roman"/>
                    <w:b/>
                    <w:i/>
                    <w:sz w:val="20"/>
                    <w:szCs w:val="20"/>
                  </w:rPr>
                </m:ctrlPr>
              </m:sSubPr>
              <m:e>
                <m:r>
                  <m:rPr>
                    <m:sty m:val="bi"/>
                  </m:rPr>
                  <w:rPr>
                    <w:rFonts w:ascii="Cambria Math" w:eastAsia="Times New Roman" w:hAnsi="Cambria Math" w:cs="Times New Roman"/>
                    <w:sz w:val="20"/>
                    <w:szCs w:val="20"/>
                  </w:rPr>
                  <m:t>MPA</m:t>
                </m:r>
              </m:e>
              <m:sub>
                <m:r>
                  <m:rPr>
                    <m:sty m:val="bi"/>
                  </m:rPr>
                  <w:rPr>
                    <w:rFonts w:ascii="Cambria Math" w:eastAsia="Times New Roman" w:hAnsi="Cambria Math" w:cs="Times New Roman"/>
                    <w:sz w:val="20"/>
                    <w:szCs w:val="20"/>
                  </w:rPr>
                  <m:t>L</m:t>
                </m:r>
                <m:r>
                  <m:rPr>
                    <m:sty m:val="bi"/>
                  </m:rPr>
                  <w:rPr>
                    <w:rFonts w:ascii="Cambria Math" w:eastAsia="Times New Roman" w:hAnsi="Cambria Math" w:cs="Times New Roman"/>
                    <w:sz w:val="20"/>
                    <w:szCs w:val="20"/>
                  </w:rPr>
                  <m:t>3</m:t>
                </m:r>
              </m:sub>
            </m:sSub>
            <m:r>
              <m:rPr>
                <m:sty m:val="bi"/>
              </m:rPr>
              <w:rPr>
                <w:rFonts w:ascii="Cambria Math" w:eastAsia="Times New Roman" w:hAnsi="Cambria Math" w:cs="Times New Roman"/>
                <w:sz w:val="20"/>
                <w:szCs w:val="20"/>
              </w:rPr>
              <m:t>-</m:t>
            </m:r>
            <m:sSub>
              <m:sSubPr>
                <m:ctrlPr>
                  <w:rPr>
                    <w:rFonts w:ascii="Cambria Math" w:eastAsia="Times New Roman" w:hAnsi="Cambria Math" w:cs="Times New Roman"/>
                    <w:b/>
                    <w:i/>
                    <w:sz w:val="20"/>
                    <w:szCs w:val="20"/>
                  </w:rPr>
                </m:ctrlPr>
              </m:sSubPr>
              <m:e>
                <m:acc>
                  <m:accPr>
                    <m:chr m:val="̅"/>
                    <m:ctrlPr>
                      <w:rPr>
                        <w:rFonts w:ascii="Cambria Math" w:eastAsia="Times New Roman" w:hAnsi="Cambria Math" w:cs="Times New Roman"/>
                        <w:b/>
                        <w:i/>
                        <w:sz w:val="20"/>
                        <w:szCs w:val="20"/>
                      </w:rPr>
                    </m:ctrlPr>
                  </m:accPr>
                  <m:e>
                    <m:r>
                      <m:rPr>
                        <m:sty m:val="bi"/>
                      </m:rPr>
                      <w:rPr>
                        <w:rFonts w:ascii="Cambria Math" w:eastAsia="Times New Roman" w:hAnsi="Cambria Math" w:cs="Times New Roman"/>
                        <w:sz w:val="20"/>
                        <w:szCs w:val="20"/>
                      </w:rPr>
                      <m:t>MPA</m:t>
                    </m:r>
                  </m:e>
                </m:acc>
              </m:e>
              <m:sub>
                <m:r>
                  <m:rPr>
                    <m:sty m:val="bi"/>
                  </m:rPr>
                  <w:rPr>
                    <w:rFonts w:ascii="Cambria Math" w:eastAsia="Times New Roman" w:hAnsi="Cambria Math" w:cs="Times New Roman"/>
                    <w:sz w:val="20"/>
                    <w:szCs w:val="20"/>
                  </w:rPr>
                  <m:t>L</m:t>
                </m:r>
                <m:r>
                  <m:rPr>
                    <m:sty m:val="bi"/>
                  </m:rPr>
                  <w:rPr>
                    <w:rFonts w:ascii="Cambria Math" w:eastAsia="Times New Roman" w:hAnsi="Cambria Math" w:cs="Times New Roman"/>
                    <w:sz w:val="20"/>
                    <w:szCs w:val="20"/>
                  </w:rPr>
                  <m:t>3</m:t>
                </m:r>
              </m:sub>
            </m:sSub>
          </m:e>
        </m:d>
        <m:r>
          <m:rPr>
            <m:sty m:val="bi"/>
          </m:rPr>
          <w:rPr>
            <w:rFonts w:ascii="Cambria Math" w:eastAsia="Times New Roman" w:hAnsi="Cambria Math" w:cs="Times New Roman"/>
            <w:sz w:val="20"/>
            <w:szCs w:val="20"/>
          </w:rPr>
          <m:t>-</m:t>
        </m:r>
        <m:d>
          <m:dPr>
            <m:ctrlPr>
              <w:rPr>
                <w:rFonts w:ascii="Cambria Math" w:eastAsia="Times New Roman" w:hAnsi="Cambria Math" w:cs="Times New Roman"/>
                <w:b/>
                <w:i/>
                <w:sz w:val="20"/>
                <w:szCs w:val="20"/>
              </w:rPr>
            </m:ctrlPr>
          </m:dPr>
          <m:e>
            <m:sSub>
              <m:sSubPr>
                <m:ctrlPr>
                  <w:rPr>
                    <w:rFonts w:ascii="Cambria Math" w:eastAsia="Times New Roman" w:hAnsi="Cambria Math" w:cs="Times New Roman"/>
                    <w:b/>
                    <w:i/>
                    <w:sz w:val="20"/>
                    <w:szCs w:val="20"/>
                  </w:rPr>
                </m:ctrlPr>
              </m:sSubPr>
              <m:e>
                <m:r>
                  <m:rPr>
                    <m:sty m:val="bi"/>
                  </m:rPr>
                  <w:rPr>
                    <w:rFonts w:ascii="Cambria Math" w:eastAsia="Times New Roman" w:hAnsi="Cambria Math" w:cs="Times New Roman"/>
                    <w:sz w:val="20"/>
                    <w:szCs w:val="20"/>
                  </w:rPr>
                  <m:t>MPA</m:t>
                </m:r>
              </m:e>
              <m:sub>
                <m:r>
                  <m:rPr>
                    <m:sty m:val="bi"/>
                  </m:rPr>
                  <w:rPr>
                    <w:rFonts w:ascii="Cambria Math" w:eastAsia="Times New Roman" w:hAnsi="Cambria Math" w:cs="Times New Roman"/>
                    <w:sz w:val="20"/>
                    <w:szCs w:val="20"/>
                  </w:rPr>
                  <m:t>L2</m:t>
                </m:r>
              </m:sub>
            </m:sSub>
            <m:r>
              <m:rPr>
                <m:sty m:val="bi"/>
              </m:rPr>
              <w:rPr>
                <w:rFonts w:ascii="Cambria Math" w:eastAsia="Times New Roman" w:hAnsi="Cambria Math" w:cs="Times New Roman"/>
                <w:sz w:val="20"/>
                <w:szCs w:val="20"/>
              </w:rPr>
              <m:t>-</m:t>
            </m:r>
            <m:sSub>
              <m:sSubPr>
                <m:ctrlPr>
                  <w:rPr>
                    <w:rFonts w:ascii="Cambria Math" w:eastAsia="Times New Roman" w:hAnsi="Cambria Math" w:cs="Times New Roman"/>
                    <w:b/>
                    <w:i/>
                    <w:sz w:val="20"/>
                    <w:szCs w:val="20"/>
                  </w:rPr>
                </m:ctrlPr>
              </m:sSubPr>
              <m:e>
                <m:acc>
                  <m:accPr>
                    <m:chr m:val="̅"/>
                    <m:ctrlPr>
                      <w:rPr>
                        <w:rFonts w:ascii="Cambria Math" w:eastAsia="Times New Roman" w:hAnsi="Cambria Math" w:cs="Times New Roman"/>
                        <w:b/>
                        <w:i/>
                        <w:sz w:val="20"/>
                        <w:szCs w:val="20"/>
                      </w:rPr>
                    </m:ctrlPr>
                  </m:accPr>
                  <m:e>
                    <m:r>
                      <m:rPr>
                        <m:sty m:val="bi"/>
                      </m:rPr>
                      <w:rPr>
                        <w:rFonts w:ascii="Cambria Math" w:eastAsia="Times New Roman" w:hAnsi="Cambria Math" w:cs="Times New Roman"/>
                        <w:sz w:val="20"/>
                        <w:szCs w:val="20"/>
                      </w:rPr>
                      <m:t>MPA</m:t>
                    </m:r>
                  </m:e>
                </m:acc>
              </m:e>
              <m:sub>
                <m:r>
                  <m:rPr>
                    <m:sty m:val="bi"/>
                  </m:rPr>
                  <w:rPr>
                    <w:rFonts w:ascii="Cambria Math" w:eastAsia="Times New Roman" w:hAnsi="Cambria Math" w:cs="Times New Roman"/>
                    <w:sz w:val="20"/>
                    <w:szCs w:val="20"/>
                  </w:rPr>
                  <m:t>L</m:t>
                </m:r>
                <m:r>
                  <m:rPr>
                    <m:sty m:val="bi"/>
                  </m:rPr>
                  <w:rPr>
                    <w:rFonts w:ascii="Cambria Math" w:eastAsia="Times New Roman" w:hAnsi="Cambria Math" w:cs="Times New Roman"/>
                    <w:sz w:val="20"/>
                    <w:szCs w:val="20"/>
                  </w:rPr>
                  <m:t>2</m:t>
                </m:r>
              </m:sub>
            </m:sSub>
          </m:e>
        </m:d>
      </m:oMath>
      <w:r w:rsidR="003C1A73">
        <w:rPr>
          <w:rFonts w:ascii="Times New Roman" w:eastAsia="Times New Roman" w:hAnsi="Times New Roman" w:cs="Times New Roman"/>
          <w:b/>
          <w:sz w:val="20"/>
          <w:szCs w:val="20"/>
        </w:rPr>
        <w:tab/>
      </w:r>
      <w:r w:rsidR="003C1A73">
        <w:rPr>
          <w:rFonts w:ascii="Times New Roman" w:eastAsia="Times New Roman" w:hAnsi="Times New Roman" w:cs="Times New Roman"/>
          <w:b/>
          <w:sz w:val="20"/>
          <w:szCs w:val="20"/>
        </w:rPr>
        <w:tab/>
        <w:t>(2)</w:t>
      </w:r>
    </w:p>
    <w:p w:rsidR="00AC28B6" w:rsidRDefault="00AC28B6" w:rsidP="003C1A73">
      <w:pPr>
        <w:spacing w:after="0" w:line="240" w:lineRule="auto"/>
        <w:rPr>
          <w:rFonts w:ascii="Times New Roman" w:eastAsia="Times New Roman" w:hAnsi="Times New Roman" w:cs="Times New Roman"/>
          <w:b/>
          <w:sz w:val="20"/>
          <w:szCs w:val="20"/>
        </w:rPr>
      </w:pPr>
    </w:p>
    <w:p w:rsidR="003C1A73" w:rsidRDefault="000B0AD5" w:rsidP="003C1A73">
      <w:pPr>
        <w:spacing w:after="0" w:line="240" w:lineRule="auto"/>
        <w:ind w:left="2160" w:firstLine="720"/>
        <w:rPr>
          <w:rFonts w:ascii="Times New Roman" w:eastAsia="Times New Roman" w:hAnsi="Times New Roman" w:cs="Times New Roman"/>
          <w:b/>
          <w:sz w:val="20"/>
          <w:szCs w:val="20"/>
        </w:rPr>
      </w:pPr>
      <m:oMath>
        <m:sSub>
          <m:sSubPr>
            <m:ctrlPr>
              <w:rPr>
                <w:rFonts w:ascii="Cambria Math" w:eastAsia="Times New Roman" w:hAnsi="Cambria Math" w:cs="Times New Roman"/>
                <w:b/>
                <w:i/>
                <w:sz w:val="20"/>
                <w:szCs w:val="20"/>
              </w:rPr>
            </m:ctrlPr>
          </m:sSubPr>
          <m:e>
            <m:r>
              <m:rPr>
                <m:sty m:val="bi"/>
              </m:rPr>
              <w:rPr>
                <w:rFonts w:ascii="Cambria Math" w:eastAsia="Times New Roman" w:hAnsi="Cambria Math" w:cs="Times New Roman"/>
                <w:sz w:val="20"/>
                <w:szCs w:val="20"/>
              </w:rPr>
              <m:t>M</m:t>
            </m:r>
          </m:e>
          <m:sub>
            <m:r>
              <m:rPr>
                <m:sty m:val="bi"/>
              </m:rPr>
              <w:rPr>
                <w:rFonts w:ascii="Cambria Math" w:eastAsia="Times New Roman" w:hAnsi="Cambria Math" w:cs="Times New Roman"/>
                <w:sz w:val="20"/>
                <w:szCs w:val="20"/>
              </w:rPr>
              <m:t>3</m:t>
            </m:r>
          </m:sub>
        </m:sSub>
        <m:r>
          <m:rPr>
            <m:sty m:val="bi"/>
          </m:rPr>
          <w:rPr>
            <w:rFonts w:ascii="Cambria Math" w:eastAsia="Times New Roman" w:hAnsi="Cambria Math" w:cs="Times New Roman"/>
            <w:sz w:val="20"/>
            <w:szCs w:val="20"/>
          </w:rPr>
          <m:t>=</m:t>
        </m:r>
        <m:d>
          <m:dPr>
            <m:ctrlPr>
              <w:rPr>
                <w:rFonts w:ascii="Cambria Math" w:eastAsia="Times New Roman" w:hAnsi="Cambria Math" w:cs="Times New Roman"/>
                <w:b/>
                <w:i/>
                <w:sz w:val="20"/>
                <w:szCs w:val="20"/>
              </w:rPr>
            </m:ctrlPr>
          </m:dPr>
          <m:e>
            <m:sSub>
              <m:sSubPr>
                <m:ctrlPr>
                  <w:rPr>
                    <w:rFonts w:ascii="Cambria Math" w:eastAsia="Times New Roman" w:hAnsi="Cambria Math" w:cs="Times New Roman"/>
                    <w:b/>
                    <w:i/>
                    <w:sz w:val="20"/>
                    <w:szCs w:val="20"/>
                  </w:rPr>
                </m:ctrlPr>
              </m:sSubPr>
              <m:e>
                <m:r>
                  <m:rPr>
                    <m:sty m:val="bi"/>
                  </m:rPr>
                  <w:rPr>
                    <w:rFonts w:ascii="Cambria Math" w:eastAsia="Times New Roman" w:hAnsi="Cambria Math" w:cs="Times New Roman"/>
                    <w:sz w:val="20"/>
                    <w:szCs w:val="20"/>
                  </w:rPr>
                  <m:t>MPA</m:t>
                </m:r>
              </m:e>
              <m:sub>
                <m:r>
                  <m:rPr>
                    <m:sty m:val="bi"/>
                  </m:rPr>
                  <w:rPr>
                    <w:rFonts w:ascii="Cambria Math" w:eastAsia="Times New Roman" w:hAnsi="Cambria Math" w:cs="Times New Roman"/>
                    <w:sz w:val="20"/>
                    <w:szCs w:val="20"/>
                  </w:rPr>
                  <m:t>L</m:t>
                </m:r>
                <m:r>
                  <m:rPr>
                    <m:sty m:val="bi"/>
                  </m:rPr>
                  <w:rPr>
                    <w:rFonts w:ascii="Cambria Math" w:eastAsia="Times New Roman" w:hAnsi="Cambria Math" w:cs="Times New Roman"/>
                    <w:sz w:val="20"/>
                    <w:szCs w:val="20"/>
                  </w:rPr>
                  <m:t>4</m:t>
                </m:r>
              </m:sub>
            </m:sSub>
            <m:r>
              <m:rPr>
                <m:sty m:val="bi"/>
              </m:rPr>
              <w:rPr>
                <w:rFonts w:ascii="Cambria Math" w:eastAsia="Times New Roman" w:hAnsi="Cambria Math" w:cs="Times New Roman"/>
                <w:sz w:val="20"/>
                <w:szCs w:val="20"/>
              </w:rPr>
              <m:t>-</m:t>
            </m:r>
            <m:sSub>
              <m:sSubPr>
                <m:ctrlPr>
                  <w:rPr>
                    <w:rFonts w:ascii="Cambria Math" w:eastAsia="Times New Roman" w:hAnsi="Cambria Math" w:cs="Times New Roman"/>
                    <w:b/>
                    <w:i/>
                    <w:sz w:val="20"/>
                    <w:szCs w:val="20"/>
                  </w:rPr>
                </m:ctrlPr>
              </m:sSubPr>
              <m:e>
                <m:acc>
                  <m:accPr>
                    <m:chr m:val="̅"/>
                    <m:ctrlPr>
                      <w:rPr>
                        <w:rFonts w:ascii="Cambria Math" w:eastAsia="Times New Roman" w:hAnsi="Cambria Math" w:cs="Times New Roman"/>
                        <w:b/>
                        <w:i/>
                        <w:sz w:val="20"/>
                        <w:szCs w:val="20"/>
                      </w:rPr>
                    </m:ctrlPr>
                  </m:accPr>
                  <m:e>
                    <m:r>
                      <m:rPr>
                        <m:sty m:val="bi"/>
                      </m:rPr>
                      <w:rPr>
                        <w:rFonts w:ascii="Cambria Math" w:eastAsia="Times New Roman" w:hAnsi="Cambria Math" w:cs="Times New Roman"/>
                        <w:sz w:val="20"/>
                        <w:szCs w:val="20"/>
                      </w:rPr>
                      <m:t>MPA</m:t>
                    </m:r>
                  </m:e>
                </m:acc>
              </m:e>
              <m:sub>
                <m:r>
                  <m:rPr>
                    <m:sty m:val="bi"/>
                  </m:rPr>
                  <w:rPr>
                    <w:rFonts w:ascii="Cambria Math" w:eastAsia="Times New Roman" w:hAnsi="Cambria Math" w:cs="Times New Roman"/>
                    <w:sz w:val="20"/>
                    <w:szCs w:val="20"/>
                  </w:rPr>
                  <m:t>L</m:t>
                </m:r>
                <m:r>
                  <m:rPr>
                    <m:sty m:val="bi"/>
                  </m:rPr>
                  <w:rPr>
                    <w:rFonts w:ascii="Cambria Math" w:eastAsia="Times New Roman" w:hAnsi="Cambria Math" w:cs="Times New Roman"/>
                    <w:sz w:val="20"/>
                    <w:szCs w:val="20"/>
                  </w:rPr>
                  <m:t>4</m:t>
                </m:r>
              </m:sub>
            </m:sSub>
          </m:e>
        </m:d>
        <m:r>
          <m:rPr>
            <m:sty m:val="bi"/>
          </m:rPr>
          <w:rPr>
            <w:rFonts w:ascii="Cambria Math" w:eastAsia="Times New Roman" w:hAnsi="Cambria Math" w:cs="Times New Roman"/>
            <w:sz w:val="20"/>
            <w:szCs w:val="20"/>
          </w:rPr>
          <m:t>-</m:t>
        </m:r>
        <m:d>
          <m:dPr>
            <m:ctrlPr>
              <w:rPr>
                <w:rFonts w:ascii="Cambria Math" w:eastAsia="Times New Roman" w:hAnsi="Cambria Math" w:cs="Times New Roman"/>
                <w:b/>
                <w:i/>
                <w:sz w:val="20"/>
                <w:szCs w:val="20"/>
              </w:rPr>
            </m:ctrlPr>
          </m:dPr>
          <m:e>
            <m:sSub>
              <m:sSubPr>
                <m:ctrlPr>
                  <w:rPr>
                    <w:rFonts w:ascii="Cambria Math" w:eastAsia="Times New Roman" w:hAnsi="Cambria Math" w:cs="Times New Roman"/>
                    <w:b/>
                    <w:i/>
                    <w:sz w:val="20"/>
                    <w:szCs w:val="20"/>
                  </w:rPr>
                </m:ctrlPr>
              </m:sSubPr>
              <m:e>
                <m:r>
                  <m:rPr>
                    <m:sty m:val="bi"/>
                  </m:rPr>
                  <w:rPr>
                    <w:rFonts w:ascii="Cambria Math" w:eastAsia="Times New Roman" w:hAnsi="Cambria Math" w:cs="Times New Roman"/>
                    <w:sz w:val="20"/>
                    <w:szCs w:val="20"/>
                  </w:rPr>
                  <m:t>MPA</m:t>
                </m:r>
              </m:e>
              <m:sub>
                <m:r>
                  <m:rPr>
                    <m:sty m:val="bi"/>
                  </m:rPr>
                  <w:rPr>
                    <w:rFonts w:ascii="Cambria Math" w:eastAsia="Times New Roman" w:hAnsi="Cambria Math" w:cs="Times New Roman"/>
                    <w:sz w:val="20"/>
                    <w:szCs w:val="20"/>
                  </w:rPr>
                  <m:t>L3</m:t>
                </m:r>
              </m:sub>
            </m:sSub>
            <m:r>
              <m:rPr>
                <m:sty m:val="bi"/>
              </m:rPr>
              <w:rPr>
                <w:rFonts w:ascii="Cambria Math" w:eastAsia="Times New Roman" w:hAnsi="Cambria Math" w:cs="Times New Roman"/>
                <w:sz w:val="20"/>
                <w:szCs w:val="20"/>
              </w:rPr>
              <m:t>-</m:t>
            </m:r>
            <m:sSub>
              <m:sSubPr>
                <m:ctrlPr>
                  <w:rPr>
                    <w:rFonts w:ascii="Cambria Math" w:eastAsia="Times New Roman" w:hAnsi="Cambria Math" w:cs="Times New Roman"/>
                    <w:b/>
                    <w:i/>
                    <w:sz w:val="20"/>
                    <w:szCs w:val="20"/>
                  </w:rPr>
                </m:ctrlPr>
              </m:sSubPr>
              <m:e>
                <m:acc>
                  <m:accPr>
                    <m:chr m:val="̅"/>
                    <m:ctrlPr>
                      <w:rPr>
                        <w:rFonts w:ascii="Cambria Math" w:eastAsia="Times New Roman" w:hAnsi="Cambria Math" w:cs="Times New Roman"/>
                        <w:b/>
                        <w:i/>
                        <w:sz w:val="20"/>
                        <w:szCs w:val="20"/>
                      </w:rPr>
                    </m:ctrlPr>
                  </m:accPr>
                  <m:e>
                    <m:r>
                      <m:rPr>
                        <m:sty m:val="bi"/>
                      </m:rPr>
                      <w:rPr>
                        <w:rFonts w:ascii="Cambria Math" w:eastAsia="Times New Roman" w:hAnsi="Cambria Math" w:cs="Times New Roman"/>
                        <w:sz w:val="20"/>
                        <w:szCs w:val="20"/>
                      </w:rPr>
                      <m:t>MPA</m:t>
                    </m:r>
                  </m:e>
                </m:acc>
              </m:e>
              <m:sub>
                <m:r>
                  <m:rPr>
                    <m:sty m:val="bi"/>
                  </m:rPr>
                  <w:rPr>
                    <w:rFonts w:ascii="Cambria Math" w:eastAsia="Times New Roman" w:hAnsi="Cambria Math" w:cs="Times New Roman"/>
                    <w:sz w:val="20"/>
                    <w:szCs w:val="20"/>
                  </w:rPr>
                  <m:t>L</m:t>
                </m:r>
                <m:r>
                  <m:rPr>
                    <m:sty m:val="bi"/>
                  </m:rPr>
                  <w:rPr>
                    <w:rFonts w:ascii="Cambria Math" w:eastAsia="Times New Roman" w:hAnsi="Cambria Math" w:cs="Times New Roman"/>
                    <w:sz w:val="20"/>
                    <w:szCs w:val="20"/>
                  </w:rPr>
                  <m:t>3</m:t>
                </m:r>
              </m:sub>
            </m:sSub>
          </m:e>
        </m:d>
      </m:oMath>
      <w:r w:rsidR="003C1A73">
        <w:rPr>
          <w:rFonts w:ascii="Times New Roman" w:eastAsia="Times New Roman" w:hAnsi="Times New Roman" w:cs="Times New Roman"/>
          <w:b/>
          <w:sz w:val="20"/>
          <w:szCs w:val="20"/>
        </w:rPr>
        <w:tab/>
      </w:r>
      <w:r w:rsidR="003C1A73">
        <w:rPr>
          <w:rFonts w:ascii="Times New Roman" w:eastAsia="Times New Roman" w:hAnsi="Times New Roman" w:cs="Times New Roman"/>
          <w:b/>
          <w:sz w:val="20"/>
          <w:szCs w:val="20"/>
        </w:rPr>
        <w:tab/>
        <w:t>(3)</w:t>
      </w:r>
    </w:p>
    <w:p w:rsidR="00AC28B6" w:rsidRDefault="00AC28B6">
      <w:pPr>
        <w:spacing w:after="0" w:line="240" w:lineRule="auto"/>
        <w:ind w:left="2160" w:firstLine="720"/>
        <w:rPr>
          <w:rFonts w:ascii="Times New Roman" w:eastAsia="Times New Roman" w:hAnsi="Times New Roman" w:cs="Times New Roman"/>
          <w:b/>
          <w:sz w:val="20"/>
          <w:szCs w:val="20"/>
        </w:rPr>
      </w:pPr>
    </w:p>
    <w:p w:rsidR="00AC28B6" w:rsidRDefault="00AC28B6">
      <w:pPr>
        <w:spacing w:after="0" w:line="240" w:lineRule="auto"/>
        <w:jc w:val="center"/>
        <w:rPr>
          <w:rFonts w:ascii="Times New Roman" w:eastAsia="Times New Roman" w:hAnsi="Times New Roman" w:cs="Times New Roman"/>
          <w:b/>
          <w:sz w:val="20"/>
          <w:szCs w:val="20"/>
        </w:rPr>
      </w:pPr>
    </w:p>
    <w:p w:rsidR="00AC28B6" w:rsidRDefault="00413A1A">
      <w:pPr>
        <w:spacing w:after="0" w:line="240" w:lineRule="auto"/>
        <w:ind w:firstLine="270"/>
        <w:rPr>
          <w:rFonts w:ascii="Times New Roman" w:eastAsia="Times New Roman" w:hAnsi="Times New Roman" w:cs="Times New Roman"/>
          <w:sz w:val="20"/>
          <w:szCs w:val="20"/>
        </w:rPr>
      </w:pPr>
      <w:r>
        <w:rPr>
          <w:rFonts w:ascii="Times New Roman" w:eastAsia="Times New Roman" w:hAnsi="Times New Roman" w:cs="Times New Roman"/>
          <w:sz w:val="20"/>
          <w:szCs w:val="20"/>
        </w:rPr>
        <w:t>After the development of these metrics, a baseline or nominal behavior needs to be established to determine what is anomalous and of potential interest. One dimensional, scalar metrics can be more easily analyzed by simple thresholds</w:t>
      </w:r>
      <w:r w:rsidR="00C7264B">
        <w:rPr>
          <w:rFonts w:ascii="Times New Roman" w:eastAsia="Times New Roman" w:hAnsi="Times New Roman" w:cs="Times New Roman"/>
          <w:sz w:val="20"/>
          <w:szCs w:val="20"/>
        </w:rPr>
        <w:t>, which may be</w:t>
      </w:r>
      <w:r>
        <w:rPr>
          <w:rFonts w:ascii="Times New Roman" w:eastAsia="Times New Roman" w:hAnsi="Times New Roman" w:cs="Times New Roman"/>
          <w:sz w:val="20"/>
          <w:szCs w:val="20"/>
        </w:rPr>
        <w:t xml:space="preserve"> tied to values like the number of standard deviations from the mean</w:t>
      </w:r>
      <w:r w:rsidR="00C7264B">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to determine outliers. In higher dimensions, the similarity of data points is more complicated and requires </w:t>
      </w:r>
      <w:r w:rsidR="00C7264B">
        <w:rPr>
          <w:rFonts w:ascii="Times New Roman" w:eastAsia="Times New Roman" w:hAnsi="Times New Roman" w:cs="Times New Roman"/>
          <w:sz w:val="20"/>
          <w:szCs w:val="20"/>
        </w:rPr>
        <w:t>methods that are more sophisticated</w:t>
      </w:r>
      <w:r>
        <w:rPr>
          <w:rFonts w:ascii="Times New Roman" w:eastAsia="Times New Roman" w:hAnsi="Times New Roman" w:cs="Times New Roman"/>
          <w:sz w:val="20"/>
          <w:szCs w:val="20"/>
        </w:rPr>
        <w:t>. In this work, we create a space where M</w:t>
      </w:r>
      <w:r>
        <w:rPr>
          <w:rFonts w:ascii="Times New Roman" w:eastAsia="Times New Roman" w:hAnsi="Times New Roman" w:cs="Times New Roman"/>
          <w:sz w:val="20"/>
          <w:szCs w:val="20"/>
          <w:vertAlign w:val="subscript"/>
        </w:rPr>
        <w:t>1</w:t>
      </w:r>
      <w:r>
        <w:rPr>
          <w:rFonts w:ascii="Times New Roman" w:eastAsia="Times New Roman" w:hAnsi="Times New Roman" w:cs="Times New Roman"/>
          <w:sz w:val="20"/>
          <w:szCs w:val="20"/>
        </w:rPr>
        <w:t>, M</w:t>
      </w:r>
      <w:r>
        <w:rPr>
          <w:rFonts w:ascii="Times New Roman" w:eastAsia="Times New Roman" w:hAnsi="Times New Roman" w:cs="Times New Roman"/>
          <w:sz w:val="20"/>
          <w:szCs w:val="20"/>
          <w:vertAlign w:val="subscript"/>
        </w:rPr>
        <w:t>2</w:t>
      </w:r>
      <w:r>
        <w:rPr>
          <w:rFonts w:ascii="Times New Roman" w:eastAsia="Times New Roman" w:hAnsi="Times New Roman" w:cs="Times New Roman"/>
          <w:sz w:val="20"/>
          <w:szCs w:val="20"/>
        </w:rPr>
        <w:t>, and M</w:t>
      </w:r>
      <w:r>
        <w:rPr>
          <w:rFonts w:ascii="Times New Roman" w:eastAsia="Times New Roman" w:hAnsi="Times New Roman" w:cs="Times New Roman"/>
          <w:sz w:val="20"/>
          <w:szCs w:val="20"/>
          <w:vertAlign w:val="subscript"/>
        </w:rPr>
        <w:t>3</w:t>
      </w:r>
      <w:r>
        <w:rPr>
          <w:rFonts w:ascii="Times New Roman" w:eastAsia="Times New Roman" w:hAnsi="Times New Roman" w:cs="Times New Roman"/>
          <w:sz w:val="20"/>
          <w:szCs w:val="20"/>
        </w:rPr>
        <w:t xml:space="preserve"> are axes in three dimensions and we add a fourth dimension, the melt pool area on the reference layer. </w:t>
      </w:r>
      <w:r w:rsidR="00543DCF">
        <w:rPr>
          <w:rFonts w:ascii="Times New Roman" w:eastAsia="Times New Roman" w:hAnsi="Times New Roman" w:cs="Times New Roman"/>
          <w:sz w:val="20"/>
          <w:szCs w:val="20"/>
        </w:rPr>
        <w:t>At first, it may appear that M</w:t>
      </w:r>
      <w:r w:rsidR="00543DCF" w:rsidRPr="00CD0FF9">
        <w:rPr>
          <w:rFonts w:ascii="Times New Roman" w:eastAsia="Times New Roman" w:hAnsi="Times New Roman" w:cs="Times New Roman"/>
          <w:sz w:val="20"/>
          <w:szCs w:val="20"/>
          <w:vertAlign w:val="subscript"/>
        </w:rPr>
        <w:t>1</w:t>
      </w:r>
      <w:r w:rsidR="00543DCF">
        <w:rPr>
          <w:rFonts w:ascii="Times New Roman" w:eastAsia="Times New Roman" w:hAnsi="Times New Roman" w:cs="Times New Roman"/>
          <w:sz w:val="20"/>
          <w:szCs w:val="20"/>
        </w:rPr>
        <w:t xml:space="preserve"> is linearly dependent on the melt pool area of the </w:t>
      </w:r>
      <w:r w:rsidR="00705F45">
        <w:rPr>
          <w:rFonts w:ascii="Times New Roman" w:eastAsia="Times New Roman" w:hAnsi="Times New Roman" w:cs="Times New Roman"/>
          <w:sz w:val="20"/>
          <w:szCs w:val="20"/>
        </w:rPr>
        <w:t>reference layer</w:t>
      </w:r>
      <w:r w:rsidR="00543DCF">
        <w:rPr>
          <w:rFonts w:ascii="Times New Roman" w:eastAsia="Times New Roman" w:hAnsi="Times New Roman" w:cs="Times New Roman"/>
          <w:sz w:val="20"/>
          <w:szCs w:val="20"/>
        </w:rPr>
        <w:t>. However, this is not exactly true, since M</w:t>
      </w:r>
      <w:r w:rsidR="00543DCF" w:rsidRPr="00CD0FF9">
        <w:rPr>
          <w:rFonts w:ascii="Times New Roman" w:eastAsia="Times New Roman" w:hAnsi="Times New Roman" w:cs="Times New Roman"/>
          <w:sz w:val="20"/>
          <w:szCs w:val="20"/>
          <w:vertAlign w:val="subscript"/>
        </w:rPr>
        <w:t>1</w:t>
      </w:r>
      <w:r w:rsidR="00543DCF">
        <w:rPr>
          <w:rFonts w:ascii="Times New Roman" w:eastAsia="Times New Roman" w:hAnsi="Times New Roman" w:cs="Times New Roman"/>
          <w:sz w:val="20"/>
          <w:szCs w:val="20"/>
        </w:rPr>
        <w:t xml:space="preserve"> is the difference in the normalized melt pool area in the same local region </w:t>
      </w:r>
      <w:r w:rsidR="00705F45">
        <w:rPr>
          <w:rFonts w:ascii="Times New Roman" w:eastAsia="Times New Roman" w:hAnsi="Times New Roman" w:cs="Times New Roman"/>
          <w:sz w:val="20"/>
          <w:szCs w:val="20"/>
        </w:rPr>
        <w:t>on</w:t>
      </w:r>
      <w:r w:rsidR="00543DCF">
        <w:rPr>
          <w:rFonts w:ascii="Times New Roman" w:eastAsia="Times New Roman" w:hAnsi="Times New Roman" w:cs="Times New Roman"/>
          <w:sz w:val="20"/>
          <w:szCs w:val="20"/>
        </w:rPr>
        <w:t xml:space="preserve"> </w:t>
      </w:r>
      <w:r w:rsidR="00705F45">
        <w:rPr>
          <w:rFonts w:ascii="Times New Roman" w:eastAsia="Times New Roman" w:hAnsi="Times New Roman" w:cs="Times New Roman"/>
          <w:sz w:val="20"/>
          <w:szCs w:val="20"/>
        </w:rPr>
        <w:t>the reference</w:t>
      </w:r>
      <w:r w:rsidR="00543DCF">
        <w:rPr>
          <w:rFonts w:ascii="Times New Roman" w:eastAsia="Times New Roman" w:hAnsi="Times New Roman" w:cs="Times New Roman"/>
          <w:sz w:val="20"/>
          <w:szCs w:val="20"/>
        </w:rPr>
        <w:t xml:space="preserve"> </w:t>
      </w:r>
      <w:r w:rsidR="00705F45">
        <w:rPr>
          <w:rFonts w:ascii="Times New Roman" w:eastAsia="Times New Roman" w:hAnsi="Times New Roman" w:cs="Times New Roman"/>
          <w:sz w:val="20"/>
          <w:szCs w:val="20"/>
        </w:rPr>
        <w:t>layer</w:t>
      </w:r>
      <w:r w:rsidR="00543DCF">
        <w:rPr>
          <w:rFonts w:ascii="Times New Roman" w:eastAsia="Times New Roman" w:hAnsi="Times New Roman" w:cs="Times New Roman"/>
          <w:sz w:val="20"/>
          <w:szCs w:val="20"/>
        </w:rPr>
        <w:t xml:space="preserve"> </w:t>
      </w:r>
      <w:r w:rsidR="00705F45">
        <w:rPr>
          <w:rFonts w:ascii="Times New Roman" w:eastAsia="Times New Roman" w:hAnsi="Times New Roman" w:cs="Times New Roman"/>
          <w:sz w:val="20"/>
          <w:szCs w:val="20"/>
        </w:rPr>
        <w:t>and</w:t>
      </w:r>
      <w:r w:rsidR="00543DCF">
        <w:rPr>
          <w:rFonts w:ascii="Times New Roman" w:eastAsia="Times New Roman" w:hAnsi="Times New Roman" w:cs="Times New Roman"/>
          <w:sz w:val="20"/>
          <w:szCs w:val="20"/>
        </w:rPr>
        <w:t xml:space="preserve"> layer 2. It is possible for the same difference in normalized melt pool area to be observed when the melt pool area is relatively small or large on the </w:t>
      </w:r>
      <w:r w:rsidR="00705F45">
        <w:rPr>
          <w:rFonts w:ascii="Times New Roman" w:eastAsia="Times New Roman" w:hAnsi="Times New Roman" w:cs="Times New Roman"/>
          <w:sz w:val="20"/>
          <w:szCs w:val="20"/>
        </w:rPr>
        <w:t>reference</w:t>
      </w:r>
      <w:r w:rsidR="00543DCF">
        <w:rPr>
          <w:rFonts w:ascii="Times New Roman" w:eastAsia="Times New Roman" w:hAnsi="Times New Roman" w:cs="Times New Roman"/>
          <w:sz w:val="20"/>
          <w:szCs w:val="20"/>
        </w:rPr>
        <w:t xml:space="preserve"> layer. </w:t>
      </w:r>
      <w:r>
        <w:rPr>
          <w:rFonts w:ascii="Times New Roman" w:eastAsia="Times New Roman" w:hAnsi="Times New Roman" w:cs="Times New Roman"/>
          <w:sz w:val="20"/>
          <w:szCs w:val="20"/>
        </w:rPr>
        <w:t xml:space="preserve">Figure </w:t>
      </w:r>
      <w:r w:rsidR="00A01B19">
        <w:rPr>
          <w:rFonts w:ascii="Times New Roman" w:eastAsia="Times New Roman" w:hAnsi="Times New Roman" w:cs="Times New Roman"/>
          <w:sz w:val="20"/>
          <w:szCs w:val="20"/>
        </w:rPr>
        <w:t xml:space="preserve">3 </w:t>
      </w:r>
      <w:r>
        <w:rPr>
          <w:rFonts w:ascii="Times New Roman" w:eastAsia="Times New Roman" w:hAnsi="Times New Roman" w:cs="Times New Roman"/>
          <w:sz w:val="20"/>
          <w:szCs w:val="20"/>
        </w:rPr>
        <w:t xml:space="preserve">illustrates the first three dimensions as a Euclidean space and colors the data points by their fourth-dimension position for visualization purposes. </w:t>
      </w:r>
    </w:p>
    <w:p w:rsidR="00AC28B6" w:rsidRDefault="00AC28B6">
      <w:pPr>
        <w:spacing w:after="0" w:line="240" w:lineRule="auto"/>
        <w:ind w:firstLine="270"/>
        <w:rPr>
          <w:rFonts w:ascii="Times New Roman" w:eastAsia="Times New Roman" w:hAnsi="Times New Roman" w:cs="Times New Roman"/>
          <w:sz w:val="20"/>
          <w:szCs w:val="20"/>
        </w:rPr>
      </w:pPr>
    </w:p>
    <w:p w:rsidR="00AC28B6" w:rsidRDefault="00413A1A">
      <w:pPr>
        <w:spacing w:after="240" w:line="240" w:lineRule="auto"/>
        <w:jc w:val="center"/>
        <w:rPr>
          <w:rFonts w:ascii="Times New Roman" w:eastAsia="Times New Roman" w:hAnsi="Times New Roman" w:cs="Times New Roman"/>
          <w:b/>
          <w:sz w:val="20"/>
          <w:szCs w:val="20"/>
        </w:rPr>
      </w:pPr>
      <w:r>
        <w:rPr>
          <w:rFonts w:ascii="Times New Roman" w:eastAsia="Times New Roman" w:hAnsi="Times New Roman" w:cs="Times New Roman"/>
          <w:b/>
          <w:noProof/>
          <w:sz w:val="20"/>
          <w:szCs w:val="20"/>
        </w:rPr>
        <w:lastRenderedPageBreak/>
        <w:drawing>
          <wp:inline distT="114300" distB="114300" distL="114300" distR="114300">
            <wp:extent cx="3826990" cy="2848332"/>
            <wp:effectExtent l="0" t="0" r="0" b="0"/>
            <wp:docPr id="1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0"/>
                    <a:srcRect/>
                    <a:stretch>
                      <a:fillRect/>
                    </a:stretch>
                  </pic:blipFill>
                  <pic:spPr>
                    <a:xfrm>
                      <a:off x="0" y="0"/>
                      <a:ext cx="3826990" cy="2848332"/>
                    </a:xfrm>
                    <a:prstGeom prst="rect">
                      <a:avLst/>
                    </a:prstGeom>
                    <a:ln/>
                  </pic:spPr>
                </pic:pic>
              </a:graphicData>
            </a:graphic>
          </wp:inline>
        </w:drawing>
      </w:r>
    </w:p>
    <w:p w:rsidR="00AC28B6" w:rsidRDefault="00413A1A">
      <w:pPr>
        <w:spacing w:after="240" w:line="240" w:lineRule="auto"/>
        <w:jc w:val="center"/>
        <w:rPr>
          <w:rFonts w:ascii="Times New Roman" w:eastAsia="Times New Roman" w:hAnsi="Times New Roman" w:cs="Times New Roman"/>
          <w:sz w:val="20"/>
          <w:szCs w:val="20"/>
        </w:rPr>
      </w:pPr>
      <w:r w:rsidRPr="00133659">
        <w:rPr>
          <w:rFonts w:ascii="Times New Roman" w:eastAsia="Times New Roman" w:hAnsi="Times New Roman" w:cs="Times New Roman"/>
          <w:sz w:val="20"/>
          <w:szCs w:val="20"/>
        </w:rPr>
        <w:t xml:space="preserve">Figure </w:t>
      </w:r>
      <w:r w:rsidR="00A01B19">
        <w:rPr>
          <w:rFonts w:ascii="Times New Roman" w:eastAsia="Times New Roman" w:hAnsi="Times New Roman" w:cs="Times New Roman"/>
          <w:sz w:val="20"/>
          <w:szCs w:val="20"/>
        </w:rPr>
        <w:t>3</w:t>
      </w:r>
      <w:r w:rsidRPr="00133659">
        <w:rPr>
          <w:rFonts w:ascii="Times New Roman" w:eastAsia="Times New Roman" w:hAnsi="Times New Roman" w:cs="Times New Roman"/>
          <w:sz w:val="20"/>
          <w:szCs w:val="20"/>
        </w:rPr>
        <w:t>:</w:t>
      </w:r>
      <w:r>
        <w:rPr>
          <w:rFonts w:ascii="Times New Roman" w:eastAsia="Times New Roman" w:hAnsi="Times New Roman" w:cs="Times New Roman"/>
          <w:b/>
          <w:sz w:val="20"/>
          <w:szCs w:val="20"/>
        </w:rPr>
        <w:t xml:space="preserve"> </w:t>
      </w:r>
      <w:r>
        <w:rPr>
          <w:rFonts w:ascii="Times New Roman" w:eastAsia="Times New Roman" w:hAnsi="Times New Roman" w:cs="Times New Roman"/>
          <w:sz w:val="20"/>
          <w:szCs w:val="20"/>
        </w:rPr>
        <w:t xml:space="preserve">Using the same 4-layer window as </w:t>
      </w:r>
      <w:r w:rsidRPr="00133659">
        <w:rPr>
          <w:rFonts w:ascii="Times New Roman" w:eastAsia="Times New Roman" w:hAnsi="Times New Roman" w:cs="Times New Roman"/>
          <w:sz w:val="20"/>
          <w:szCs w:val="20"/>
        </w:rPr>
        <w:t xml:space="preserve">Figure </w:t>
      </w:r>
      <w:r w:rsidR="00A01B19">
        <w:rPr>
          <w:rFonts w:ascii="Times New Roman" w:eastAsia="Times New Roman" w:hAnsi="Times New Roman" w:cs="Times New Roman"/>
          <w:sz w:val="20"/>
          <w:szCs w:val="20"/>
        </w:rPr>
        <w:t>2</w:t>
      </w:r>
      <w:r>
        <w:rPr>
          <w:rFonts w:ascii="Times New Roman" w:eastAsia="Times New Roman" w:hAnsi="Times New Roman" w:cs="Times New Roman"/>
          <w:b/>
          <w:sz w:val="20"/>
          <w:szCs w:val="20"/>
        </w:rPr>
        <w:t xml:space="preserve">, </w:t>
      </w:r>
      <w:r>
        <w:rPr>
          <w:rFonts w:ascii="Times New Roman" w:eastAsia="Times New Roman" w:hAnsi="Times New Roman" w:cs="Times New Roman"/>
          <w:sz w:val="20"/>
          <w:szCs w:val="20"/>
        </w:rPr>
        <w:t>a DB Scan algorithm labeled each point as an outlier or nominal.  Grey points are nominal and the colored points are outliers</w:t>
      </w:r>
    </w:p>
    <w:p w:rsidR="00AC28B6" w:rsidRDefault="00413A1A">
      <w:pPr>
        <w:spacing w:after="0" w:line="240" w:lineRule="auto"/>
        <w:ind w:firstLine="270"/>
        <w:rPr>
          <w:rFonts w:ascii="Times New Roman" w:eastAsia="Times New Roman" w:hAnsi="Times New Roman" w:cs="Times New Roman"/>
          <w:b/>
          <w:sz w:val="20"/>
          <w:szCs w:val="20"/>
        </w:rPr>
      </w:pPr>
      <w:r>
        <w:rPr>
          <w:rFonts w:ascii="Times New Roman" w:eastAsia="Times New Roman" w:hAnsi="Times New Roman" w:cs="Times New Roman"/>
          <w:sz w:val="20"/>
          <w:szCs w:val="20"/>
        </w:rPr>
        <w:t xml:space="preserve">In order to identify points of interest in an unsupervised manner, the </w:t>
      </w:r>
      <w:r>
        <w:rPr>
          <w:rFonts w:ascii="Times New Roman" w:eastAsia="Times New Roman" w:hAnsi="Times New Roman" w:cs="Times New Roman"/>
          <w:color w:val="202122"/>
          <w:sz w:val="20"/>
          <w:szCs w:val="20"/>
          <w:highlight w:val="white"/>
        </w:rPr>
        <w:t>density-based spatial clustering of applications with noise (</w:t>
      </w:r>
      <w:r>
        <w:rPr>
          <w:rFonts w:ascii="Times New Roman" w:eastAsia="Times New Roman" w:hAnsi="Times New Roman" w:cs="Times New Roman"/>
          <w:sz w:val="20"/>
          <w:szCs w:val="20"/>
        </w:rPr>
        <w:t xml:space="preserve">DBSCAN) algorithm was used to group the data. </w:t>
      </w:r>
      <w:r>
        <w:rPr>
          <w:rFonts w:ascii="Times New Roman" w:eastAsia="Times New Roman" w:hAnsi="Times New Roman" w:cs="Times New Roman"/>
          <w:color w:val="202122"/>
          <w:sz w:val="20"/>
          <w:szCs w:val="20"/>
          <w:highlight w:val="white"/>
        </w:rPr>
        <w:t>Given a point cloud of data in some space, DBSCAN separates closely packed point clusters (points that have numerous physically-close neighbors) and marks points whose nearest neighbors are far away as outliers</w:t>
      </w:r>
      <w:r>
        <w:rPr>
          <w:rFonts w:ascii="Times New Roman" w:eastAsia="Times New Roman" w:hAnsi="Times New Roman" w:cs="Times New Roman"/>
          <w:sz w:val="20"/>
          <w:szCs w:val="20"/>
        </w:rPr>
        <w:t xml:space="preserve">. </w:t>
      </w:r>
      <w:r w:rsidR="00543DCF">
        <w:rPr>
          <w:rFonts w:ascii="Times New Roman" w:eastAsia="Times New Roman" w:hAnsi="Times New Roman" w:cs="Times New Roman"/>
          <w:sz w:val="20"/>
          <w:szCs w:val="20"/>
        </w:rPr>
        <w:t xml:space="preserve">DBSCAN requires two </w:t>
      </w:r>
      <w:r w:rsidR="00705F45">
        <w:rPr>
          <w:rFonts w:ascii="Times New Roman" w:eastAsia="Times New Roman" w:hAnsi="Times New Roman" w:cs="Times New Roman"/>
          <w:sz w:val="20"/>
          <w:szCs w:val="20"/>
        </w:rPr>
        <w:t>controlling parameters,</w:t>
      </w:r>
      <w:r w:rsidR="00705F45" w:rsidRPr="00CD0FF9">
        <w:rPr>
          <w:rFonts w:ascii="Times New Roman" w:eastAsia="Times New Roman" w:hAnsi="Times New Roman" w:cs="Times New Roman"/>
          <w:sz w:val="14"/>
          <w:szCs w:val="20"/>
        </w:rPr>
        <w:t xml:space="preserve"> </w:t>
      </w:r>
      <w:r w:rsidR="00705F45" w:rsidRPr="00CD0FF9">
        <w:rPr>
          <w:rFonts w:ascii="Times New Roman" w:hAnsi="Times New Roman" w:cs="Times New Roman"/>
          <w:color w:val="000000"/>
          <w:sz w:val="20"/>
          <w:szCs w:val="27"/>
          <w:shd w:val="clear" w:color="auto" w:fill="FFFFFF"/>
        </w:rPr>
        <w:t xml:space="preserve">a minimum number of points to </w:t>
      </w:r>
      <w:r w:rsidR="00705F45">
        <w:rPr>
          <w:rFonts w:ascii="Times New Roman" w:hAnsi="Times New Roman" w:cs="Times New Roman"/>
          <w:color w:val="000000"/>
          <w:sz w:val="20"/>
          <w:szCs w:val="27"/>
          <w:shd w:val="clear" w:color="auto" w:fill="FFFFFF"/>
        </w:rPr>
        <w:t>create a valid</w:t>
      </w:r>
      <w:r w:rsidR="00705F45" w:rsidRPr="00CD0FF9">
        <w:rPr>
          <w:rFonts w:ascii="Times New Roman" w:hAnsi="Times New Roman" w:cs="Times New Roman"/>
          <w:color w:val="000000"/>
          <w:sz w:val="20"/>
          <w:szCs w:val="27"/>
          <w:shd w:val="clear" w:color="auto" w:fill="FFFFFF"/>
        </w:rPr>
        <w:t xml:space="preserve"> cluster and a </w:t>
      </w:r>
      <w:r w:rsidR="00705F45">
        <w:rPr>
          <w:rFonts w:ascii="Times New Roman" w:hAnsi="Times New Roman" w:cs="Times New Roman"/>
          <w:color w:val="000000"/>
          <w:sz w:val="20"/>
          <w:szCs w:val="27"/>
          <w:shd w:val="clear" w:color="auto" w:fill="FFFFFF"/>
        </w:rPr>
        <w:t xml:space="preserve">neighborhood </w:t>
      </w:r>
      <w:r w:rsidR="00705F45" w:rsidRPr="00CD0FF9">
        <w:rPr>
          <w:rFonts w:ascii="Times New Roman" w:hAnsi="Times New Roman" w:cs="Times New Roman"/>
          <w:color w:val="000000"/>
          <w:sz w:val="20"/>
          <w:szCs w:val="27"/>
          <w:shd w:val="clear" w:color="auto" w:fill="FFFFFF"/>
        </w:rPr>
        <w:t>radius</w:t>
      </w:r>
      <w:r w:rsidR="00705F45">
        <w:rPr>
          <w:rFonts w:ascii="Times New Roman" w:hAnsi="Times New Roman" w:cs="Times New Roman"/>
          <w:color w:val="000000"/>
          <w:sz w:val="20"/>
          <w:szCs w:val="27"/>
          <w:shd w:val="clear" w:color="auto" w:fill="FFFFFF"/>
        </w:rPr>
        <w:t xml:space="preserve"> for searching; which were set in the current clustering to 100 and 40, respectively.</w:t>
      </w:r>
      <w:r>
        <w:rPr>
          <w:rFonts w:ascii="Times New Roman" w:eastAsia="Times New Roman" w:hAnsi="Times New Roman" w:cs="Times New Roman"/>
          <w:sz w:val="20"/>
          <w:szCs w:val="20"/>
        </w:rPr>
        <w:t xml:space="preserve"> </w:t>
      </w:r>
      <w:r w:rsidRPr="00133659">
        <w:rPr>
          <w:rFonts w:ascii="Times New Roman" w:eastAsia="Times New Roman" w:hAnsi="Times New Roman" w:cs="Times New Roman"/>
          <w:sz w:val="20"/>
          <w:szCs w:val="20"/>
        </w:rPr>
        <w:t xml:space="preserve">Figure </w:t>
      </w:r>
      <w:r w:rsidR="00A01B19">
        <w:rPr>
          <w:rFonts w:ascii="Times New Roman" w:eastAsia="Times New Roman" w:hAnsi="Times New Roman" w:cs="Times New Roman"/>
          <w:sz w:val="20"/>
          <w:szCs w:val="20"/>
        </w:rPr>
        <w:t xml:space="preserve">3 </w:t>
      </w:r>
      <w:r>
        <w:rPr>
          <w:rFonts w:ascii="Times New Roman" w:eastAsia="Times New Roman" w:hAnsi="Times New Roman" w:cs="Times New Roman"/>
          <w:sz w:val="20"/>
          <w:szCs w:val="20"/>
        </w:rPr>
        <w:t>shows how points were assigned, with grey points belonging to the main cluster (i</w:t>
      </w:r>
      <w:r w:rsidR="00C7264B">
        <w:rPr>
          <w:rFonts w:ascii="Times New Roman" w:eastAsia="Times New Roman" w:hAnsi="Times New Roman" w:cs="Times New Roman"/>
          <w:sz w:val="20"/>
          <w:szCs w:val="20"/>
        </w:rPr>
        <w:t>.</w:t>
      </w:r>
      <w:r>
        <w:rPr>
          <w:rFonts w:ascii="Times New Roman" w:eastAsia="Times New Roman" w:hAnsi="Times New Roman" w:cs="Times New Roman"/>
          <w:sz w:val="20"/>
          <w:szCs w:val="20"/>
        </w:rPr>
        <w:t>e</w:t>
      </w:r>
      <w:r w:rsidR="00C7264B">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nominal processing response) and colored points being labelled as outliers (i</w:t>
      </w:r>
      <w:r w:rsidR="00C7264B">
        <w:rPr>
          <w:rFonts w:ascii="Times New Roman" w:eastAsia="Times New Roman" w:hAnsi="Times New Roman" w:cs="Times New Roman"/>
          <w:sz w:val="20"/>
          <w:szCs w:val="20"/>
        </w:rPr>
        <w:t>.</w:t>
      </w:r>
      <w:r>
        <w:rPr>
          <w:rFonts w:ascii="Times New Roman" w:eastAsia="Times New Roman" w:hAnsi="Times New Roman" w:cs="Times New Roman"/>
          <w:sz w:val="20"/>
          <w:szCs w:val="20"/>
        </w:rPr>
        <w:t>e</w:t>
      </w:r>
      <w:r w:rsidR="00C7264B">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exhibiting non-nominal processing response). It is important to understand where the points that were assigned the outlier label are located in the actual geometry of the part. </w:t>
      </w:r>
      <w:r w:rsidRPr="00133659">
        <w:rPr>
          <w:rFonts w:ascii="Times New Roman" w:eastAsia="Times New Roman" w:hAnsi="Times New Roman" w:cs="Times New Roman"/>
          <w:sz w:val="20"/>
          <w:szCs w:val="20"/>
        </w:rPr>
        <w:t xml:space="preserve"> Figure </w:t>
      </w:r>
      <w:r w:rsidR="00A01B19">
        <w:rPr>
          <w:rFonts w:ascii="Times New Roman" w:eastAsia="Times New Roman" w:hAnsi="Times New Roman" w:cs="Times New Roman"/>
          <w:sz w:val="20"/>
          <w:szCs w:val="20"/>
        </w:rPr>
        <w:t>3</w:t>
      </w:r>
      <w:r w:rsidR="00A01B19" w:rsidRPr="00133659">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 xml:space="preserve">shows there exists two sections to this outlier group; the points to the right of the nominal group consist of generally smaller first layer melt pool areas while the points to the left consist of mostly larger first layer melt pool areas. </w:t>
      </w:r>
      <w:r w:rsidRPr="00133659">
        <w:rPr>
          <w:rFonts w:ascii="Times New Roman" w:eastAsia="Times New Roman" w:hAnsi="Times New Roman" w:cs="Times New Roman"/>
          <w:sz w:val="20"/>
          <w:szCs w:val="20"/>
        </w:rPr>
        <w:t>Figure</w:t>
      </w:r>
      <w:r w:rsidR="00133659" w:rsidRPr="00133659">
        <w:rPr>
          <w:rFonts w:ascii="Times New Roman" w:eastAsia="Times New Roman" w:hAnsi="Times New Roman" w:cs="Times New Roman"/>
          <w:sz w:val="20"/>
          <w:szCs w:val="20"/>
        </w:rPr>
        <w:t xml:space="preserve"> 3</w:t>
      </w:r>
      <w:r w:rsidRPr="00133659">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explores where all outliers exist within the part and how the two different sections interact.</w:t>
      </w:r>
    </w:p>
    <w:p w:rsidR="00AC28B6" w:rsidRDefault="00413A1A">
      <w:pPr>
        <w:spacing w:after="0" w:line="240" w:lineRule="auto"/>
        <w:ind w:firstLine="270"/>
        <w:jc w:val="both"/>
        <w:rPr>
          <w:rFonts w:ascii="Times New Roman" w:eastAsia="Times New Roman" w:hAnsi="Times New Roman" w:cs="Times New Roman"/>
          <w:sz w:val="20"/>
          <w:szCs w:val="20"/>
        </w:rPr>
      </w:pPr>
      <w:r w:rsidRPr="00133659">
        <w:rPr>
          <w:rFonts w:ascii="Times New Roman" w:eastAsia="Times New Roman" w:hAnsi="Times New Roman" w:cs="Times New Roman"/>
          <w:sz w:val="20"/>
          <w:szCs w:val="20"/>
        </w:rPr>
        <w:t xml:space="preserve">Figure </w:t>
      </w:r>
      <w:r w:rsidR="00A01B19">
        <w:rPr>
          <w:rFonts w:ascii="Times New Roman" w:eastAsia="Times New Roman" w:hAnsi="Times New Roman" w:cs="Times New Roman"/>
          <w:sz w:val="20"/>
          <w:szCs w:val="20"/>
        </w:rPr>
        <w:t>4</w:t>
      </w:r>
      <w:r w:rsidR="00A01B19" w:rsidRPr="00133659">
        <w:rPr>
          <w:rFonts w:ascii="Times New Roman" w:eastAsia="Times New Roman" w:hAnsi="Times New Roman" w:cs="Times New Roman"/>
          <w:sz w:val="20"/>
          <w:szCs w:val="20"/>
        </w:rPr>
        <w:t>a</w:t>
      </w:r>
      <w:r w:rsidR="00A01B19">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 xml:space="preserve">shows clearly a group of points with low </w:t>
      </w:r>
      <w:r w:rsidR="00C7264B">
        <w:rPr>
          <w:rFonts w:ascii="Times New Roman" w:eastAsia="Times New Roman" w:hAnsi="Times New Roman" w:cs="Times New Roman"/>
          <w:sz w:val="20"/>
          <w:szCs w:val="20"/>
        </w:rPr>
        <w:t>reference</w:t>
      </w:r>
      <w:r w:rsidR="00C7264B">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 xml:space="preserve">layer melt pool area within the center of the part as well as a ring around the circumference. Scattered throughout the rest of the part are points with large </w:t>
      </w:r>
      <w:r w:rsidR="00C7264B">
        <w:rPr>
          <w:rFonts w:ascii="Times New Roman" w:eastAsia="Times New Roman" w:hAnsi="Times New Roman" w:cs="Times New Roman"/>
          <w:sz w:val="20"/>
          <w:szCs w:val="20"/>
        </w:rPr>
        <w:t>reference</w:t>
      </w:r>
      <w:r w:rsidR="00C7264B">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layer melt pool area which are likely not indicative of a flaw (at least a lack of fusion de</w:t>
      </w:r>
      <w:r w:rsidR="00133659">
        <w:rPr>
          <w:rFonts w:ascii="Times New Roman" w:eastAsia="Times New Roman" w:hAnsi="Times New Roman" w:cs="Times New Roman"/>
          <w:sz w:val="20"/>
          <w:szCs w:val="20"/>
        </w:rPr>
        <w:t>fect of interest in this work).</w:t>
      </w:r>
      <w:r>
        <w:rPr>
          <w:rFonts w:ascii="Times New Roman" w:eastAsia="Times New Roman" w:hAnsi="Times New Roman" w:cs="Times New Roman"/>
          <w:sz w:val="20"/>
          <w:szCs w:val="20"/>
        </w:rPr>
        <w:t xml:space="preserve"> </w:t>
      </w:r>
      <w:r w:rsidRPr="00133659">
        <w:rPr>
          <w:rFonts w:ascii="Times New Roman" w:eastAsia="Times New Roman" w:hAnsi="Times New Roman" w:cs="Times New Roman"/>
          <w:sz w:val="20"/>
          <w:szCs w:val="20"/>
        </w:rPr>
        <w:t>Figure</w:t>
      </w:r>
      <w:r w:rsidR="00133659" w:rsidRPr="00133659">
        <w:rPr>
          <w:rFonts w:ascii="Times New Roman" w:eastAsia="Times New Roman" w:hAnsi="Times New Roman" w:cs="Times New Roman"/>
          <w:sz w:val="20"/>
          <w:szCs w:val="20"/>
        </w:rPr>
        <w:t xml:space="preserve"> </w:t>
      </w:r>
      <w:r w:rsidR="00A01B19">
        <w:rPr>
          <w:rFonts w:ascii="Times New Roman" w:eastAsia="Times New Roman" w:hAnsi="Times New Roman" w:cs="Times New Roman"/>
          <w:sz w:val="20"/>
          <w:szCs w:val="20"/>
        </w:rPr>
        <w:t>4</w:t>
      </w:r>
      <w:r w:rsidR="00A01B19" w:rsidRPr="00133659">
        <w:rPr>
          <w:rFonts w:ascii="Times New Roman" w:eastAsia="Times New Roman" w:hAnsi="Times New Roman" w:cs="Times New Roman"/>
          <w:sz w:val="20"/>
          <w:szCs w:val="20"/>
        </w:rPr>
        <w:t>b</w:t>
      </w:r>
      <w:r w:rsidR="00A01B19">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 xml:space="preserve">selects only outlier points with a first layer melt pool area that is below the average for the outlier group.  This cleans up most of the extraneous points except for the outside ring while keeping the center largely intact. </w:t>
      </w:r>
      <w:r w:rsidRPr="00133659">
        <w:rPr>
          <w:rFonts w:ascii="Times New Roman" w:eastAsia="Times New Roman" w:hAnsi="Times New Roman" w:cs="Times New Roman"/>
          <w:sz w:val="20"/>
          <w:szCs w:val="20"/>
        </w:rPr>
        <w:t xml:space="preserve">Figure </w:t>
      </w:r>
      <w:r w:rsidR="00A01B19">
        <w:rPr>
          <w:rFonts w:ascii="Times New Roman" w:eastAsia="Times New Roman" w:hAnsi="Times New Roman" w:cs="Times New Roman"/>
          <w:sz w:val="20"/>
          <w:szCs w:val="20"/>
        </w:rPr>
        <w:t>4</w:t>
      </w:r>
      <w:r w:rsidR="00A01B19" w:rsidRPr="00133659">
        <w:rPr>
          <w:rFonts w:ascii="Times New Roman" w:eastAsia="Times New Roman" w:hAnsi="Times New Roman" w:cs="Times New Roman"/>
          <w:sz w:val="20"/>
          <w:szCs w:val="20"/>
        </w:rPr>
        <w:t>c</w:t>
      </w:r>
      <w:r w:rsidR="00A01B19">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 xml:space="preserve">shows the raw CT image that correlates to the analysis window. It is clear that there is a similarity between the highlighted points in </w:t>
      </w:r>
      <w:r w:rsidRPr="00133659">
        <w:rPr>
          <w:rFonts w:ascii="Times New Roman" w:eastAsia="Times New Roman" w:hAnsi="Times New Roman" w:cs="Times New Roman"/>
          <w:sz w:val="20"/>
          <w:szCs w:val="20"/>
        </w:rPr>
        <w:t xml:space="preserve">Figure </w:t>
      </w:r>
      <w:r w:rsidR="00A01B19">
        <w:rPr>
          <w:rFonts w:ascii="Times New Roman" w:eastAsia="Times New Roman" w:hAnsi="Times New Roman" w:cs="Times New Roman"/>
          <w:sz w:val="20"/>
          <w:szCs w:val="20"/>
        </w:rPr>
        <w:t>4</w:t>
      </w:r>
      <w:r w:rsidR="00A01B19" w:rsidRPr="00133659">
        <w:rPr>
          <w:rFonts w:ascii="Times New Roman" w:eastAsia="Times New Roman" w:hAnsi="Times New Roman" w:cs="Times New Roman"/>
          <w:sz w:val="20"/>
          <w:szCs w:val="20"/>
        </w:rPr>
        <w:t xml:space="preserve">b </w:t>
      </w:r>
      <w:r>
        <w:rPr>
          <w:rFonts w:ascii="Times New Roman" w:eastAsia="Times New Roman" w:hAnsi="Times New Roman" w:cs="Times New Roman"/>
          <w:sz w:val="20"/>
          <w:szCs w:val="20"/>
        </w:rPr>
        <w:t>and the voids present in</w:t>
      </w:r>
      <w:r w:rsidRPr="00133659">
        <w:rPr>
          <w:rFonts w:ascii="Times New Roman" w:eastAsia="Times New Roman" w:hAnsi="Times New Roman" w:cs="Times New Roman"/>
          <w:sz w:val="20"/>
          <w:szCs w:val="20"/>
        </w:rPr>
        <w:t xml:space="preserve"> Figure</w:t>
      </w:r>
      <w:r w:rsidR="00133659" w:rsidRPr="00133659">
        <w:rPr>
          <w:rFonts w:ascii="Times New Roman" w:eastAsia="Times New Roman" w:hAnsi="Times New Roman" w:cs="Times New Roman"/>
          <w:sz w:val="20"/>
          <w:szCs w:val="20"/>
        </w:rPr>
        <w:t xml:space="preserve"> </w:t>
      </w:r>
      <w:r w:rsidR="00A01B19">
        <w:rPr>
          <w:rFonts w:ascii="Times New Roman" w:eastAsia="Times New Roman" w:hAnsi="Times New Roman" w:cs="Times New Roman"/>
          <w:sz w:val="20"/>
          <w:szCs w:val="20"/>
        </w:rPr>
        <w:t>4</w:t>
      </w:r>
      <w:r w:rsidR="00A01B19" w:rsidRPr="00133659">
        <w:rPr>
          <w:rFonts w:ascii="Times New Roman" w:eastAsia="Times New Roman" w:hAnsi="Times New Roman" w:cs="Times New Roman"/>
          <w:sz w:val="20"/>
          <w:szCs w:val="20"/>
        </w:rPr>
        <w:t>c</w:t>
      </w:r>
      <w:r>
        <w:rPr>
          <w:rFonts w:ascii="Times New Roman" w:eastAsia="Times New Roman" w:hAnsi="Times New Roman" w:cs="Times New Roman"/>
          <w:b/>
          <w:sz w:val="20"/>
          <w:szCs w:val="20"/>
        </w:rPr>
        <w:t xml:space="preserve">. </w:t>
      </w:r>
      <w:r>
        <w:rPr>
          <w:rFonts w:ascii="Times New Roman" w:eastAsia="Times New Roman" w:hAnsi="Times New Roman" w:cs="Times New Roman"/>
          <w:sz w:val="20"/>
          <w:szCs w:val="20"/>
        </w:rPr>
        <w:t xml:space="preserve">A more detailed comparison of the predictability of voids from the in-process monitoring analysis will be presented in Section </w:t>
      </w:r>
      <w:r w:rsidR="00A01B19">
        <w:rPr>
          <w:rFonts w:ascii="Times New Roman" w:eastAsia="Times New Roman" w:hAnsi="Times New Roman" w:cs="Times New Roman"/>
          <w:sz w:val="20"/>
          <w:szCs w:val="20"/>
        </w:rPr>
        <w:t>4</w:t>
      </w:r>
      <w:r>
        <w:rPr>
          <w:rFonts w:ascii="Times New Roman" w:eastAsia="Times New Roman" w:hAnsi="Times New Roman" w:cs="Times New Roman"/>
          <w:sz w:val="20"/>
          <w:szCs w:val="20"/>
        </w:rPr>
        <w:t>.</w:t>
      </w:r>
    </w:p>
    <w:p w:rsidR="00AC28B6" w:rsidRDefault="00413A1A">
      <w:pPr>
        <w:spacing w:after="0" w:line="240" w:lineRule="auto"/>
        <w:rPr>
          <w:rFonts w:ascii="Times New Roman" w:eastAsia="Times New Roman" w:hAnsi="Times New Roman" w:cs="Times New Roman"/>
          <w:b/>
          <w:sz w:val="20"/>
          <w:szCs w:val="20"/>
        </w:rPr>
      </w:pPr>
      <w:r>
        <w:rPr>
          <w:rFonts w:ascii="Times New Roman" w:eastAsia="Times New Roman" w:hAnsi="Times New Roman" w:cs="Times New Roman"/>
          <w:b/>
          <w:noProof/>
          <w:sz w:val="20"/>
          <w:szCs w:val="20"/>
        </w:rPr>
        <w:drawing>
          <wp:inline distT="114300" distB="114300" distL="114300" distR="114300">
            <wp:extent cx="2071688" cy="1655414"/>
            <wp:effectExtent l="0" t="0" r="0" b="0"/>
            <wp:docPr id="1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2071688" cy="1655414"/>
                    </a:xfrm>
                    <a:prstGeom prst="rect">
                      <a:avLst/>
                    </a:prstGeom>
                    <a:ln/>
                  </pic:spPr>
                </pic:pic>
              </a:graphicData>
            </a:graphic>
          </wp:inline>
        </w:drawing>
      </w:r>
      <w:r>
        <w:rPr>
          <w:rFonts w:ascii="Times New Roman" w:eastAsia="Times New Roman" w:hAnsi="Times New Roman" w:cs="Times New Roman"/>
          <w:b/>
          <w:noProof/>
          <w:sz w:val="20"/>
          <w:szCs w:val="20"/>
        </w:rPr>
        <w:drawing>
          <wp:inline distT="114300" distB="114300" distL="114300" distR="114300">
            <wp:extent cx="2090738" cy="1659163"/>
            <wp:effectExtent l="0" t="0" r="0" b="0"/>
            <wp:docPr id="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2"/>
                    <a:srcRect/>
                    <a:stretch>
                      <a:fillRect/>
                    </a:stretch>
                  </pic:blipFill>
                  <pic:spPr>
                    <a:xfrm>
                      <a:off x="0" y="0"/>
                      <a:ext cx="2090738" cy="1659163"/>
                    </a:xfrm>
                    <a:prstGeom prst="rect">
                      <a:avLst/>
                    </a:prstGeom>
                    <a:ln/>
                  </pic:spPr>
                </pic:pic>
              </a:graphicData>
            </a:graphic>
          </wp:inline>
        </w:drawing>
      </w:r>
      <w:r>
        <w:rPr>
          <w:rFonts w:ascii="Times New Roman" w:eastAsia="Times New Roman" w:hAnsi="Times New Roman" w:cs="Times New Roman"/>
          <w:b/>
          <w:noProof/>
          <w:sz w:val="20"/>
          <w:szCs w:val="20"/>
        </w:rPr>
        <w:drawing>
          <wp:inline distT="114300" distB="114300" distL="114300" distR="114300">
            <wp:extent cx="1643063" cy="1682183"/>
            <wp:effectExtent l="0" t="0" r="0" b="0"/>
            <wp:docPr id="1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3"/>
                    <a:srcRect/>
                    <a:stretch>
                      <a:fillRect/>
                    </a:stretch>
                  </pic:blipFill>
                  <pic:spPr>
                    <a:xfrm>
                      <a:off x="0" y="0"/>
                      <a:ext cx="1643063" cy="1682183"/>
                    </a:xfrm>
                    <a:prstGeom prst="rect">
                      <a:avLst/>
                    </a:prstGeom>
                    <a:ln/>
                  </pic:spPr>
                </pic:pic>
              </a:graphicData>
            </a:graphic>
          </wp:inline>
        </w:drawing>
      </w:r>
    </w:p>
    <w:p w:rsidR="00AC28B6" w:rsidRDefault="00413A1A">
      <w:pPr>
        <w:spacing w:after="0" w:line="240" w:lineRule="auto"/>
        <w:jc w:val="both"/>
        <w:rPr>
          <w:rFonts w:ascii="Times New Roman" w:eastAsia="Times New Roman" w:hAnsi="Times New Roman" w:cs="Times New Roman"/>
          <w:sz w:val="20"/>
          <w:szCs w:val="20"/>
        </w:rPr>
      </w:pPr>
      <w:r w:rsidRPr="00133659">
        <w:rPr>
          <w:rFonts w:ascii="Times New Roman" w:eastAsia="Times New Roman" w:hAnsi="Times New Roman" w:cs="Times New Roman"/>
          <w:sz w:val="20"/>
          <w:szCs w:val="20"/>
        </w:rPr>
        <w:t xml:space="preserve">Figure </w:t>
      </w:r>
      <w:r w:rsidR="00A01B19">
        <w:rPr>
          <w:rFonts w:ascii="Times New Roman" w:eastAsia="Times New Roman" w:hAnsi="Times New Roman" w:cs="Times New Roman"/>
          <w:sz w:val="20"/>
          <w:szCs w:val="20"/>
        </w:rPr>
        <w:t>4</w:t>
      </w:r>
      <w:r w:rsidRPr="00133659">
        <w:rPr>
          <w:rFonts w:ascii="Times New Roman" w:eastAsia="Times New Roman" w:hAnsi="Times New Roman" w:cs="Times New Roman"/>
          <w:sz w:val="20"/>
          <w:szCs w:val="20"/>
        </w:rPr>
        <w:t>: P</w:t>
      </w:r>
      <w:r>
        <w:rPr>
          <w:rFonts w:ascii="Times New Roman" w:eastAsia="Times New Roman" w:hAnsi="Times New Roman" w:cs="Times New Roman"/>
          <w:sz w:val="20"/>
          <w:szCs w:val="20"/>
        </w:rPr>
        <w:t xml:space="preserve">lots of the points labeled as outliers by the DB Scan algorithm as they appear in the geometry of the part.  The highlighted points are </w:t>
      </w:r>
      <w:r>
        <w:rPr>
          <w:rFonts w:ascii="Times New Roman" w:eastAsia="Times New Roman" w:hAnsi="Times New Roman" w:cs="Times New Roman"/>
          <w:b/>
          <w:sz w:val="20"/>
          <w:szCs w:val="20"/>
        </w:rPr>
        <w:t>a)</w:t>
      </w:r>
      <w:r>
        <w:rPr>
          <w:rFonts w:ascii="Times New Roman" w:eastAsia="Times New Roman" w:hAnsi="Times New Roman" w:cs="Times New Roman"/>
          <w:sz w:val="20"/>
          <w:szCs w:val="20"/>
        </w:rPr>
        <w:t xml:space="preserve"> all outliers, </w:t>
      </w:r>
      <w:r>
        <w:rPr>
          <w:rFonts w:ascii="Times New Roman" w:eastAsia="Times New Roman" w:hAnsi="Times New Roman" w:cs="Times New Roman"/>
          <w:b/>
          <w:sz w:val="20"/>
          <w:szCs w:val="20"/>
        </w:rPr>
        <w:t>b)</w:t>
      </w:r>
      <w:r>
        <w:rPr>
          <w:rFonts w:ascii="Times New Roman" w:eastAsia="Times New Roman" w:hAnsi="Times New Roman" w:cs="Times New Roman"/>
          <w:sz w:val="20"/>
          <w:szCs w:val="20"/>
        </w:rPr>
        <w:t xml:space="preserve"> outliers and the first layer melt pool area is below 700 (an arbitrary number that will be explored later).. Each point is colored by the </w:t>
      </w:r>
      <w:r w:rsidR="00C7264B">
        <w:rPr>
          <w:rFonts w:ascii="Times New Roman" w:eastAsia="Times New Roman" w:hAnsi="Times New Roman" w:cs="Times New Roman"/>
          <w:sz w:val="20"/>
          <w:szCs w:val="20"/>
        </w:rPr>
        <w:t>reference</w:t>
      </w:r>
      <w:r w:rsidR="00C7264B">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 xml:space="preserve">layer melt pool area. </w:t>
      </w:r>
      <w:r>
        <w:rPr>
          <w:rFonts w:ascii="Times New Roman" w:eastAsia="Times New Roman" w:hAnsi="Times New Roman" w:cs="Times New Roman"/>
          <w:b/>
          <w:sz w:val="20"/>
          <w:szCs w:val="20"/>
        </w:rPr>
        <w:t>c)</w:t>
      </w:r>
      <w:r>
        <w:rPr>
          <w:rFonts w:ascii="Times New Roman" w:eastAsia="Times New Roman" w:hAnsi="Times New Roman" w:cs="Times New Roman"/>
          <w:sz w:val="20"/>
          <w:szCs w:val="20"/>
        </w:rPr>
        <w:t xml:space="preserve"> shows the raw CT image that correlates to this layer of the part.</w:t>
      </w:r>
    </w:p>
    <w:p w:rsidR="00AC28B6" w:rsidRDefault="00705F45">
      <w:pPr>
        <w:pBdr>
          <w:top w:val="nil"/>
          <w:left w:val="nil"/>
          <w:bottom w:val="nil"/>
          <w:right w:val="nil"/>
          <w:between w:val="nil"/>
        </w:pBdr>
        <w:spacing w:before="200" w:after="120"/>
        <w:rPr>
          <w:i/>
        </w:rPr>
      </w:pPr>
      <w:r>
        <w:rPr>
          <w:i/>
        </w:rPr>
        <w:lastRenderedPageBreak/>
        <w:t>3</w:t>
      </w:r>
      <w:r w:rsidR="00413A1A">
        <w:rPr>
          <w:i/>
        </w:rPr>
        <w:t>.2.2 Computed Tomography (CT) Data Processing</w:t>
      </w:r>
    </w:p>
    <w:p w:rsidR="00AC28B6" w:rsidRDefault="00413A1A">
      <w:pPr>
        <w:spacing w:after="0" w:line="240" w:lineRule="auto"/>
        <w:ind w:firstLine="27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After the CT data was collected, post-processing of the image stack was carried out using DREAM.3D [</w:t>
      </w:r>
      <w:r w:rsidR="00493AA1">
        <w:rPr>
          <w:rFonts w:ascii="Times New Roman" w:eastAsia="Times New Roman" w:hAnsi="Times New Roman" w:cs="Times New Roman"/>
          <w:sz w:val="20"/>
          <w:szCs w:val="20"/>
        </w:rPr>
        <w:t>22</w:t>
      </w:r>
      <w:r>
        <w:rPr>
          <w:rFonts w:ascii="Times New Roman" w:eastAsia="Times New Roman" w:hAnsi="Times New Roman" w:cs="Times New Roman"/>
          <w:sz w:val="20"/>
          <w:szCs w:val="20"/>
        </w:rPr>
        <w:t xml:space="preserve">] to identify the detectable defects. The raw CT data, which exists as a 3D image with floating-point values on each voxel, contains artifacts and noise from the collection and reconstruction process. The cylindrical samples investigated in this work result in relatively minor collection artifacts and noise when compared to more complex additive geometries, but were significant enough to complicate analysis. The first major artifact present in the data was drift in background intensity along the height of the cylinder, meaning the histogram of values on each layer of voxels perpendicular to the z-axis progressively shifted towards higher values. In order to establish a consistent threshold value to identify defects, the brightness on each layer needed to be equalized. Intensity equalization was done by calculating the mean brightness of the entire part and adjusting the mean brightness on each layer to match that of the entire part. A fixed value, equal to the difference of the layer’s mean from the part’s mean, was subtracted from each voxel on each layer, which shifted all means to equal the part mean without altering intensity variations within a layer. It is important to note that this process assumes there is no variation in overall density within the part up its height and the layer means should be consistent along the height. Often CT datasets also exhibit intensity variations through the thickness of the part (or radially for cylinders) due to beam-part interactions (like beam hardening). In this work, the intensity variations radially were minimal and did not require specific processing to improve quality.   </w:t>
      </w:r>
    </w:p>
    <w:p w:rsidR="00AC28B6" w:rsidRDefault="00413A1A">
      <w:pPr>
        <w:spacing w:after="0" w:line="240" w:lineRule="auto"/>
        <w:ind w:firstLine="27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Once the intensity was equalized throughout the part, it was necessary to reduce the higher frequency noise in the data, often referred to as ‘salt and pepper’ noise. A median filter was used to smooth the higher frequency noise without blurring the overall image content. The median filter was set to a radius of </w:t>
      </w:r>
      <w:r w:rsidR="00C7264B">
        <w:rPr>
          <w:rFonts w:ascii="Times New Roman" w:eastAsia="Times New Roman" w:hAnsi="Times New Roman" w:cs="Times New Roman"/>
          <w:sz w:val="20"/>
          <w:szCs w:val="20"/>
        </w:rPr>
        <w:t>three</w:t>
      </w:r>
      <w:r w:rsidR="00C7264B">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voxels in all dimensions, meaning a 7x7x7 voxel window was centered on each voxel in 3D image and the center voxel’s value was changed to the median value of the voxels in the window. After smoothing the high frequency noise, the data was smooth enough and demonstrated a sufficient contrast that a simple manual intensity threshold could be used to distinguish defects from solid material. In practice, an automated thresholding technique, like the Otsu method, would be a more efficient approach to determining thresholds for many datasets, but was not implemented in this initial work. Application of the intensity threshold resulted in a binary image with low density regions (i</w:t>
      </w:r>
      <w:r w:rsidR="00C7264B">
        <w:rPr>
          <w:rFonts w:ascii="Times New Roman" w:eastAsia="Times New Roman" w:hAnsi="Times New Roman" w:cs="Times New Roman"/>
          <w:sz w:val="20"/>
          <w:szCs w:val="20"/>
        </w:rPr>
        <w:t>.</w:t>
      </w:r>
      <w:r>
        <w:rPr>
          <w:rFonts w:ascii="Times New Roman" w:eastAsia="Times New Roman" w:hAnsi="Times New Roman" w:cs="Times New Roman"/>
          <w:sz w:val="20"/>
          <w:szCs w:val="20"/>
        </w:rPr>
        <w:t>e</w:t>
      </w:r>
      <w:r w:rsidR="00C7264B">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voids) labelled as 1s and high density regions (i</w:t>
      </w:r>
      <w:r w:rsidR="00C7264B">
        <w:rPr>
          <w:rFonts w:ascii="Times New Roman" w:eastAsia="Times New Roman" w:hAnsi="Times New Roman" w:cs="Times New Roman"/>
          <w:sz w:val="20"/>
          <w:szCs w:val="20"/>
        </w:rPr>
        <w:t>.</w:t>
      </w:r>
      <w:r>
        <w:rPr>
          <w:rFonts w:ascii="Times New Roman" w:eastAsia="Times New Roman" w:hAnsi="Times New Roman" w:cs="Times New Roman"/>
          <w:sz w:val="20"/>
          <w:szCs w:val="20"/>
        </w:rPr>
        <w:t>e</w:t>
      </w:r>
      <w:r w:rsidR="00C7264B">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solid material) as 0s.</w:t>
      </w:r>
    </w:p>
    <w:p w:rsidR="00AC28B6" w:rsidRDefault="00413A1A">
      <w:pPr>
        <w:spacing w:after="0" w:line="240" w:lineRule="auto"/>
        <w:ind w:firstLine="27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Rather than use the binary image directly, we chose to further process the CT data to obtain a more statistical representation of spatial variation of voids within the volume. Our reason for this additional processing was multifold. First, many of the factors in void generation, such as local powder packing, gas flow, and plasma plume are not measured by the in-process monitoring system, which makes predicting any one void unlikely. Second, methods for registering and fusing the data (discussed in the next section) are likely not precise enough to register the in-process monitoring with the CT to an accuracy below the size of most detectable voids (~50μm). Third, the in-process monitoring measurements have an interrogation area/volume larger than most voids detected by CT, which makes associating a single void with a single in-process measurement tenuous. Finally, utilization of the knowledge of defects/voids in the build is likely to be probabilistic in nature, meaning the probability of material to perform at its desired level is what defines acceptable quality. Given these points, we process the binary CT image with a box mean filter of 5x5x2 voxels (~150μm x 150μm x 50μm in XYZ, respectively) passed over each voxel. By calculating the mean of the binary map within each window, the fraction of voxels that are voids (v</w:t>
      </w:r>
      <w:r>
        <w:rPr>
          <w:rFonts w:ascii="Times New Roman" w:eastAsia="Times New Roman" w:hAnsi="Times New Roman" w:cs="Times New Roman"/>
          <w:sz w:val="20"/>
          <w:szCs w:val="20"/>
          <w:vertAlign w:val="subscript"/>
        </w:rPr>
        <w:t>f</w:t>
      </w:r>
      <w:r>
        <w:rPr>
          <w:rFonts w:ascii="Times New Roman" w:eastAsia="Times New Roman" w:hAnsi="Times New Roman" w:cs="Times New Roman"/>
          <w:sz w:val="20"/>
          <w:szCs w:val="20"/>
        </w:rPr>
        <w:t xml:space="preserve">) within that window is obtained and assigned to the central voxel of the window. The result is no longer a binary image of voids, but more of a map of the local probability of voids within a fixed distance. The processing steps discussed are shown below in </w:t>
      </w:r>
      <w:r w:rsidRPr="00133659">
        <w:rPr>
          <w:rFonts w:ascii="Times New Roman" w:eastAsia="Times New Roman" w:hAnsi="Times New Roman" w:cs="Times New Roman"/>
          <w:sz w:val="20"/>
          <w:szCs w:val="20"/>
        </w:rPr>
        <w:t xml:space="preserve">Figure </w:t>
      </w:r>
      <w:r w:rsidR="00A01B19">
        <w:rPr>
          <w:rFonts w:ascii="Times New Roman" w:eastAsia="Times New Roman" w:hAnsi="Times New Roman" w:cs="Times New Roman"/>
          <w:sz w:val="20"/>
          <w:szCs w:val="20"/>
        </w:rPr>
        <w:t>5</w:t>
      </w:r>
      <w:r w:rsidR="00A01B19" w:rsidRPr="00133659">
        <w:rPr>
          <w:rFonts w:ascii="Times New Roman" w:eastAsia="Times New Roman" w:hAnsi="Times New Roman" w:cs="Times New Roman"/>
          <w:sz w:val="20"/>
          <w:szCs w:val="20"/>
        </w:rPr>
        <w:t>a</w:t>
      </w:r>
      <w:r w:rsidRPr="00133659">
        <w:rPr>
          <w:rFonts w:ascii="Times New Roman" w:eastAsia="Times New Roman" w:hAnsi="Times New Roman" w:cs="Times New Roman"/>
          <w:sz w:val="20"/>
          <w:szCs w:val="20"/>
        </w:rPr>
        <w:t>-d</w:t>
      </w:r>
      <w:r>
        <w:rPr>
          <w:rFonts w:ascii="Times New Roman" w:eastAsia="Times New Roman" w:hAnsi="Times New Roman" w:cs="Times New Roman"/>
          <w:sz w:val="20"/>
          <w:szCs w:val="20"/>
        </w:rPr>
        <w:t>.</w:t>
      </w:r>
      <w:r w:rsidR="002C0078">
        <w:rPr>
          <w:rFonts w:ascii="Times New Roman" w:eastAsia="Times New Roman" w:hAnsi="Times New Roman" w:cs="Times New Roman"/>
          <w:sz w:val="20"/>
          <w:szCs w:val="20"/>
        </w:rPr>
        <w:t xml:space="preserve"> As previously mentioned, a complicating issue is that the void locations are displaced in the z-direction from the in-process monitoring data that is likely to be influenced by their presence. To combat this problem, we devised a modified v</w:t>
      </w:r>
      <w:r w:rsidR="002C0078">
        <w:rPr>
          <w:rFonts w:ascii="Times New Roman" w:eastAsia="Times New Roman" w:hAnsi="Times New Roman" w:cs="Times New Roman"/>
          <w:sz w:val="20"/>
          <w:szCs w:val="20"/>
          <w:vertAlign w:val="subscript"/>
        </w:rPr>
        <w:t>f</w:t>
      </w:r>
      <w:r w:rsidR="002C0078">
        <w:rPr>
          <w:rFonts w:ascii="Times New Roman" w:eastAsia="Times New Roman" w:hAnsi="Times New Roman" w:cs="Times New Roman"/>
          <w:sz w:val="20"/>
          <w:szCs w:val="20"/>
        </w:rPr>
        <w:t xml:space="preserve"> metric, that averages the v</w:t>
      </w:r>
      <w:r w:rsidR="002C0078">
        <w:rPr>
          <w:rFonts w:ascii="Times New Roman" w:eastAsia="Times New Roman" w:hAnsi="Times New Roman" w:cs="Times New Roman"/>
          <w:sz w:val="20"/>
          <w:szCs w:val="20"/>
          <w:vertAlign w:val="subscript"/>
        </w:rPr>
        <w:t>f</w:t>
      </w:r>
      <w:r w:rsidR="002C0078">
        <w:rPr>
          <w:rFonts w:ascii="Times New Roman" w:eastAsia="Times New Roman" w:hAnsi="Times New Roman" w:cs="Times New Roman"/>
          <w:sz w:val="20"/>
          <w:szCs w:val="20"/>
        </w:rPr>
        <w:t xml:space="preserve"> values for 5 points below each grid point to capture the propensity of voids not only at the same build height as the in-process monitoring measurements, but also directly below them for a distance deemed reasonable for additive manufacturing (~5 build layers). The modified v</w:t>
      </w:r>
      <w:r w:rsidR="002C0078">
        <w:rPr>
          <w:rFonts w:ascii="Times New Roman" w:eastAsia="Times New Roman" w:hAnsi="Times New Roman" w:cs="Times New Roman"/>
          <w:sz w:val="20"/>
          <w:szCs w:val="20"/>
          <w:vertAlign w:val="subscript"/>
        </w:rPr>
        <w:t>f</w:t>
      </w:r>
      <w:r w:rsidR="002C0078">
        <w:rPr>
          <w:rFonts w:ascii="Times New Roman" w:eastAsia="Times New Roman" w:hAnsi="Times New Roman" w:cs="Times New Roman"/>
          <w:sz w:val="20"/>
          <w:szCs w:val="20"/>
        </w:rPr>
        <w:t xml:space="preserve"> metric was used in training the regressor to predict void propensity using the in-processing monitoring data from the cylindrical samples.</w:t>
      </w:r>
    </w:p>
    <w:p w:rsidR="00AC28B6" w:rsidRDefault="00AC28B6">
      <w:pPr>
        <w:spacing w:after="0" w:line="240" w:lineRule="auto"/>
        <w:ind w:firstLine="270"/>
        <w:jc w:val="both"/>
        <w:rPr>
          <w:rFonts w:ascii="Times New Roman" w:eastAsia="Times New Roman" w:hAnsi="Times New Roman" w:cs="Times New Roman"/>
          <w:sz w:val="20"/>
          <w:szCs w:val="20"/>
        </w:rPr>
      </w:pPr>
    </w:p>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AC28B6">
        <w:trPr>
          <w:trHeight w:val="2293"/>
        </w:trPr>
        <w:tc>
          <w:tcPr>
            <w:tcW w:w="2340" w:type="dxa"/>
            <w:shd w:val="clear" w:color="auto" w:fill="auto"/>
            <w:tcMar>
              <w:top w:w="0" w:type="dxa"/>
              <w:left w:w="0" w:type="dxa"/>
              <w:bottom w:w="0" w:type="dxa"/>
              <w:right w:w="0" w:type="dxa"/>
            </w:tcMar>
            <w:vAlign w:val="center"/>
          </w:tcPr>
          <w:p w:rsidR="00AC28B6" w:rsidRDefault="00413A1A">
            <w:pPr>
              <w:widowControl w:val="0"/>
              <w:pBdr>
                <w:top w:val="nil"/>
                <w:left w:val="nil"/>
                <w:bottom w:val="nil"/>
                <w:right w:val="nil"/>
                <w:between w:val="nil"/>
              </w:pBd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114300" distB="114300" distL="114300" distR="114300">
                  <wp:extent cx="1445666" cy="1417320"/>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4"/>
                          <a:srcRect l="18751" t="11292" r="23793" b="8176"/>
                          <a:stretch>
                            <a:fillRect/>
                          </a:stretch>
                        </pic:blipFill>
                        <pic:spPr>
                          <a:xfrm>
                            <a:off x="0" y="0"/>
                            <a:ext cx="1445666" cy="1417320"/>
                          </a:xfrm>
                          <a:prstGeom prst="rect">
                            <a:avLst/>
                          </a:prstGeom>
                          <a:ln/>
                        </pic:spPr>
                      </pic:pic>
                    </a:graphicData>
                  </a:graphic>
                </wp:inline>
              </w:drawing>
            </w:r>
          </w:p>
        </w:tc>
        <w:tc>
          <w:tcPr>
            <w:tcW w:w="2340" w:type="dxa"/>
            <w:shd w:val="clear" w:color="auto" w:fill="auto"/>
            <w:tcMar>
              <w:top w:w="0" w:type="dxa"/>
              <w:left w:w="0" w:type="dxa"/>
              <w:bottom w:w="0" w:type="dxa"/>
              <w:right w:w="0" w:type="dxa"/>
            </w:tcMar>
            <w:vAlign w:val="center"/>
          </w:tcPr>
          <w:p w:rsidR="00AC28B6" w:rsidRDefault="00413A1A">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114300" distB="114300" distL="114300" distR="114300">
                  <wp:extent cx="1447800" cy="1419225"/>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l="19921" t="13208" r="23774" b="8609"/>
                          <a:stretch>
                            <a:fillRect/>
                          </a:stretch>
                        </pic:blipFill>
                        <pic:spPr>
                          <a:xfrm>
                            <a:off x="0" y="0"/>
                            <a:ext cx="1447800" cy="1419225"/>
                          </a:xfrm>
                          <a:prstGeom prst="rect">
                            <a:avLst/>
                          </a:prstGeom>
                          <a:ln/>
                        </pic:spPr>
                      </pic:pic>
                    </a:graphicData>
                  </a:graphic>
                </wp:inline>
              </w:drawing>
            </w:r>
          </w:p>
        </w:tc>
        <w:tc>
          <w:tcPr>
            <w:tcW w:w="2340" w:type="dxa"/>
            <w:shd w:val="clear" w:color="auto" w:fill="auto"/>
            <w:tcMar>
              <w:top w:w="0" w:type="dxa"/>
              <w:left w:w="0" w:type="dxa"/>
              <w:bottom w:w="0" w:type="dxa"/>
              <w:right w:w="0" w:type="dxa"/>
            </w:tcMar>
            <w:vAlign w:val="center"/>
          </w:tcPr>
          <w:p w:rsidR="00AC28B6" w:rsidRDefault="00413A1A">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114300" distB="114300" distL="114300" distR="114300">
                  <wp:extent cx="1445666" cy="1417320"/>
                  <wp:effectExtent l="0" t="0" r="0" b="0"/>
                  <wp:docPr id="1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l="20462" t="9107" r="20867" b="8990"/>
                          <a:stretch>
                            <a:fillRect/>
                          </a:stretch>
                        </pic:blipFill>
                        <pic:spPr>
                          <a:xfrm>
                            <a:off x="0" y="0"/>
                            <a:ext cx="1445666" cy="1417320"/>
                          </a:xfrm>
                          <a:prstGeom prst="rect">
                            <a:avLst/>
                          </a:prstGeom>
                          <a:ln/>
                        </pic:spPr>
                      </pic:pic>
                    </a:graphicData>
                  </a:graphic>
                </wp:inline>
              </w:drawing>
            </w:r>
          </w:p>
        </w:tc>
        <w:tc>
          <w:tcPr>
            <w:tcW w:w="2340" w:type="dxa"/>
            <w:shd w:val="clear" w:color="auto" w:fill="auto"/>
            <w:tcMar>
              <w:top w:w="0" w:type="dxa"/>
              <w:left w:w="0" w:type="dxa"/>
              <w:bottom w:w="0" w:type="dxa"/>
              <w:right w:w="0" w:type="dxa"/>
            </w:tcMar>
            <w:vAlign w:val="center"/>
          </w:tcPr>
          <w:p w:rsidR="00AC28B6" w:rsidRDefault="00413A1A">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114300" distB="114300" distL="114300" distR="114300">
                  <wp:extent cx="1445666" cy="1417320"/>
                  <wp:effectExtent l="0" t="0" r="0" b="0"/>
                  <wp:docPr id="1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7"/>
                          <a:srcRect l="20601" t="9265" r="20515" b="9251"/>
                          <a:stretch>
                            <a:fillRect/>
                          </a:stretch>
                        </pic:blipFill>
                        <pic:spPr>
                          <a:xfrm>
                            <a:off x="0" y="0"/>
                            <a:ext cx="1445666" cy="1417320"/>
                          </a:xfrm>
                          <a:prstGeom prst="rect">
                            <a:avLst/>
                          </a:prstGeom>
                          <a:ln/>
                        </pic:spPr>
                      </pic:pic>
                    </a:graphicData>
                  </a:graphic>
                </wp:inline>
              </w:drawing>
            </w:r>
          </w:p>
        </w:tc>
      </w:tr>
    </w:tbl>
    <w:p w:rsidR="00AC28B6" w:rsidRDefault="00413A1A">
      <w:pPr>
        <w:spacing w:after="0" w:line="240" w:lineRule="auto"/>
        <w:jc w:val="both"/>
        <w:rPr>
          <w:rFonts w:ascii="Times New Roman" w:eastAsia="Times New Roman" w:hAnsi="Times New Roman" w:cs="Times New Roman"/>
          <w:sz w:val="20"/>
          <w:szCs w:val="20"/>
        </w:rPr>
      </w:pPr>
      <w:r w:rsidRPr="00133659">
        <w:rPr>
          <w:rFonts w:ascii="Times New Roman" w:eastAsia="Times New Roman" w:hAnsi="Times New Roman" w:cs="Times New Roman"/>
          <w:sz w:val="20"/>
          <w:szCs w:val="20"/>
        </w:rPr>
        <w:t xml:space="preserve">Figure </w:t>
      </w:r>
      <w:r w:rsidR="00A01B19">
        <w:rPr>
          <w:rFonts w:ascii="Times New Roman" w:eastAsia="Times New Roman" w:hAnsi="Times New Roman" w:cs="Times New Roman"/>
          <w:sz w:val="20"/>
          <w:szCs w:val="20"/>
        </w:rPr>
        <w:t>5</w:t>
      </w:r>
      <w:r w:rsidRPr="00133659">
        <w:rPr>
          <w:rFonts w:ascii="Times New Roman" w:eastAsia="Times New Roman" w:hAnsi="Times New Roman" w:cs="Times New Roman"/>
          <w:sz w:val="20"/>
          <w:szCs w:val="20"/>
        </w:rPr>
        <w:t>:</w:t>
      </w:r>
      <w:r>
        <w:rPr>
          <w:rFonts w:ascii="Times New Roman" w:eastAsia="Times New Roman" w:hAnsi="Times New Roman" w:cs="Times New Roman"/>
          <w:b/>
          <w:sz w:val="20"/>
          <w:szCs w:val="20"/>
        </w:rPr>
        <w:t xml:space="preserve"> </w:t>
      </w:r>
      <w:r>
        <w:rPr>
          <w:rFonts w:ascii="Times New Roman" w:eastAsia="Times New Roman" w:hAnsi="Times New Roman" w:cs="Times New Roman"/>
          <w:sz w:val="20"/>
          <w:szCs w:val="20"/>
        </w:rPr>
        <w:t>Example slice of the raw CT data (a.), leveled and median blurred data (b.), identified voids (c.), and the smoothed void volume fraction (d.)</w:t>
      </w:r>
    </w:p>
    <w:p w:rsidR="00AC28B6" w:rsidRDefault="00705F45">
      <w:pPr>
        <w:pBdr>
          <w:top w:val="nil"/>
          <w:left w:val="nil"/>
          <w:bottom w:val="nil"/>
          <w:right w:val="nil"/>
          <w:between w:val="nil"/>
        </w:pBdr>
        <w:spacing w:before="200" w:after="120"/>
        <w:rPr>
          <w:i/>
          <w:color w:val="000000"/>
        </w:rPr>
      </w:pPr>
      <w:r>
        <w:rPr>
          <w:i/>
          <w:color w:val="000000"/>
        </w:rPr>
        <w:lastRenderedPageBreak/>
        <w:t>3</w:t>
      </w:r>
      <w:r w:rsidR="00413A1A">
        <w:rPr>
          <w:i/>
          <w:color w:val="000000"/>
        </w:rPr>
        <w:t xml:space="preserve">.3 </w:t>
      </w:r>
      <w:r w:rsidR="00413A1A">
        <w:rPr>
          <w:i/>
        </w:rPr>
        <w:t>Data Registration and Fusion</w:t>
      </w:r>
    </w:p>
    <w:p w:rsidR="00AC28B6" w:rsidRDefault="00413A1A">
      <w:pPr>
        <w:spacing w:before="240" w:after="0"/>
        <w:ind w:firstLine="27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CT and in-processing monitoring data streams must be registered, or brought into spatial coincidence, to assess correlations between them. Registration of the data streams is complicated by two factors; first, the data element dimensionality varies from 0D (point clouds) to 3D (image grids); and second, the data streams contain different information content which may not necessarily correlate. Utilizing correlated information approaches, such as mutual information, to register the data sets could bias subsequent analyses. Ideally when performing registration, the samples would contain some independent reference marks detectable in each of the data sets, which would aid registration without introducing bias.  For this work, these ‘reference marks’ were selected to be the sample surfaces themselves. The sample surfaces are not guaranteed to all match exactly, because the in-process monitoring data is where the beam rastered and the CT data captures a measurement of the physical build (which could be affected by residual stresses and distortions, artifacts in the CT reconstruction, and from cutting of the sample off the build plate). However, the simple and relatively ‘bulk’ geometry used in this work (a cylindrical rod), these geometric distortions and reconstruction artifacts were minimal. </w:t>
      </w:r>
    </w:p>
    <w:p w:rsidR="00AC28B6" w:rsidRDefault="00413A1A">
      <w:pPr>
        <w:pBdr>
          <w:top w:val="nil"/>
          <w:left w:val="nil"/>
          <w:bottom w:val="nil"/>
          <w:right w:val="nil"/>
          <w:between w:val="nil"/>
        </w:pBdr>
        <w:spacing w:after="0"/>
        <w:ind w:firstLine="227"/>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The specimen in this work was a cylindrical rod with a slightly reduced cross-section over the middle one-third of the cylinder’s height, which aided in positioning along the build direction. Additionally, there were embedded features within the cylinder, which will be discussed in Section 3, that were square and broke the rotational symmetry of the cylinder. The first step in the registration process is to identify ‘key points’ in each dataset that correspond spatially; this step involves extracting out points that represent the part surface. The CT data was thresh</w:t>
      </w:r>
      <w:r w:rsidR="00C7264B">
        <w:rPr>
          <w:rFonts w:ascii="Times New Roman" w:eastAsia="Times New Roman" w:hAnsi="Times New Roman" w:cs="Times New Roman"/>
          <w:sz w:val="20"/>
          <w:szCs w:val="20"/>
        </w:rPr>
        <w:t>o</w:t>
      </w:r>
      <w:r>
        <w:rPr>
          <w:rFonts w:ascii="Times New Roman" w:eastAsia="Times New Roman" w:hAnsi="Times New Roman" w:cs="Times New Roman"/>
          <w:sz w:val="20"/>
          <w:szCs w:val="20"/>
        </w:rPr>
        <w:t>ld</w:t>
      </w:r>
      <w:r w:rsidR="00C7264B">
        <w:rPr>
          <w:rFonts w:ascii="Times New Roman" w:eastAsia="Times New Roman" w:hAnsi="Times New Roman" w:cs="Times New Roman"/>
          <w:sz w:val="20"/>
          <w:szCs w:val="20"/>
        </w:rPr>
        <w:t>ed</w:t>
      </w:r>
      <w:r>
        <w:rPr>
          <w:rFonts w:ascii="Times New Roman" w:eastAsia="Times New Roman" w:hAnsi="Times New Roman" w:cs="Times New Roman"/>
          <w:sz w:val="20"/>
          <w:szCs w:val="20"/>
        </w:rPr>
        <w:t xml:space="preserve"> using a local gradient approach to determine the voxels that were at the surface of the sample [</w:t>
      </w:r>
      <w:r w:rsidR="00493AA1">
        <w:rPr>
          <w:rFonts w:ascii="Times New Roman" w:eastAsia="Times New Roman" w:hAnsi="Times New Roman" w:cs="Times New Roman"/>
          <w:sz w:val="20"/>
          <w:szCs w:val="20"/>
        </w:rPr>
        <w:t>23</w:t>
      </w:r>
      <w:r>
        <w:rPr>
          <w:rFonts w:ascii="Times New Roman" w:eastAsia="Times New Roman" w:hAnsi="Times New Roman" w:cs="Times New Roman"/>
          <w:sz w:val="20"/>
          <w:szCs w:val="20"/>
        </w:rPr>
        <w:t>]. The in-process monitoring data was threshold</w:t>
      </w:r>
      <w:r w:rsidR="00705F45">
        <w:rPr>
          <w:rFonts w:ascii="Times New Roman" w:eastAsia="Times New Roman" w:hAnsi="Times New Roman" w:cs="Times New Roman"/>
          <w:sz w:val="20"/>
          <w:szCs w:val="20"/>
        </w:rPr>
        <w:t>ed</w:t>
      </w:r>
      <w:r>
        <w:rPr>
          <w:rFonts w:ascii="Times New Roman" w:eastAsia="Times New Roman" w:hAnsi="Times New Roman" w:cs="Times New Roman"/>
          <w:sz w:val="20"/>
          <w:szCs w:val="20"/>
        </w:rPr>
        <w:t xml:space="preserve"> to contain only points when the beam was ‘blanked’, which corresponds to when the beam is turning around at an internal scan vector boundary or at the part surface. The second step is to use some algorithm to determine the translations, rotations and distortions necessary to bring the key points into coincidence. In practice, this second step can be automated through use of an algorithm such as the iterative closest point (ICP) algorithm [</w:t>
      </w:r>
      <w:r w:rsidR="00493AA1">
        <w:rPr>
          <w:rFonts w:ascii="Times New Roman" w:eastAsia="Times New Roman" w:hAnsi="Times New Roman" w:cs="Times New Roman"/>
          <w:sz w:val="20"/>
          <w:szCs w:val="20"/>
        </w:rPr>
        <w:t>24</w:t>
      </w:r>
      <w:r w:rsidR="003C1A73">
        <w:rPr>
          <w:rFonts w:ascii="Times New Roman" w:eastAsia="Times New Roman" w:hAnsi="Times New Roman" w:cs="Times New Roman"/>
          <w:sz w:val="20"/>
          <w:szCs w:val="20"/>
        </w:rPr>
        <w:t>-</w:t>
      </w:r>
      <w:r w:rsidR="00493AA1">
        <w:rPr>
          <w:rFonts w:ascii="Times New Roman" w:eastAsia="Times New Roman" w:hAnsi="Times New Roman" w:cs="Times New Roman"/>
          <w:sz w:val="20"/>
          <w:szCs w:val="20"/>
        </w:rPr>
        <w:t>25</w:t>
      </w:r>
      <w:r>
        <w:rPr>
          <w:rFonts w:ascii="Times New Roman" w:eastAsia="Times New Roman" w:hAnsi="Times New Roman" w:cs="Times New Roman"/>
          <w:sz w:val="20"/>
          <w:szCs w:val="20"/>
        </w:rPr>
        <w:t>]. However, since the focus of this work was the analysis of the fused datasets over the registration process, which is discussed in more detail in [</w:t>
      </w:r>
      <w:r w:rsidR="00493AA1">
        <w:rPr>
          <w:rFonts w:ascii="Times New Roman" w:eastAsia="Times New Roman" w:hAnsi="Times New Roman" w:cs="Times New Roman"/>
          <w:sz w:val="20"/>
          <w:szCs w:val="20"/>
        </w:rPr>
        <w:t>26</w:t>
      </w:r>
      <w:r>
        <w:rPr>
          <w:rFonts w:ascii="Times New Roman" w:eastAsia="Times New Roman" w:hAnsi="Times New Roman" w:cs="Times New Roman"/>
          <w:sz w:val="20"/>
          <w:szCs w:val="20"/>
        </w:rPr>
        <w:t>], the transformations we determined manually in Paraview [</w:t>
      </w:r>
      <w:r w:rsidR="00493AA1">
        <w:rPr>
          <w:rFonts w:ascii="Times New Roman" w:eastAsia="Times New Roman" w:hAnsi="Times New Roman" w:cs="Times New Roman"/>
          <w:sz w:val="20"/>
          <w:szCs w:val="20"/>
        </w:rPr>
        <w:t>27</w:t>
      </w:r>
      <w:r>
        <w:rPr>
          <w:rFonts w:ascii="Times New Roman" w:eastAsia="Times New Roman" w:hAnsi="Times New Roman" w:cs="Times New Roman"/>
          <w:sz w:val="20"/>
          <w:szCs w:val="20"/>
        </w:rPr>
        <w:t>]. For this work, we chose to apply the transformations to the in-process monitoring point cloud, even though the in-process monitoring should be in the proper reference frame of the build. This choice was made because no interpolation in needed when transforming a point cloud, since the data remains an unstructured set of points. However, if the CT image is transformed into a new reference frame, the voxels will likely not align with the coordinate system and a new grid would be needed, which would require interpolation and further data manipulation that can be avoided for the correlative analysis that follows.</w:t>
      </w:r>
    </w:p>
    <w:p w:rsidR="00AC28B6" w:rsidRDefault="00413A1A">
      <w:pPr>
        <w:spacing w:after="0" w:line="240" w:lineRule="auto"/>
        <w:ind w:firstLine="36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Upon registering the two datasets, they need to be fused onto a single set of discrete locations. We choose to create a new grid of points that have a spacing in the x-, y-, and z-directions approximately equal to the box mean filter applied to the CT data (150μm x 150μm x 50μm) as the reference grid onto which we will map both the CT and in-processing monitoring data. The CT data is on a regular grid and the v</w:t>
      </w:r>
      <w:r>
        <w:rPr>
          <w:rFonts w:ascii="Times New Roman" w:eastAsia="Times New Roman" w:hAnsi="Times New Roman" w:cs="Times New Roman"/>
          <w:sz w:val="20"/>
          <w:szCs w:val="20"/>
          <w:vertAlign w:val="subscript"/>
        </w:rPr>
        <w:t>f</w:t>
      </w:r>
      <w:r>
        <w:rPr>
          <w:rFonts w:ascii="Times New Roman" w:eastAsia="Times New Roman" w:hAnsi="Times New Roman" w:cs="Times New Roman"/>
          <w:sz w:val="20"/>
          <w:szCs w:val="20"/>
        </w:rPr>
        <w:t xml:space="preserve"> values discussed earlier were calculated within windows equal to the new grid’s voxels. As such, it is intuitive to simply assign the v</w:t>
      </w:r>
      <w:r>
        <w:rPr>
          <w:rFonts w:ascii="Times New Roman" w:eastAsia="Times New Roman" w:hAnsi="Times New Roman" w:cs="Times New Roman"/>
          <w:sz w:val="20"/>
          <w:szCs w:val="20"/>
          <w:vertAlign w:val="subscript"/>
        </w:rPr>
        <w:t>f</w:t>
      </w:r>
      <w:r>
        <w:rPr>
          <w:rFonts w:ascii="Times New Roman" w:eastAsia="Times New Roman" w:hAnsi="Times New Roman" w:cs="Times New Roman"/>
          <w:sz w:val="20"/>
          <w:szCs w:val="20"/>
        </w:rPr>
        <w:t xml:space="preserve"> from the closest CT point to each of the new grid locations. The in-process monitoring data is more complicated, being in the form of 3D point clouds with ‘sheets’ of data spaced by the layer thickness in the z-direction and bands of data (along melt vectors) spaced by the hatch spacing within the ‘sheets’. The spatial density of the in-process monitoring measurements is not uniform, with the point density along a melt vector about twice that in the build direction and 5 times that of the direction perpendicular to the melt vector. It should be noted that while the direction of melt vectors rotates between layers, making the point density relatively uniform within a layer in the average sense, any given layer is sampled with significant non-uniformity. Additionally, as noted previously, the in-process measurements are not truly reflective of a single point in space, but are associated with the position of the beam when the measurement was made. Since the melt pool area is on the order of 150μm in this build, we chose to broaden each in-process monitoring point to have an ‘influence region’ equal to a circle</w:t>
      </w:r>
      <w:r w:rsidR="00BD245B">
        <w:rPr>
          <w:rFonts w:ascii="Times New Roman" w:eastAsia="Times New Roman" w:hAnsi="Times New Roman" w:cs="Times New Roman"/>
          <w:sz w:val="20"/>
          <w:szCs w:val="20"/>
        </w:rPr>
        <w:t xml:space="preserve"> (in the print layer it was collected on)</w:t>
      </w:r>
      <w:r>
        <w:rPr>
          <w:rFonts w:ascii="Times New Roman" w:eastAsia="Times New Roman" w:hAnsi="Times New Roman" w:cs="Times New Roman"/>
          <w:sz w:val="20"/>
          <w:szCs w:val="20"/>
        </w:rPr>
        <w:t xml:space="preserve"> with 150μm diameter. When mapping the in-process monitoring points to the new grid, each in-process monitoring point within 150μm of a grid point was added to a list for that grid point. At each </w:t>
      </w:r>
      <w:r w:rsidR="00BD245B">
        <w:rPr>
          <w:rFonts w:ascii="Times New Roman" w:eastAsia="Times New Roman" w:hAnsi="Times New Roman" w:cs="Times New Roman"/>
          <w:sz w:val="20"/>
          <w:szCs w:val="20"/>
        </w:rPr>
        <w:t xml:space="preserve">of the new </w:t>
      </w:r>
      <w:r>
        <w:rPr>
          <w:rFonts w:ascii="Times New Roman" w:eastAsia="Times New Roman" w:hAnsi="Times New Roman" w:cs="Times New Roman"/>
          <w:sz w:val="20"/>
          <w:szCs w:val="20"/>
        </w:rPr>
        <w:t>grid point</w:t>
      </w:r>
      <w:r w:rsidR="00BD245B">
        <w:rPr>
          <w:rFonts w:ascii="Times New Roman" w:eastAsia="Times New Roman" w:hAnsi="Times New Roman" w:cs="Times New Roman"/>
          <w:sz w:val="20"/>
          <w:szCs w:val="20"/>
        </w:rPr>
        <w:t>s</w:t>
      </w:r>
      <w:r>
        <w:rPr>
          <w:rFonts w:ascii="Times New Roman" w:eastAsia="Times New Roman" w:hAnsi="Times New Roman" w:cs="Times New Roman"/>
          <w:sz w:val="20"/>
          <w:szCs w:val="20"/>
        </w:rPr>
        <w:t xml:space="preserve">, </w:t>
      </w:r>
      <w:r w:rsidR="00BD245B">
        <w:rPr>
          <w:rFonts w:ascii="Times New Roman" w:eastAsia="Times New Roman" w:hAnsi="Times New Roman" w:cs="Times New Roman"/>
          <w:sz w:val="20"/>
          <w:szCs w:val="20"/>
        </w:rPr>
        <w:t xml:space="preserve">each of </w:t>
      </w:r>
      <w:r>
        <w:rPr>
          <w:rFonts w:ascii="Times New Roman" w:eastAsia="Times New Roman" w:hAnsi="Times New Roman" w:cs="Times New Roman"/>
          <w:sz w:val="20"/>
          <w:szCs w:val="20"/>
        </w:rPr>
        <w:t xml:space="preserve">the </w:t>
      </w:r>
      <w:r w:rsidR="00BD245B">
        <w:rPr>
          <w:rFonts w:ascii="Times New Roman" w:eastAsia="Times New Roman" w:hAnsi="Times New Roman" w:cs="Times New Roman"/>
          <w:sz w:val="20"/>
          <w:szCs w:val="20"/>
        </w:rPr>
        <w:t>metrics describing the</w:t>
      </w:r>
      <w:r w:rsidR="00A01B19">
        <w:rPr>
          <w:rFonts w:ascii="Times New Roman" w:eastAsia="Times New Roman" w:hAnsi="Times New Roman" w:cs="Times New Roman"/>
          <w:sz w:val="20"/>
          <w:szCs w:val="20"/>
        </w:rPr>
        <w:t xml:space="preserve"> set of</w:t>
      </w:r>
      <w:r w:rsidR="00BD245B">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 xml:space="preserve">in-process monitoring points in its list were averaged and assigned to the grid point. </w:t>
      </w:r>
      <w:r w:rsidR="00A01B19">
        <w:rPr>
          <w:rFonts w:ascii="Times New Roman" w:eastAsia="Times New Roman" w:hAnsi="Times New Roman" w:cs="Times New Roman"/>
          <w:sz w:val="20"/>
          <w:szCs w:val="20"/>
        </w:rPr>
        <w:t>U</w:t>
      </w:r>
      <w:r>
        <w:rPr>
          <w:rFonts w:ascii="Times New Roman" w:eastAsia="Times New Roman" w:hAnsi="Times New Roman" w:cs="Times New Roman"/>
          <w:sz w:val="20"/>
          <w:szCs w:val="20"/>
        </w:rPr>
        <w:t xml:space="preserve">pon completion of the </w:t>
      </w:r>
      <w:r w:rsidR="00BD245B">
        <w:rPr>
          <w:rFonts w:ascii="Times New Roman" w:eastAsia="Times New Roman" w:hAnsi="Times New Roman" w:cs="Times New Roman"/>
          <w:sz w:val="20"/>
          <w:szCs w:val="20"/>
        </w:rPr>
        <w:t xml:space="preserve">registration and </w:t>
      </w:r>
      <w:r>
        <w:rPr>
          <w:rFonts w:ascii="Times New Roman" w:eastAsia="Times New Roman" w:hAnsi="Times New Roman" w:cs="Times New Roman"/>
          <w:sz w:val="20"/>
          <w:szCs w:val="20"/>
        </w:rPr>
        <w:t xml:space="preserve">fusion process, there exists a single </w:t>
      </w:r>
      <w:r w:rsidR="00A01B19">
        <w:rPr>
          <w:rFonts w:ascii="Times New Roman" w:eastAsia="Times New Roman" w:hAnsi="Times New Roman" w:cs="Times New Roman"/>
          <w:sz w:val="20"/>
          <w:szCs w:val="20"/>
        </w:rPr>
        <w:t xml:space="preserve">grid </w:t>
      </w:r>
      <w:r>
        <w:rPr>
          <w:rFonts w:ascii="Times New Roman" w:eastAsia="Times New Roman" w:hAnsi="Times New Roman" w:cs="Times New Roman"/>
          <w:sz w:val="20"/>
          <w:szCs w:val="20"/>
        </w:rPr>
        <w:t xml:space="preserve">of </w:t>
      </w:r>
      <w:r w:rsidR="00A01B19">
        <w:rPr>
          <w:rFonts w:ascii="Times New Roman" w:eastAsia="Times New Roman" w:hAnsi="Times New Roman" w:cs="Times New Roman"/>
          <w:sz w:val="20"/>
          <w:szCs w:val="20"/>
        </w:rPr>
        <w:t xml:space="preserve">points </w:t>
      </w:r>
      <w:r>
        <w:rPr>
          <w:rFonts w:ascii="Times New Roman" w:eastAsia="Times New Roman" w:hAnsi="Times New Roman" w:cs="Times New Roman"/>
          <w:sz w:val="20"/>
          <w:szCs w:val="20"/>
        </w:rPr>
        <w:t>that each have associated with the</w:t>
      </w:r>
      <w:r w:rsidR="00BD245B">
        <w:rPr>
          <w:rFonts w:ascii="Times New Roman" w:eastAsia="Times New Roman" w:hAnsi="Times New Roman" w:cs="Times New Roman"/>
          <w:sz w:val="20"/>
          <w:szCs w:val="20"/>
        </w:rPr>
        <w:t>m</w:t>
      </w:r>
      <w:r>
        <w:rPr>
          <w:rFonts w:ascii="Times New Roman" w:eastAsia="Times New Roman" w:hAnsi="Times New Roman" w:cs="Times New Roman"/>
          <w:sz w:val="20"/>
          <w:szCs w:val="20"/>
        </w:rPr>
        <w:t>: a v</w:t>
      </w:r>
      <w:r>
        <w:rPr>
          <w:rFonts w:ascii="Times New Roman" w:eastAsia="Times New Roman" w:hAnsi="Times New Roman" w:cs="Times New Roman"/>
          <w:sz w:val="20"/>
          <w:szCs w:val="20"/>
          <w:vertAlign w:val="subscript"/>
        </w:rPr>
        <w:t>f</w:t>
      </w:r>
      <w:r>
        <w:rPr>
          <w:rFonts w:ascii="Times New Roman" w:eastAsia="Times New Roman" w:hAnsi="Times New Roman" w:cs="Times New Roman"/>
          <w:sz w:val="20"/>
          <w:szCs w:val="20"/>
        </w:rPr>
        <w:t>, a</w:t>
      </w:r>
      <w:r w:rsidR="00A01B19">
        <w:rPr>
          <w:rFonts w:ascii="Times New Roman" w:eastAsia="Times New Roman" w:hAnsi="Times New Roman" w:cs="Times New Roman"/>
          <w:sz w:val="20"/>
          <w:szCs w:val="20"/>
        </w:rPr>
        <w:t>n averaged reference layer</w:t>
      </w:r>
      <w:r>
        <w:rPr>
          <w:rFonts w:ascii="Times New Roman" w:eastAsia="Times New Roman" w:hAnsi="Times New Roman" w:cs="Times New Roman"/>
          <w:sz w:val="20"/>
          <w:szCs w:val="20"/>
        </w:rPr>
        <w:t xml:space="preserve"> melt pool area, three </w:t>
      </w:r>
      <w:r w:rsidR="00A01B19">
        <w:rPr>
          <w:rFonts w:ascii="Times New Roman" w:eastAsia="Times New Roman" w:hAnsi="Times New Roman" w:cs="Times New Roman"/>
          <w:sz w:val="20"/>
          <w:szCs w:val="20"/>
        </w:rPr>
        <w:t xml:space="preserve">averaged </w:t>
      </w:r>
      <w:r>
        <w:rPr>
          <w:rFonts w:ascii="Times New Roman" w:eastAsia="Times New Roman" w:hAnsi="Times New Roman" w:cs="Times New Roman"/>
          <w:sz w:val="20"/>
          <w:szCs w:val="20"/>
        </w:rPr>
        <w:t xml:space="preserve">metrics defining the change in </w:t>
      </w:r>
      <w:r w:rsidR="00A01B19">
        <w:rPr>
          <w:rFonts w:ascii="Times New Roman" w:eastAsia="Times New Roman" w:hAnsi="Times New Roman" w:cs="Times New Roman"/>
          <w:sz w:val="20"/>
          <w:szCs w:val="20"/>
        </w:rPr>
        <w:t xml:space="preserve">local </w:t>
      </w:r>
      <w:r>
        <w:rPr>
          <w:rFonts w:ascii="Times New Roman" w:eastAsia="Times New Roman" w:hAnsi="Times New Roman" w:cs="Times New Roman"/>
          <w:sz w:val="20"/>
          <w:szCs w:val="20"/>
        </w:rPr>
        <w:t xml:space="preserve">melt pool area on the layers above, and a </w:t>
      </w:r>
      <w:r w:rsidR="00A01B19">
        <w:rPr>
          <w:rFonts w:ascii="Times New Roman" w:eastAsia="Times New Roman" w:hAnsi="Times New Roman" w:cs="Times New Roman"/>
          <w:sz w:val="20"/>
          <w:szCs w:val="20"/>
        </w:rPr>
        <w:t>percentage of local in-process monitoring points flagged as</w:t>
      </w:r>
      <w:r>
        <w:rPr>
          <w:rFonts w:ascii="Times New Roman" w:eastAsia="Times New Roman" w:hAnsi="Times New Roman" w:cs="Times New Roman"/>
          <w:sz w:val="20"/>
          <w:szCs w:val="20"/>
        </w:rPr>
        <w:t xml:space="preserve"> outlier</w:t>
      </w:r>
      <w:r w:rsidR="00A01B19">
        <w:rPr>
          <w:rFonts w:ascii="Times New Roman" w:eastAsia="Times New Roman" w:hAnsi="Times New Roman" w:cs="Times New Roman"/>
          <w:sz w:val="20"/>
          <w:szCs w:val="20"/>
        </w:rPr>
        <w:t>s</w:t>
      </w:r>
      <w:r>
        <w:rPr>
          <w:rFonts w:ascii="Times New Roman" w:eastAsia="Times New Roman" w:hAnsi="Times New Roman" w:cs="Times New Roman"/>
          <w:sz w:val="20"/>
          <w:szCs w:val="20"/>
        </w:rPr>
        <w:t xml:space="preserve">. We will discuss the analysis of this </w:t>
      </w:r>
      <w:r w:rsidR="00A01B19">
        <w:rPr>
          <w:rFonts w:ascii="Times New Roman" w:eastAsia="Times New Roman" w:hAnsi="Times New Roman" w:cs="Times New Roman"/>
          <w:sz w:val="20"/>
          <w:szCs w:val="20"/>
        </w:rPr>
        <w:t xml:space="preserve">combined </w:t>
      </w:r>
      <w:r>
        <w:rPr>
          <w:rFonts w:ascii="Times New Roman" w:eastAsia="Times New Roman" w:hAnsi="Times New Roman" w:cs="Times New Roman"/>
          <w:sz w:val="20"/>
          <w:szCs w:val="20"/>
        </w:rPr>
        <w:t>dataset in the next section.</w:t>
      </w:r>
    </w:p>
    <w:p w:rsidR="00AC28B6" w:rsidRDefault="00705F45">
      <w:pPr>
        <w:pBdr>
          <w:top w:val="nil"/>
          <w:left w:val="nil"/>
          <w:bottom w:val="nil"/>
          <w:right w:val="nil"/>
          <w:between w:val="nil"/>
        </w:pBdr>
        <w:spacing w:before="200" w:after="120"/>
        <w:rPr>
          <w:i/>
        </w:rPr>
      </w:pPr>
      <w:r>
        <w:rPr>
          <w:i/>
          <w:color w:val="000000"/>
        </w:rPr>
        <w:t>3</w:t>
      </w:r>
      <w:r w:rsidR="00413A1A">
        <w:rPr>
          <w:i/>
          <w:color w:val="000000"/>
        </w:rPr>
        <w:t xml:space="preserve">.4 </w:t>
      </w:r>
      <w:r w:rsidR="00413A1A">
        <w:rPr>
          <w:i/>
        </w:rPr>
        <w:t>Machine Learning of Relationship Between In-Process Monitoring Signatures and CT Void Indications</w:t>
      </w:r>
    </w:p>
    <w:p w:rsidR="00AC28B6" w:rsidRDefault="00413A1A">
      <w:pPr>
        <w:spacing w:after="0"/>
        <w:ind w:firstLine="36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xml:space="preserve">The end goal of fusing the CT and in-process monitoring is to establish if a quantitative relationship exists between the two data streams. Machine learning methods are data-driven models that can feel like ‘black boxes’ that link inputs to outputs using an unexplainable, complex set of functions. In this work, we have attempted to design understandable features and also chose a machine learning approach built on decision trees </w:t>
      </w:r>
      <w:r w:rsidR="003C1A73">
        <w:rPr>
          <w:rFonts w:ascii="Times New Roman" w:eastAsia="Times New Roman" w:hAnsi="Times New Roman" w:cs="Times New Roman"/>
          <w:sz w:val="20"/>
          <w:szCs w:val="20"/>
        </w:rPr>
        <w:t>[</w:t>
      </w:r>
      <w:r w:rsidR="00493AA1">
        <w:rPr>
          <w:rFonts w:ascii="Times New Roman" w:eastAsia="Times New Roman" w:hAnsi="Times New Roman" w:cs="Times New Roman"/>
          <w:sz w:val="20"/>
          <w:szCs w:val="20"/>
        </w:rPr>
        <w:t>28</w:t>
      </w:r>
      <w:r w:rsidR="003C1A73">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A decision tree operates like a flow diagram, where nodes separating branches apply a test to the features and branches ultimately terminate at a leaf node, representing an output class label. Decision trees can often lead to overfitting </w:t>
      </w:r>
      <w:r w:rsidR="003C1A73">
        <w:rPr>
          <w:rFonts w:ascii="Times New Roman" w:eastAsia="Times New Roman" w:hAnsi="Times New Roman" w:cs="Times New Roman"/>
          <w:sz w:val="20"/>
          <w:szCs w:val="20"/>
        </w:rPr>
        <w:t>[</w:t>
      </w:r>
      <w:r w:rsidR="00493AA1">
        <w:rPr>
          <w:rFonts w:ascii="Times New Roman" w:eastAsia="Times New Roman" w:hAnsi="Times New Roman" w:cs="Times New Roman"/>
          <w:sz w:val="20"/>
          <w:szCs w:val="20"/>
        </w:rPr>
        <w:t>29</w:t>
      </w:r>
      <w:r w:rsidR="003C1A73">
        <w:rPr>
          <w:rFonts w:ascii="Times New Roman" w:eastAsia="Times New Roman" w:hAnsi="Times New Roman" w:cs="Times New Roman"/>
          <w:sz w:val="20"/>
          <w:szCs w:val="20"/>
        </w:rPr>
        <w:t>]</w:t>
      </w:r>
      <w:r>
        <w:rPr>
          <w:rFonts w:ascii="Times New Roman" w:eastAsia="Times New Roman" w:hAnsi="Times New Roman" w:cs="Times New Roman"/>
          <w:sz w:val="20"/>
          <w:szCs w:val="20"/>
        </w:rPr>
        <w:t>, so it is common to utilize numerous decision trees in an ensemble learning strategy, which is termed the random forest method. Each tree is built on a random subset of the training data, using a random subset of the feature set thus bringing stochasticity while training the model which helps in avoiding overfitting the training dataset. The output from each of the decision trees is then voted to get a final prediction of the propensity of detected voids given the interpolated in-process monitoring predictors (i</w:t>
      </w:r>
      <w:r w:rsidR="00C7264B">
        <w:rPr>
          <w:rFonts w:ascii="Times New Roman" w:eastAsia="Times New Roman" w:hAnsi="Times New Roman" w:cs="Times New Roman"/>
          <w:sz w:val="20"/>
          <w:szCs w:val="20"/>
        </w:rPr>
        <w:t>.</w:t>
      </w:r>
      <w:r>
        <w:rPr>
          <w:rFonts w:ascii="Times New Roman" w:eastAsia="Times New Roman" w:hAnsi="Times New Roman" w:cs="Times New Roman"/>
          <w:sz w:val="20"/>
          <w:szCs w:val="20"/>
        </w:rPr>
        <w:t>e</w:t>
      </w:r>
      <w:r w:rsidR="00C7264B">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metrics 1-3 defined in section 2.2.1) at all locations in the sample. A schematic of the random forest approach is shown in </w:t>
      </w:r>
      <w:r w:rsidRPr="00133659">
        <w:rPr>
          <w:rFonts w:ascii="Times New Roman" w:eastAsia="Times New Roman" w:hAnsi="Times New Roman" w:cs="Times New Roman"/>
          <w:sz w:val="20"/>
          <w:szCs w:val="20"/>
        </w:rPr>
        <w:t xml:space="preserve">Figure </w:t>
      </w:r>
      <w:r w:rsidR="00A01B19">
        <w:rPr>
          <w:rFonts w:ascii="Times New Roman" w:eastAsia="Times New Roman" w:hAnsi="Times New Roman" w:cs="Times New Roman"/>
          <w:sz w:val="20"/>
          <w:szCs w:val="20"/>
        </w:rPr>
        <w:t>6</w:t>
      </w:r>
      <w:r w:rsidRPr="00133659">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We utilized Scikit-learn’s RandomForestRegressor implementation in Python. The 3D image dataset was transformed to a tabular dataframe, where each row corresponded to a grid point and were comprised of columns of v</w:t>
      </w:r>
      <w:r>
        <w:rPr>
          <w:rFonts w:ascii="Times New Roman" w:eastAsia="Times New Roman" w:hAnsi="Times New Roman" w:cs="Times New Roman"/>
          <w:sz w:val="20"/>
          <w:szCs w:val="20"/>
          <w:vertAlign w:val="subscript"/>
        </w:rPr>
        <w:t>f</w:t>
      </w:r>
      <w:r>
        <w:rPr>
          <w:rFonts w:ascii="Times New Roman" w:eastAsia="Times New Roman" w:hAnsi="Times New Roman" w:cs="Times New Roman"/>
          <w:sz w:val="20"/>
          <w:szCs w:val="20"/>
        </w:rPr>
        <w:t xml:space="preserve"> and the in-process monitoring predictors. The data were then split into testing and training datasets using sklearn.model_selection’s train_test_split method and passed into the RandomForestRegressor object. Two regressions were done, the first of which used the </w:t>
      </w:r>
      <w:r w:rsidR="0016749E">
        <w:rPr>
          <w:rFonts w:ascii="Times New Roman" w:eastAsia="Times New Roman" w:hAnsi="Times New Roman" w:cs="Times New Roman"/>
          <w:sz w:val="20"/>
          <w:szCs w:val="20"/>
        </w:rPr>
        <w:t xml:space="preserve">local region’s </w:t>
      </w:r>
      <w:r w:rsidR="00705F45">
        <w:rPr>
          <w:rFonts w:ascii="Times New Roman" w:eastAsia="Times New Roman" w:hAnsi="Times New Roman" w:cs="Times New Roman"/>
          <w:sz w:val="20"/>
          <w:szCs w:val="20"/>
        </w:rPr>
        <w:t>normalized</w:t>
      </w:r>
      <w:r>
        <w:rPr>
          <w:rFonts w:ascii="Times New Roman" w:eastAsia="Times New Roman" w:hAnsi="Times New Roman" w:cs="Times New Roman"/>
          <w:sz w:val="20"/>
          <w:szCs w:val="20"/>
        </w:rPr>
        <w:t xml:space="preserve"> melt pool area</w:t>
      </w:r>
      <w:r w:rsidR="0016749E">
        <w:rPr>
          <w:rFonts w:ascii="Times New Roman" w:eastAsia="Times New Roman" w:hAnsi="Times New Roman" w:cs="Times New Roman"/>
          <w:sz w:val="20"/>
          <w:szCs w:val="20"/>
        </w:rPr>
        <w:t xml:space="preserve"> on the reference layer only</w:t>
      </w:r>
      <w:r w:rsidR="00705F45">
        <w:rPr>
          <w:rFonts w:ascii="Times New Roman" w:eastAsia="Times New Roman" w:hAnsi="Times New Roman" w:cs="Times New Roman"/>
          <w:sz w:val="20"/>
          <w:szCs w:val="20"/>
        </w:rPr>
        <w:t xml:space="preserve"> (the fourth dimension in the data space described in 3.2.1)</w:t>
      </w:r>
      <w:r>
        <w:rPr>
          <w:rFonts w:ascii="Times New Roman" w:eastAsia="Times New Roman" w:hAnsi="Times New Roman" w:cs="Times New Roman"/>
          <w:sz w:val="20"/>
          <w:szCs w:val="20"/>
        </w:rPr>
        <w:t xml:space="preserve"> to predict the voids, which is termed the naive prediction. The second regression used the full </w:t>
      </w:r>
      <w:r w:rsidR="0016749E">
        <w:rPr>
          <w:rFonts w:ascii="Times New Roman" w:eastAsia="Times New Roman" w:hAnsi="Times New Roman" w:cs="Times New Roman"/>
          <w:sz w:val="20"/>
          <w:szCs w:val="20"/>
        </w:rPr>
        <w:t xml:space="preserve">four-dimensional feature vector for each local region as </w:t>
      </w:r>
      <w:r>
        <w:rPr>
          <w:rFonts w:ascii="Times New Roman" w:eastAsia="Times New Roman" w:hAnsi="Times New Roman" w:cs="Times New Roman"/>
          <w:sz w:val="20"/>
          <w:szCs w:val="20"/>
        </w:rPr>
        <w:t>predictors. Both models were used to create predicted v</w:t>
      </w:r>
      <w:r>
        <w:rPr>
          <w:rFonts w:ascii="Times New Roman" w:eastAsia="Times New Roman" w:hAnsi="Times New Roman" w:cs="Times New Roman"/>
          <w:sz w:val="20"/>
          <w:szCs w:val="20"/>
          <w:vertAlign w:val="subscript"/>
        </w:rPr>
        <w:t>f</w:t>
      </w:r>
      <w:r>
        <w:rPr>
          <w:rFonts w:ascii="Times New Roman" w:eastAsia="Times New Roman" w:hAnsi="Times New Roman" w:cs="Times New Roman"/>
          <w:sz w:val="20"/>
          <w:szCs w:val="20"/>
        </w:rPr>
        <w:t xml:space="preserve"> values, which were mapped back to the 3D image grid for visual comparison.</w:t>
      </w:r>
    </w:p>
    <w:p w:rsidR="00AC28B6" w:rsidRDefault="00413A1A">
      <w:pPr>
        <w:spacing w:after="0"/>
        <w:ind w:firstLine="36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Results were quantitatively evaluated in two ways. First, sklearn.metrics’ r2_score method, which computes the coefficient of determination, was used to assess the ability of the regressor to predict the continuous probability of voids in a region (i</w:t>
      </w:r>
      <w:r w:rsidR="00C7264B">
        <w:rPr>
          <w:rFonts w:ascii="Times New Roman" w:eastAsia="Times New Roman" w:hAnsi="Times New Roman" w:cs="Times New Roman"/>
          <w:sz w:val="20"/>
          <w:szCs w:val="20"/>
        </w:rPr>
        <w:t>.</w:t>
      </w:r>
      <w:r>
        <w:rPr>
          <w:rFonts w:ascii="Times New Roman" w:eastAsia="Times New Roman" w:hAnsi="Times New Roman" w:cs="Times New Roman"/>
          <w:sz w:val="20"/>
          <w:szCs w:val="20"/>
        </w:rPr>
        <w:t>e</w:t>
      </w:r>
      <w:r w:rsidR="00C7264B">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v</w:t>
      </w:r>
      <w:r>
        <w:rPr>
          <w:rFonts w:ascii="Times New Roman" w:eastAsia="Times New Roman" w:hAnsi="Times New Roman" w:cs="Times New Roman"/>
          <w:sz w:val="20"/>
          <w:szCs w:val="20"/>
          <w:vertAlign w:val="subscript"/>
        </w:rPr>
        <w:t>f</w:t>
      </w:r>
      <w:r>
        <w:rPr>
          <w:rFonts w:ascii="Times New Roman" w:eastAsia="Times New Roman" w:hAnsi="Times New Roman" w:cs="Times New Roman"/>
          <w:sz w:val="20"/>
          <w:szCs w:val="20"/>
        </w:rPr>
        <w:t>). Second, the predicted and actual v</w:t>
      </w:r>
      <w:r>
        <w:rPr>
          <w:rFonts w:ascii="Times New Roman" w:eastAsia="Times New Roman" w:hAnsi="Times New Roman" w:cs="Times New Roman"/>
          <w:sz w:val="20"/>
          <w:szCs w:val="20"/>
          <w:vertAlign w:val="subscript"/>
        </w:rPr>
        <w:t>f</w:t>
      </w:r>
      <w:r>
        <w:rPr>
          <w:rFonts w:ascii="Times New Roman" w:eastAsia="Times New Roman" w:hAnsi="Times New Roman" w:cs="Times New Roman"/>
          <w:sz w:val="20"/>
          <w:szCs w:val="20"/>
        </w:rPr>
        <w:t xml:space="preserve"> values were threshold to obtain a binary classification (ie low probability and high probability of voids). </w:t>
      </w:r>
      <w:r w:rsidR="00153F53">
        <w:rPr>
          <w:rFonts w:ascii="Times New Roman" w:eastAsia="Times New Roman" w:hAnsi="Times New Roman" w:cs="Times New Roman"/>
          <w:sz w:val="20"/>
          <w:szCs w:val="20"/>
        </w:rPr>
        <w:t>For this work, we chose 0.</w:t>
      </w:r>
      <w:r w:rsidR="008B7528">
        <w:rPr>
          <w:rFonts w:ascii="Times New Roman" w:eastAsia="Times New Roman" w:hAnsi="Times New Roman" w:cs="Times New Roman"/>
          <w:sz w:val="20"/>
          <w:szCs w:val="20"/>
        </w:rPr>
        <w:t>05</w:t>
      </w:r>
      <w:r w:rsidR="00153F53">
        <w:rPr>
          <w:rFonts w:ascii="Times New Roman" w:eastAsia="Times New Roman" w:hAnsi="Times New Roman" w:cs="Times New Roman"/>
          <w:sz w:val="20"/>
          <w:szCs w:val="20"/>
        </w:rPr>
        <w:t xml:space="preserve"> as the threshold</w:t>
      </w:r>
      <w:r w:rsidR="00A74F2E">
        <w:rPr>
          <w:rFonts w:ascii="Times New Roman" w:eastAsia="Times New Roman" w:hAnsi="Times New Roman" w:cs="Times New Roman"/>
          <w:sz w:val="20"/>
          <w:szCs w:val="20"/>
        </w:rPr>
        <w:t xml:space="preserve"> for high probability of voids</w:t>
      </w:r>
      <w:r w:rsidR="00153F53">
        <w:rPr>
          <w:rFonts w:ascii="Times New Roman" w:eastAsia="Times New Roman" w:hAnsi="Times New Roman" w:cs="Times New Roman"/>
          <w:sz w:val="20"/>
          <w:szCs w:val="20"/>
        </w:rPr>
        <w:t xml:space="preserve">, meaning </w:t>
      </w:r>
      <w:r w:rsidR="008B7528">
        <w:rPr>
          <w:rFonts w:ascii="Times New Roman" w:eastAsia="Times New Roman" w:hAnsi="Times New Roman" w:cs="Times New Roman"/>
          <w:sz w:val="20"/>
          <w:szCs w:val="20"/>
        </w:rPr>
        <w:t>5</w:t>
      </w:r>
      <w:r w:rsidR="00153F53">
        <w:rPr>
          <w:rFonts w:ascii="Times New Roman" w:eastAsia="Times New Roman" w:hAnsi="Times New Roman" w:cs="Times New Roman"/>
          <w:sz w:val="20"/>
          <w:szCs w:val="20"/>
        </w:rPr>
        <w:t xml:space="preserve">% of </w:t>
      </w:r>
      <w:r w:rsidR="00962F86">
        <w:rPr>
          <w:rFonts w:ascii="Times New Roman" w:eastAsia="Times New Roman" w:hAnsi="Times New Roman" w:cs="Times New Roman"/>
          <w:sz w:val="20"/>
          <w:szCs w:val="20"/>
        </w:rPr>
        <w:t xml:space="preserve">voxels </w:t>
      </w:r>
      <w:r w:rsidR="00C7264B">
        <w:rPr>
          <w:rFonts w:ascii="Times New Roman" w:eastAsia="Times New Roman" w:hAnsi="Times New Roman" w:cs="Times New Roman"/>
          <w:sz w:val="20"/>
          <w:szCs w:val="20"/>
        </w:rPr>
        <w:t>near</w:t>
      </w:r>
      <w:r w:rsidR="00962F86">
        <w:rPr>
          <w:rFonts w:ascii="Times New Roman" w:eastAsia="Times New Roman" w:hAnsi="Times New Roman" w:cs="Times New Roman"/>
          <w:sz w:val="20"/>
          <w:szCs w:val="20"/>
        </w:rPr>
        <w:t xml:space="preserve"> the location are associated with voids.</w:t>
      </w:r>
      <w:r>
        <w:rPr>
          <w:rFonts w:ascii="Times New Roman" w:eastAsia="Times New Roman" w:hAnsi="Times New Roman" w:cs="Times New Roman"/>
          <w:sz w:val="20"/>
          <w:szCs w:val="20"/>
        </w:rPr>
        <w:t xml:space="preserve"> The comparison of binary classification quality can be done by computing a variety of statistics such as recall, precision, and type I and II error. An additional benefit of the random forest method is that the feature importance can be computed to determine which metrics are most predictive and which may be more tenuous. This importance score can be useful in feature engineering to extract more useful metric from the in-process monitorin</w:t>
      </w:r>
      <w:r w:rsidR="00133659">
        <w:rPr>
          <w:rFonts w:ascii="Times New Roman" w:eastAsia="Times New Roman" w:hAnsi="Times New Roman" w:cs="Times New Roman"/>
          <w:sz w:val="20"/>
          <w:szCs w:val="20"/>
        </w:rPr>
        <w:t>g and increase predictability. In this work, it was seen that while the melt pool area on the reference layer was determined by the regression to be the most important to predicting void probability, the melt pool areas from the subsequent three layers were used nearly equally and provided almost the same importance as the reference layer.</w:t>
      </w:r>
      <w:r w:rsidR="000C6D42">
        <w:rPr>
          <w:rFonts w:ascii="Times New Roman" w:eastAsia="Times New Roman" w:hAnsi="Times New Roman" w:cs="Times New Roman"/>
          <w:sz w:val="20"/>
          <w:szCs w:val="20"/>
        </w:rPr>
        <w:t xml:space="preserve"> A graph of the importance of each feature is shown in the supplementary material.</w:t>
      </w:r>
    </w:p>
    <w:p w:rsidR="00AC28B6" w:rsidRDefault="00413A1A">
      <w:pPr>
        <w:spacing w:after="0"/>
        <w:jc w:val="center"/>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114300" distB="114300" distL="114300" distR="114300">
            <wp:extent cx="3892550" cy="263870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8"/>
                    <a:srcRect/>
                    <a:stretch>
                      <a:fillRect/>
                    </a:stretch>
                  </pic:blipFill>
                  <pic:spPr>
                    <a:xfrm>
                      <a:off x="0" y="0"/>
                      <a:ext cx="3892550" cy="2638700"/>
                    </a:xfrm>
                    <a:prstGeom prst="rect">
                      <a:avLst/>
                    </a:prstGeom>
                    <a:ln/>
                  </pic:spPr>
                </pic:pic>
              </a:graphicData>
            </a:graphic>
          </wp:inline>
        </w:drawing>
      </w:r>
    </w:p>
    <w:p w:rsidR="00AC28B6" w:rsidRDefault="00413A1A">
      <w:p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b/>
          <w:sz w:val="20"/>
          <w:szCs w:val="20"/>
        </w:rPr>
        <w:t xml:space="preserve">Figure </w:t>
      </w:r>
      <w:r w:rsidR="00A01B19">
        <w:rPr>
          <w:rFonts w:ascii="Times New Roman" w:eastAsia="Times New Roman" w:hAnsi="Times New Roman" w:cs="Times New Roman"/>
          <w:b/>
          <w:sz w:val="20"/>
          <w:szCs w:val="20"/>
        </w:rPr>
        <w:t>6</w:t>
      </w:r>
      <w:r>
        <w:rPr>
          <w:rFonts w:ascii="Times New Roman" w:eastAsia="Times New Roman" w:hAnsi="Times New Roman" w:cs="Times New Roman"/>
          <w:b/>
          <w:sz w:val="20"/>
          <w:szCs w:val="20"/>
        </w:rPr>
        <w:t xml:space="preserve">: </w:t>
      </w:r>
      <w:r>
        <w:rPr>
          <w:rFonts w:ascii="Times New Roman" w:eastAsia="Times New Roman" w:hAnsi="Times New Roman" w:cs="Times New Roman"/>
          <w:sz w:val="20"/>
          <w:szCs w:val="20"/>
        </w:rPr>
        <w:t>Schematic of the random forest method illustrating the multiple decision trees and the aggregation of their predictions to create an ensemble prediction of the classification of the input data.</w:t>
      </w:r>
    </w:p>
    <w:p w:rsidR="00AC28B6" w:rsidRDefault="00A01B19">
      <w:pPr>
        <w:pBdr>
          <w:top w:val="nil"/>
          <w:left w:val="nil"/>
          <w:bottom w:val="nil"/>
          <w:right w:val="nil"/>
          <w:between w:val="nil"/>
        </w:pBdr>
        <w:spacing w:before="200" w:after="120"/>
        <w:rPr>
          <w:b/>
          <w:color w:val="000000"/>
        </w:rPr>
      </w:pPr>
      <w:r>
        <w:rPr>
          <w:b/>
          <w:color w:val="000000"/>
        </w:rPr>
        <w:t>4</w:t>
      </w:r>
      <w:r w:rsidR="00413A1A">
        <w:rPr>
          <w:b/>
          <w:color w:val="000000"/>
        </w:rPr>
        <w:t>. Results</w:t>
      </w:r>
    </w:p>
    <w:p w:rsidR="00AC28B6" w:rsidRDefault="00413A1A">
      <w:pPr>
        <w:spacing w:after="0" w:line="240" w:lineRule="auto"/>
        <w:ind w:firstLine="270"/>
        <w:jc w:val="both"/>
        <w:rPr>
          <w:i/>
        </w:rPr>
      </w:pPr>
      <w:r>
        <w:rPr>
          <w:rFonts w:ascii="Times New Roman" w:eastAsia="Times New Roman" w:hAnsi="Times New Roman" w:cs="Times New Roman"/>
          <w:sz w:val="20"/>
          <w:szCs w:val="20"/>
        </w:rPr>
        <w:t xml:space="preserve">In effort to test the predictive ability of the framework discussed above, we designed an experiment to intentionally insert defective material within otherwise nominal processing conditions that we have observed to yield high quality </w:t>
      </w:r>
      <w:r>
        <w:rPr>
          <w:rFonts w:ascii="Times New Roman" w:eastAsia="Times New Roman" w:hAnsi="Times New Roman" w:cs="Times New Roman"/>
          <w:sz w:val="20"/>
          <w:szCs w:val="20"/>
        </w:rPr>
        <w:lastRenderedPageBreak/>
        <w:t xml:space="preserve">material (with respect to density). The methods used to insert the defective material precludes predicting the ‘initiation’ of the defects, but we can test the ability to detect if there is defective material underneath an otherwise nominal layer and whether the nominal layer likely healed the defect. In this section, we will outline the experiment and present the results of the methodology. </w:t>
      </w:r>
    </w:p>
    <w:p w:rsidR="00AC28B6" w:rsidRDefault="00AC28B6">
      <w:pPr>
        <w:spacing w:after="0" w:line="240" w:lineRule="auto"/>
        <w:ind w:firstLine="270"/>
        <w:jc w:val="both"/>
        <w:rPr>
          <w:rFonts w:ascii="Times New Roman" w:eastAsia="Times New Roman" w:hAnsi="Times New Roman" w:cs="Times New Roman"/>
          <w:b/>
          <w:sz w:val="20"/>
          <w:szCs w:val="20"/>
        </w:rPr>
      </w:pPr>
    </w:p>
    <w:p w:rsidR="00AC28B6" w:rsidRDefault="005F3EC5" w:rsidP="00576A84">
      <w:pPr>
        <w:spacing w:line="240" w:lineRule="auto"/>
        <w:ind w:firstLine="27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The in-process monitoring and CT data streams from one of the cylinders were processed</w:t>
      </w:r>
      <w:r w:rsidR="00814DAF">
        <w:rPr>
          <w:rFonts w:ascii="Times New Roman" w:eastAsia="Times New Roman" w:hAnsi="Times New Roman" w:cs="Times New Roman"/>
          <w:sz w:val="20"/>
          <w:szCs w:val="20"/>
        </w:rPr>
        <w:t xml:space="preserve"> as described in the previous sections</w:t>
      </w:r>
      <w:r w:rsidR="009E70E9">
        <w:rPr>
          <w:rFonts w:ascii="Times New Roman" w:eastAsia="Times New Roman" w:hAnsi="Times New Roman" w:cs="Times New Roman"/>
          <w:sz w:val="20"/>
          <w:szCs w:val="20"/>
        </w:rPr>
        <w:t xml:space="preserve"> and two statistical models relating in-process monitoring signals to local void density were learned</w:t>
      </w:r>
      <w:r w:rsidR="00814DAF">
        <w:rPr>
          <w:rFonts w:ascii="Times New Roman" w:eastAsia="Times New Roman" w:hAnsi="Times New Roman" w:cs="Times New Roman"/>
          <w:sz w:val="20"/>
          <w:szCs w:val="20"/>
        </w:rPr>
        <w:t xml:space="preserve">.  Figure 7 shows scatter plots of the </w:t>
      </w:r>
      <w:r w:rsidR="009E70E9">
        <w:rPr>
          <w:rFonts w:ascii="Times New Roman" w:eastAsia="Times New Roman" w:hAnsi="Times New Roman" w:cs="Times New Roman"/>
          <w:sz w:val="20"/>
          <w:szCs w:val="20"/>
        </w:rPr>
        <w:t xml:space="preserve">predictions of local void density from these models compared to the actual local void density observed from CT. The plots show that, in general, both models underpredict the amount of local voiding, since it can be seen that most points fall above the identity line in both plots. However, in the naïve prediction, which is shown on the left in Figure 7 and use only the normalized reference layer melt pool area, the points are further from the identity line, especially along the x-axis (corresponding to false positives). The full prediction, which is shown on the right in Figure 7 and uses the four dimensional </w:t>
      </w:r>
      <w:r w:rsidR="002A0E72">
        <w:rPr>
          <w:rFonts w:ascii="Times New Roman" w:eastAsia="Times New Roman" w:hAnsi="Times New Roman" w:cs="Times New Roman"/>
          <w:sz w:val="20"/>
          <w:szCs w:val="20"/>
        </w:rPr>
        <w:t>feature vector, shows the points moving towards the identity line and reducing the number of points located directly along the x and y axes. The deviation from the identity line suggests additional processing is needed. Investigation into the location of the points furthest off the line most commonly showed locations that were in the defected regions that were predicted have low local voiding (i</w:t>
      </w:r>
      <w:r w:rsidR="00C7264B">
        <w:rPr>
          <w:rFonts w:ascii="Times New Roman" w:eastAsia="Times New Roman" w:hAnsi="Times New Roman" w:cs="Times New Roman"/>
          <w:sz w:val="20"/>
          <w:szCs w:val="20"/>
        </w:rPr>
        <w:t>.</w:t>
      </w:r>
      <w:r w:rsidR="002A0E72">
        <w:rPr>
          <w:rFonts w:ascii="Times New Roman" w:eastAsia="Times New Roman" w:hAnsi="Times New Roman" w:cs="Times New Roman"/>
          <w:sz w:val="20"/>
          <w:szCs w:val="20"/>
        </w:rPr>
        <w:t>e</w:t>
      </w:r>
      <w:r w:rsidR="00C7264B">
        <w:rPr>
          <w:rFonts w:ascii="Times New Roman" w:eastAsia="Times New Roman" w:hAnsi="Times New Roman" w:cs="Times New Roman"/>
          <w:sz w:val="20"/>
          <w:szCs w:val="20"/>
        </w:rPr>
        <w:t>.</w:t>
      </w:r>
      <w:r w:rsidR="002A0E72">
        <w:rPr>
          <w:rFonts w:ascii="Times New Roman" w:eastAsia="Times New Roman" w:hAnsi="Times New Roman" w:cs="Times New Roman"/>
          <w:sz w:val="20"/>
          <w:szCs w:val="20"/>
        </w:rPr>
        <w:t xml:space="preserve"> false negatives). However, in most cases, the points immediately surrounding these false negatives were well predicted, which suggests a further coarsening of the data may help smooth predictions. This is will be discussed further below and in the conclusions. </w:t>
      </w:r>
    </w:p>
    <w:p w:rsidR="00EA1D34" w:rsidRDefault="00591C95" w:rsidP="00EA1D34">
      <w:p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extent cx="5943600" cy="151320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Figure 7.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1513205"/>
                    </a:xfrm>
                    <a:prstGeom prst="rect">
                      <a:avLst/>
                    </a:prstGeom>
                  </pic:spPr>
                </pic:pic>
              </a:graphicData>
            </a:graphic>
          </wp:inline>
        </w:drawing>
      </w:r>
    </w:p>
    <w:p w:rsidR="00EA1D34" w:rsidRDefault="00EA1D34" w:rsidP="00576A84">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Figure 7: </w:t>
      </w:r>
      <w:r w:rsidR="00162E2C">
        <w:rPr>
          <w:rFonts w:ascii="Times New Roman" w:eastAsia="Times New Roman" w:hAnsi="Times New Roman" w:cs="Times New Roman"/>
          <w:sz w:val="20"/>
          <w:szCs w:val="20"/>
        </w:rPr>
        <w:t>left</w:t>
      </w:r>
      <w:r>
        <w:rPr>
          <w:rFonts w:ascii="Times New Roman" w:eastAsia="Times New Roman" w:hAnsi="Times New Roman" w:cs="Times New Roman"/>
          <w:sz w:val="20"/>
          <w:szCs w:val="20"/>
        </w:rPr>
        <w:t xml:space="preserve">) </w:t>
      </w:r>
      <w:r w:rsidR="008B7528">
        <w:rPr>
          <w:rFonts w:ascii="Times New Roman" w:eastAsia="Times New Roman" w:hAnsi="Times New Roman" w:cs="Times New Roman"/>
          <w:sz w:val="20"/>
          <w:szCs w:val="20"/>
        </w:rPr>
        <w:t xml:space="preserve">scatter plot showing the </w:t>
      </w:r>
      <w:r w:rsidR="00162E2C">
        <w:rPr>
          <w:rFonts w:ascii="Times New Roman" w:eastAsia="Times New Roman" w:hAnsi="Times New Roman" w:cs="Times New Roman"/>
          <w:sz w:val="20"/>
          <w:szCs w:val="20"/>
        </w:rPr>
        <w:t>predicted vs actual</w:t>
      </w:r>
      <w:r w:rsidR="008B7528">
        <w:rPr>
          <w:rFonts w:ascii="Times New Roman" w:eastAsia="Times New Roman" w:hAnsi="Times New Roman" w:cs="Times New Roman"/>
          <w:sz w:val="20"/>
          <w:szCs w:val="20"/>
        </w:rPr>
        <w:t xml:space="preserve"> modified v</w:t>
      </w:r>
      <w:r w:rsidR="008B7528">
        <w:rPr>
          <w:rFonts w:ascii="Times New Roman" w:eastAsia="Times New Roman" w:hAnsi="Times New Roman" w:cs="Times New Roman"/>
          <w:sz w:val="20"/>
          <w:szCs w:val="20"/>
          <w:vertAlign w:val="subscript"/>
        </w:rPr>
        <w:t>f</w:t>
      </w:r>
      <w:r w:rsidR="008B7528">
        <w:rPr>
          <w:rFonts w:ascii="Times New Roman" w:eastAsia="Times New Roman" w:hAnsi="Times New Roman" w:cs="Times New Roman"/>
          <w:sz w:val="20"/>
          <w:szCs w:val="20"/>
        </w:rPr>
        <w:t xml:space="preserve"> metric from the CT data for each spatial location in the cylinder</w:t>
      </w:r>
      <w:r w:rsidR="00162E2C">
        <w:rPr>
          <w:rFonts w:ascii="Times New Roman" w:eastAsia="Times New Roman" w:hAnsi="Times New Roman" w:cs="Times New Roman"/>
          <w:sz w:val="20"/>
          <w:szCs w:val="20"/>
        </w:rPr>
        <w:t xml:space="preserve"> using the naïve prediction</w:t>
      </w:r>
      <w:r w:rsidR="008B7528">
        <w:rPr>
          <w:rFonts w:ascii="Times New Roman" w:eastAsia="Times New Roman" w:hAnsi="Times New Roman" w:cs="Times New Roman"/>
          <w:sz w:val="20"/>
          <w:szCs w:val="20"/>
        </w:rPr>
        <w:t xml:space="preserve"> and </w:t>
      </w:r>
      <w:r w:rsidR="00162E2C">
        <w:rPr>
          <w:rFonts w:ascii="Times New Roman" w:eastAsia="Times New Roman" w:hAnsi="Times New Roman" w:cs="Times New Roman"/>
          <w:sz w:val="20"/>
          <w:szCs w:val="20"/>
        </w:rPr>
        <w:t>right</w:t>
      </w:r>
      <w:r w:rsidR="008B7528">
        <w:rPr>
          <w:rFonts w:ascii="Times New Roman" w:eastAsia="Times New Roman" w:hAnsi="Times New Roman" w:cs="Times New Roman"/>
          <w:sz w:val="20"/>
          <w:szCs w:val="20"/>
        </w:rPr>
        <w:t xml:space="preserve">) scatter plot showing the </w:t>
      </w:r>
      <w:r w:rsidR="00162E2C">
        <w:rPr>
          <w:rFonts w:ascii="Times New Roman" w:eastAsia="Times New Roman" w:hAnsi="Times New Roman" w:cs="Times New Roman"/>
          <w:sz w:val="20"/>
          <w:szCs w:val="20"/>
        </w:rPr>
        <w:t>predicted vs actual</w:t>
      </w:r>
      <w:r w:rsidR="008B7528">
        <w:rPr>
          <w:rFonts w:ascii="Times New Roman" w:eastAsia="Times New Roman" w:hAnsi="Times New Roman" w:cs="Times New Roman"/>
          <w:sz w:val="20"/>
          <w:szCs w:val="20"/>
        </w:rPr>
        <w:t xml:space="preserve"> modified v</w:t>
      </w:r>
      <w:r w:rsidR="008B7528">
        <w:rPr>
          <w:rFonts w:ascii="Times New Roman" w:eastAsia="Times New Roman" w:hAnsi="Times New Roman" w:cs="Times New Roman"/>
          <w:sz w:val="20"/>
          <w:szCs w:val="20"/>
          <w:vertAlign w:val="subscript"/>
        </w:rPr>
        <w:t>f</w:t>
      </w:r>
      <w:r w:rsidR="008B7528">
        <w:rPr>
          <w:rFonts w:ascii="Times New Roman" w:eastAsia="Times New Roman" w:hAnsi="Times New Roman" w:cs="Times New Roman"/>
          <w:sz w:val="20"/>
          <w:szCs w:val="20"/>
        </w:rPr>
        <w:t xml:space="preserve"> metric from the CT data for each spatial location in the cylinder</w:t>
      </w:r>
      <w:r w:rsidR="00162E2C">
        <w:rPr>
          <w:rFonts w:ascii="Times New Roman" w:eastAsia="Times New Roman" w:hAnsi="Times New Roman" w:cs="Times New Roman"/>
          <w:sz w:val="20"/>
          <w:szCs w:val="20"/>
        </w:rPr>
        <w:t xml:space="preserve"> using the full prediction</w:t>
      </w:r>
      <w:r w:rsidR="008B7528">
        <w:rPr>
          <w:rFonts w:ascii="Times New Roman" w:eastAsia="Times New Roman" w:hAnsi="Times New Roman" w:cs="Times New Roman"/>
          <w:sz w:val="20"/>
          <w:szCs w:val="20"/>
        </w:rPr>
        <w:t xml:space="preserve">. </w:t>
      </w:r>
    </w:p>
    <w:p w:rsidR="00576A84" w:rsidRDefault="00153F53" w:rsidP="00EA1D34">
      <w:p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Beyond inspecting for </w:t>
      </w:r>
      <w:r w:rsidR="002A0E72">
        <w:rPr>
          <w:rFonts w:ascii="Times New Roman" w:eastAsia="Times New Roman" w:hAnsi="Times New Roman" w:cs="Times New Roman"/>
          <w:sz w:val="20"/>
          <w:szCs w:val="20"/>
        </w:rPr>
        <w:t xml:space="preserve">general predictability of </w:t>
      </w:r>
      <w:r>
        <w:rPr>
          <w:rFonts w:ascii="Times New Roman" w:eastAsia="Times New Roman" w:hAnsi="Times New Roman" w:cs="Times New Roman"/>
          <w:sz w:val="20"/>
          <w:szCs w:val="20"/>
        </w:rPr>
        <w:t xml:space="preserve">the </w:t>
      </w:r>
      <w:r w:rsidR="002A0E72">
        <w:rPr>
          <w:rFonts w:ascii="Times New Roman" w:eastAsia="Times New Roman" w:hAnsi="Times New Roman" w:cs="Times New Roman"/>
          <w:sz w:val="20"/>
          <w:szCs w:val="20"/>
        </w:rPr>
        <w:t>models</w:t>
      </w:r>
      <w:r>
        <w:rPr>
          <w:rFonts w:ascii="Times New Roman" w:eastAsia="Times New Roman" w:hAnsi="Times New Roman" w:cs="Times New Roman"/>
          <w:sz w:val="20"/>
          <w:szCs w:val="20"/>
        </w:rPr>
        <w:t xml:space="preserve">, it is </w:t>
      </w:r>
      <w:r w:rsidR="002A0E72">
        <w:rPr>
          <w:rFonts w:ascii="Times New Roman" w:eastAsia="Times New Roman" w:hAnsi="Times New Roman" w:cs="Times New Roman"/>
          <w:sz w:val="20"/>
          <w:szCs w:val="20"/>
        </w:rPr>
        <w:t>useful to visualize the predictions in real space to see if there are systematic errors tied to spatial locations.</w:t>
      </w:r>
      <w:r>
        <w:rPr>
          <w:rFonts w:ascii="Times New Roman" w:eastAsia="Times New Roman" w:hAnsi="Times New Roman" w:cs="Times New Roman"/>
          <w:sz w:val="20"/>
          <w:szCs w:val="20"/>
        </w:rPr>
        <w:t xml:space="preserve"> Figure 8 shows the visual comparison of the </w:t>
      </w:r>
      <w:r w:rsidR="00A707AA">
        <w:rPr>
          <w:rFonts w:ascii="Times New Roman" w:eastAsia="Times New Roman" w:hAnsi="Times New Roman" w:cs="Times New Roman"/>
          <w:sz w:val="20"/>
          <w:szCs w:val="20"/>
        </w:rPr>
        <w:t xml:space="preserve">statistical model </w:t>
      </w:r>
      <w:r>
        <w:rPr>
          <w:rFonts w:ascii="Times New Roman" w:eastAsia="Times New Roman" w:hAnsi="Times New Roman" w:cs="Times New Roman"/>
          <w:sz w:val="20"/>
          <w:szCs w:val="20"/>
        </w:rPr>
        <w:t xml:space="preserve">prediction to the processed CT data for </w:t>
      </w:r>
      <w:r w:rsidR="002A0E72">
        <w:rPr>
          <w:rFonts w:ascii="Times New Roman" w:eastAsia="Times New Roman" w:hAnsi="Times New Roman" w:cs="Times New Roman"/>
          <w:sz w:val="20"/>
          <w:szCs w:val="20"/>
        </w:rPr>
        <w:t xml:space="preserve">three different </w:t>
      </w:r>
      <w:r>
        <w:rPr>
          <w:rFonts w:ascii="Times New Roman" w:eastAsia="Times New Roman" w:hAnsi="Times New Roman" w:cs="Times New Roman"/>
          <w:sz w:val="20"/>
          <w:szCs w:val="20"/>
        </w:rPr>
        <w:t>layer</w:t>
      </w:r>
      <w:r w:rsidR="002A0E72">
        <w:rPr>
          <w:rFonts w:ascii="Times New Roman" w:eastAsia="Times New Roman" w:hAnsi="Times New Roman" w:cs="Times New Roman"/>
          <w:sz w:val="20"/>
          <w:szCs w:val="20"/>
        </w:rPr>
        <w:t>s</w:t>
      </w:r>
      <w:r w:rsidR="00A707AA">
        <w:rPr>
          <w:rFonts w:ascii="Times New Roman" w:eastAsia="Times New Roman" w:hAnsi="Times New Roman" w:cs="Times New Roman"/>
          <w:sz w:val="20"/>
          <w:szCs w:val="20"/>
        </w:rPr>
        <w:t>, each</w:t>
      </w:r>
      <w:r>
        <w:rPr>
          <w:rFonts w:ascii="Times New Roman" w:eastAsia="Times New Roman" w:hAnsi="Times New Roman" w:cs="Times New Roman"/>
          <w:sz w:val="20"/>
          <w:szCs w:val="20"/>
        </w:rPr>
        <w:t xml:space="preserve"> </w:t>
      </w:r>
      <w:r w:rsidR="002A0E72">
        <w:rPr>
          <w:rFonts w:ascii="Times New Roman" w:eastAsia="Times New Roman" w:hAnsi="Times New Roman" w:cs="Times New Roman"/>
          <w:sz w:val="20"/>
          <w:szCs w:val="20"/>
        </w:rPr>
        <w:t xml:space="preserve">just </w:t>
      </w:r>
      <w:r w:rsidR="00C7264B">
        <w:rPr>
          <w:rFonts w:ascii="Times New Roman" w:eastAsia="Times New Roman" w:hAnsi="Times New Roman" w:cs="Times New Roman"/>
          <w:sz w:val="20"/>
          <w:szCs w:val="20"/>
        </w:rPr>
        <w:t>above inserted defected regions</w:t>
      </w:r>
      <w:r w:rsidR="002A0E72">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 xml:space="preserve">. </w:t>
      </w:r>
      <w:r w:rsidR="00A707AA">
        <w:rPr>
          <w:rFonts w:ascii="Times New Roman" w:eastAsia="Times New Roman" w:hAnsi="Times New Roman" w:cs="Times New Roman"/>
          <w:sz w:val="20"/>
          <w:szCs w:val="20"/>
        </w:rPr>
        <w:t xml:space="preserve">It is clear from the images that the predictions qualitatively match the patterns seen in actual CT data. It should be noted that while the defected regions were printed with uniformly poor processing conditions, the entire region does not have voids and there are local heterogeneities in the local void density within the regions.  The predicted local void densities do a good job capturing these heterogeneities. However, there are deviations in the magnitude of the local void density, with the predicted values generally being too low (as seen in Figure 7). Additionally, there are some locations where the predicted values appear to have a ‘hole’, where a small region of low predicted values are surrounded by high predicted values. </w:t>
      </w:r>
      <w:r w:rsidR="003C163D">
        <w:rPr>
          <w:rFonts w:ascii="Times New Roman" w:eastAsia="Times New Roman" w:hAnsi="Times New Roman" w:cs="Times New Roman"/>
          <w:sz w:val="20"/>
          <w:szCs w:val="20"/>
        </w:rPr>
        <w:t xml:space="preserve">Deviations between the predicted and the actual local void density could be due to multiple factors. </w:t>
      </w:r>
      <w:r w:rsidR="00962F86">
        <w:rPr>
          <w:rFonts w:ascii="Times New Roman" w:eastAsia="Times New Roman" w:hAnsi="Times New Roman" w:cs="Times New Roman"/>
          <w:sz w:val="20"/>
          <w:szCs w:val="20"/>
        </w:rPr>
        <w:t>First, the set of input features/metric</w:t>
      </w:r>
      <w:r w:rsidR="00A707AA">
        <w:rPr>
          <w:rFonts w:ascii="Times New Roman" w:eastAsia="Times New Roman" w:hAnsi="Times New Roman" w:cs="Times New Roman"/>
          <w:sz w:val="20"/>
          <w:szCs w:val="20"/>
        </w:rPr>
        <w:t>s</w:t>
      </w:r>
      <w:r w:rsidR="00962F86">
        <w:rPr>
          <w:rFonts w:ascii="Times New Roman" w:eastAsia="Times New Roman" w:hAnsi="Times New Roman" w:cs="Times New Roman"/>
          <w:sz w:val="20"/>
          <w:szCs w:val="20"/>
        </w:rPr>
        <w:t xml:space="preserve"> may not be complete enough to capture all voids. Second, the manual alignment and thresholding may have resulted</w:t>
      </w:r>
      <w:r w:rsidR="008B7528">
        <w:rPr>
          <w:rFonts w:ascii="Times New Roman" w:eastAsia="Times New Roman" w:hAnsi="Times New Roman" w:cs="Times New Roman"/>
          <w:sz w:val="20"/>
          <w:szCs w:val="20"/>
        </w:rPr>
        <w:t xml:space="preserve"> in positional uncertainty, which introduces uncertainty in the regression. </w:t>
      </w:r>
      <w:r w:rsidR="00A707AA">
        <w:rPr>
          <w:rFonts w:ascii="Times New Roman" w:eastAsia="Times New Roman" w:hAnsi="Times New Roman" w:cs="Times New Roman"/>
          <w:sz w:val="20"/>
          <w:szCs w:val="20"/>
        </w:rPr>
        <w:t xml:space="preserve">Third, the in-process monitoring data has some high-frequency variation that can be caused by spatter and ejecta events, which may not have been completely smoothed out. </w:t>
      </w:r>
      <w:r w:rsidR="008B7528">
        <w:rPr>
          <w:rFonts w:ascii="Times New Roman" w:eastAsia="Times New Roman" w:hAnsi="Times New Roman" w:cs="Times New Roman"/>
          <w:sz w:val="20"/>
          <w:szCs w:val="20"/>
        </w:rPr>
        <w:t>Finally, the voids in AM materials come from multiple sources (feedstock porosity, keyholing, lack of fusion, powder distribution, etc</w:t>
      </w:r>
      <w:r w:rsidR="00C7264B">
        <w:rPr>
          <w:rFonts w:ascii="Times New Roman" w:eastAsia="Times New Roman" w:hAnsi="Times New Roman" w:cs="Times New Roman"/>
          <w:sz w:val="20"/>
          <w:szCs w:val="20"/>
        </w:rPr>
        <w:t>.</w:t>
      </w:r>
      <w:bookmarkStart w:id="1" w:name="_GoBack"/>
      <w:bookmarkEnd w:id="1"/>
      <w:r w:rsidR="008B7528">
        <w:rPr>
          <w:rFonts w:ascii="Times New Roman" w:eastAsia="Times New Roman" w:hAnsi="Times New Roman" w:cs="Times New Roman"/>
          <w:sz w:val="20"/>
          <w:szCs w:val="20"/>
        </w:rPr>
        <w:t>), which may not be captured in the in-process data stream at all.</w:t>
      </w:r>
      <w:r w:rsidR="00962F86">
        <w:rPr>
          <w:rFonts w:ascii="Times New Roman" w:eastAsia="Times New Roman" w:hAnsi="Times New Roman" w:cs="Times New Roman"/>
          <w:sz w:val="20"/>
          <w:szCs w:val="20"/>
        </w:rPr>
        <w:t xml:space="preserve"> </w:t>
      </w:r>
    </w:p>
    <w:p w:rsidR="00153F53" w:rsidRDefault="00153F53" w:rsidP="00EA1D34">
      <w:pPr>
        <w:spacing w:after="0" w:line="240" w:lineRule="auto"/>
        <w:jc w:val="both"/>
        <w:rPr>
          <w:rFonts w:ascii="Times New Roman" w:eastAsia="Times New Roman" w:hAnsi="Times New Roman" w:cs="Times New Roman"/>
          <w:sz w:val="20"/>
          <w:szCs w:val="20"/>
        </w:rPr>
      </w:pPr>
    </w:p>
    <w:p w:rsidR="00153F53" w:rsidRDefault="00591C95" w:rsidP="00EA1D34">
      <w:p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noProof/>
          <w:sz w:val="20"/>
          <w:szCs w:val="20"/>
        </w:rPr>
        <w:lastRenderedPageBreak/>
        <w:drawing>
          <wp:inline distT="0" distB="0" distL="0" distR="0">
            <wp:extent cx="5943600" cy="337566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Figure 8.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375660"/>
                    </a:xfrm>
                    <a:prstGeom prst="rect">
                      <a:avLst/>
                    </a:prstGeom>
                  </pic:spPr>
                </pic:pic>
              </a:graphicData>
            </a:graphic>
          </wp:inline>
        </w:drawing>
      </w:r>
    </w:p>
    <w:p w:rsidR="00153F53" w:rsidRDefault="00153F53" w:rsidP="00153F53">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Figure 8: </w:t>
      </w:r>
      <w:r w:rsidR="00591C95">
        <w:rPr>
          <w:rFonts w:ascii="Times New Roman" w:eastAsia="Times New Roman" w:hAnsi="Times New Roman" w:cs="Times New Roman"/>
          <w:sz w:val="20"/>
          <w:szCs w:val="20"/>
        </w:rPr>
        <w:t>top</w:t>
      </w:r>
      <w:r>
        <w:rPr>
          <w:rFonts w:ascii="Times New Roman" w:eastAsia="Times New Roman" w:hAnsi="Times New Roman" w:cs="Times New Roman"/>
          <w:sz w:val="20"/>
          <w:szCs w:val="20"/>
        </w:rPr>
        <w:t xml:space="preserve">) </w:t>
      </w:r>
      <w:r w:rsidR="008B7528">
        <w:rPr>
          <w:rFonts w:ascii="Times New Roman" w:eastAsia="Times New Roman" w:hAnsi="Times New Roman" w:cs="Times New Roman"/>
          <w:sz w:val="20"/>
          <w:szCs w:val="20"/>
        </w:rPr>
        <w:t>actual modified v</w:t>
      </w:r>
      <w:r w:rsidR="008B7528">
        <w:rPr>
          <w:rFonts w:ascii="Times New Roman" w:eastAsia="Times New Roman" w:hAnsi="Times New Roman" w:cs="Times New Roman"/>
          <w:sz w:val="20"/>
          <w:szCs w:val="20"/>
          <w:vertAlign w:val="subscript"/>
        </w:rPr>
        <w:t>f</w:t>
      </w:r>
      <w:r w:rsidR="008B7528">
        <w:rPr>
          <w:rFonts w:ascii="Times New Roman" w:eastAsia="Times New Roman" w:hAnsi="Times New Roman" w:cs="Times New Roman"/>
          <w:sz w:val="20"/>
          <w:szCs w:val="20"/>
        </w:rPr>
        <w:t xml:space="preserve"> metric from the CT data for </w:t>
      </w:r>
      <w:r w:rsidR="00591C95">
        <w:rPr>
          <w:rFonts w:ascii="Times New Roman" w:eastAsia="Times New Roman" w:hAnsi="Times New Roman" w:cs="Times New Roman"/>
          <w:sz w:val="20"/>
          <w:szCs w:val="20"/>
        </w:rPr>
        <w:t xml:space="preserve">three different </w:t>
      </w:r>
      <w:r w:rsidR="008B7528">
        <w:rPr>
          <w:rFonts w:ascii="Times New Roman" w:eastAsia="Times New Roman" w:hAnsi="Times New Roman" w:cs="Times New Roman"/>
          <w:sz w:val="20"/>
          <w:szCs w:val="20"/>
        </w:rPr>
        <w:t>layer</w:t>
      </w:r>
      <w:r w:rsidR="00591C95">
        <w:rPr>
          <w:rFonts w:ascii="Times New Roman" w:eastAsia="Times New Roman" w:hAnsi="Times New Roman" w:cs="Times New Roman"/>
          <w:sz w:val="20"/>
          <w:szCs w:val="20"/>
        </w:rPr>
        <w:t>s</w:t>
      </w:r>
      <w:r w:rsidR="008B7528">
        <w:rPr>
          <w:rFonts w:ascii="Times New Roman" w:eastAsia="Times New Roman" w:hAnsi="Times New Roman" w:cs="Times New Roman"/>
          <w:sz w:val="20"/>
          <w:szCs w:val="20"/>
        </w:rPr>
        <w:t xml:space="preserve"> in the cylinder directly above one of the </w:t>
      </w:r>
      <w:r w:rsidR="00591C95">
        <w:rPr>
          <w:rFonts w:ascii="Times New Roman" w:eastAsia="Times New Roman" w:hAnsi="Times New Roman" w:cs="Times New Roman"/>
          <w:sz w:val="20"/>
          <w:szCs w:val="20"/>
        </w:rPr>
        <w:t xml:space="preserve">inserted </w:t>
      </w:r>
      <w:r w:rsidR="008B7528">
        <w:rPr>
          <w:rFonts w:ascii="Times New Roman" w:eastAsia="Times New Roman" w:hAnsi="Times New Roman" w:cs="Times New Roman"/>
          <w:sz w:val="20"/>
          <w:szCs w:val="20"/>
        </w:rPr>
        <w:t xml:space="preserve">defect patches </w:t>
      </w:r>
      <w:r>
        <w:rPr>
          <w:rFonts w:ascii="Times New Roman" w:eastAsia="Times New Roman" w:hAnsi="Times New Roman" w:cs="Times New Roman"/>
          <w:sz w:val="20"/>
          <w:szCs w:val="20"/>
        </w:rPr>
        <w:t xml:space="preserve">and </w:t>
      </w:r>
      <w:r w:rsidR="00591C95">
        <w:rPr>
          <w:rFonts w:ascii="Times New Roman" w:eastAsia="Times New Roman" w:hAnsi="Times New Roman" w:cs="Times New Roman"/>
          <w:sz w:val="20"/>
          <w:szCs w:val="20"/>
        </w:rPr>
        <w:t>bottom</w:t>
      </w:r>
      <w:r>
        <w:rPr>
          <w:rFonts w:ascii="Times New Roman" w:eastAsia="Times New Roman" w:hAnsi="Times New Roman" w:cs="Times New Roman"/>
          <w:sz w:val="20"/>
          <w:szCs w:val="20"/>
        </w:rPr>
        <w:t xml:space="preserve">) </w:t>
      </w:r>
      <w:r w:rsidR="008B7528">
        <w:rPr>
          <w:rFonts w:ascii="Times New Roman" w:eastAsia="Times New Roman" w:hAnsi="Times New Roman" w:cs="Times New Roman"/>
          <w:sz w:val="20"/>
          <w:szCs w:val="20"/>
        </w:rPr>
        <w:t>the predicted modified v</w:t>
      </w:r>
      <w:r w:rsidR="008B7528">
        <w:rPr>
          <w:rFonts w:ascii="Times New Roman" w:eastAsia="Times New Roman" w:hAnsi="Times New Roman" w:cs="Times New Roman"/>
          <w:sz w:val="20"/>
          <w:szCs w:val="20"/>
          <w:vertAlign w:val="subscript"/>
        </w:rPr>
        <w:t>f</w:t>
      </w:r>
      <w:r w:rsidR="008B7528">
        <w:rPr>
          <w:rFonts w:ascii="Times New Roman" w:eastAsia="Times New Roman" w:hAnsi="Times New Roman" w:cs="Times New Roman"/>
          <w:sz w:val="20"/>
          <w:szCs w:val="20"/>
        </w:rPr>
        <w:t xml:space="preserve"> metric from the random forest regression for the same layer</w:t>
      </w:r>
      <w:r w:rsidR="00591C95">
        <w:rPr>
          <w:rFonts w:ascii="Times New Roman" w:eastAsia="Times New Roman" w:hAnsi="Times New Roman" w:cs="Times New Roman"/>
          <w:sz w:val="20"/>
          <w:szCs w:val="20"/>
        </w:rPr>
        <w:t>s</w:t>
      </w:r>
      <w:r w:rsidR="008B7528">
        <w:rPr>
          <w:rFonts w:ascii="Times New Roman" w:eastAsia="Times New Roman" w:hAnsi="Times New Roman" w:cs="Times New Roman"/>
          <w:sz w:val="20"/>
          <w:szCs w:val="20"/>
        </w:rPr>
        <w:t>.</w:t>
      </w:r>
    </w:p>
    <w:p w:rsidR="00153F53" w:rsidRPr="00576A84" w:rsidRDefault="00153F53" w:rsidP="00EA1D34">
      <w:pPr>
        <w:spacing w:after="0" w:line="240" w:lineRule="auto"/>
        <w:jc w:val="both"/>
        <w:rPr>
          <w:rFonts w:ascii="Times New Roman" w:eastAsia="Times New Roman" w:hAnsi="Times New Roman" w:cs="Times New Roman"/>
          <w:sz w:val="20"/>
          <w:szCs w:val="20"/>
        </w:rPr>
      </w:pPr>
    </w:p>
    <w:p w:rsidR="00AC28B6" w:rsidRDefault="00413A1A">
      <w:pPr>
        <w:pBdr>
          <w:top w:val="nil"/>
          <w:left w:val="nil"/>
          <w:bottom w:val="nil"/>
          <w:right w:val="nil"/>
          <w:between w:val="nil"/>
        </w:pBdr>
        <w:spacing w:before="200" w:after="120"/>
        <w:rPr>
          <w:b/>
          <w:color w:val="000000"/>
        </w:rPr>
      </w:pPr>
      <w:r>
        <w:rPr>
          <w:b/>
          <w:color w:val="000000"/>
        </w:rPr>
        <w:t>4. Conclusions</w:t>
      </w:r>
    </w:p>
    <w:p w:rsidR="00AC28B6" w:rsidRDefault="00A74F2E" w:rsidP="00A74F2E">
      <w:pPr>
        <w:pBdr>
          <w:top w:val="nil"/>
          <w:left w:val="nil"/>
          <w:bottom w:val="nil"/>
          <w:right w:val="nil"/>
          <w:between w:val="nil"/>
        </w:pBdr>
        <w:spacing w:after="0"/>
        <w:jc w:val="both"/>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 xml:space="preserve">In this work, we have shown a methodology for processing a </w:t>
      </w:r>
      <w:r w:rsidR="00E032EB">
        <w:rPr>
          <w:rFonts w:ascii="Times New Roman" w:eastAsia="Times New Roman" w:hAnsi="Times New Roman" w:cs="Times New Roman"/>
          <w:sz w:val="20"/>
          <w:szCs w:val="20"/>
        </w:rPr>
        <w:t xml:space="preserve">combining </w:t>
      </w:r>
      <w:r>
        <w:rPr>
          <w:rFonts w:ascii="Times New Roman" w:eastAsia="Times New Roman" w:hAnsi="Times New Roman" w:cs="Times New Roman"/>
          <w:sz w:val="20"/>
          <w:szCs w:val="20"/>
        </w:rPr>
        <w:t xml:space="preserve">in-process monitoring data from AM builds with post-build inspection, like CT. The </w:t>
      </w:r>
      <w:r w:rsidR="00E032EB">
        <w:rPr>
          <w:rFonts w:ascii="Times New Roman" w:eastAsia="Times New Roman" w:hAnsi="Times New Roman" w:cs="Times New Roman"/>
          <w:sz w:val="20"/>
          <w:szCs w:val="20"/>
        </w:rPr>
        <w:t xml:space="preserve">registration and merging </w:t>
      </w:r>
      <w:r>
        <w:rPr>
          <w:rFonts w:ascii="Times New Roman" w:eastAsia="Times New Roman" w:hAnsi="Times New Roman" w:cs="Times New Roman"/>
          <w:sz w:val="20"/>
          <w:szCs w:val="20"/>
        </w:rPr>
        <w:t xml:space="preserve">of the data allows for statistical analyses, like random forest regression, to be performed to learn </w:t>
      </w:r>
      <w:r w:rsidR="00E032EB">
        <w:rPr>
          <w:rFonts w:ascii="Times New Roman" w:eastAsia="Times New Roman" w:hAnsi="Times New Roman" w:cs="Times New Roman"/>
          <w:sz w:val="20"/>
          <w:szCs w:val="20"/>
        </w:rPr>
        <w:t xml:space="preserve">statistical models that relate </w:t>
      </w:r>
      <w:r>
        <w:rPr>
          <w:rFonts w:ascii="Times New Roman" w:eastAsia="Times New Roman" w:hAnsi="Times New Roman" w:cs="Times New Roman"/>
          <w:sz w:val="20"/>
          <w:szCs w:val="20"/>
        </w:rPr>
        <w:t xml:space="preserve">the two data streams.  We have shown that designing features/metrics that can be extracted from the in-process monitoring data </w:t>
      </w:r>
      <w:r w:rsidR="00E032EB">
        <w:rPr>
          <w:rFonts w:ascii="Times New Roman" w:eastAsia="Times New Roman" w:hAnsi="Times New Roman" w:cs="Times New Roman"/>
          <w:sz w:val="20"/>
          <w:szCs w:val="20"/>
        </w:rPr>
        <w:t xml:space="preserve">can </w:t>
      </w:r>
      <w:r>
        <w:rPr>
          <w:rFonts w:ascii="Times New Roman" w:eastAsia="Times New Roman" w:hAnsi="Times New Roman" w:cs="Times New Roman"/>
          <w:sz w:val="20"/>
          <w:szCs w:val="20"/>
        </w:rPr>
        <w:t xml:space="preserve">go beyond the raw signals </w:t>
      </w:r>
      <w:r w:rsidR="00E032EB">
        <w:rPr>
          <w:rFonts w:ascii="Times New Roman" w:eastAsia="Times New Roman" w:hAnsi="Times New Roman" w:cs="Times New Roman"/>
          <w:sz w:val="20"/>
          <w:szCs w:val="20"/>
        </w:rPr>
        <w:t xml:space="preserve">and </w:t>
      </w:r>
      <w:r>
        <w:rPr>
          <w:rFonts w:ascii="Times New Roman" w:eastAsia="Times New Roman" w:hAnsi="Times New Roman" w:cs="Times New Roman"/>
          <w:sz w:val="20"/>
          <w:szCs w:val="20"/>
        </w:rPr>
        <w:t>offer the potential for more predictive power when predicting the local probability of defects. Initial results show that there is improvement in predictability with reduced false positives.  However, there is clearly more work to be done to improve the overall utility of the in-process monitoring data.  Spatial agreement of the predictions show good visual agreement, with somewhat reduced intensity.</w:t>
      </w:r>
    </w:p>
    <w:p w:rsidR="00AC28B6" w:rsidRDefault="00413A1A">
      <w:pPr>
        <w:pBdr>
          <w:top w:val="nil"/>
          <w:left w:val="nil"/>
          <w:bottom w:val="nil"/>
          <w:right w:val="nil"/>
          <w:between w:val="nil"/>
        </w:pBdr>
        <w:spacing w:before="200" w:after="0"/>
        <w:rPr>
          <w:b/>
          <w:color w:val="000000"/>
        </w:rPr>
      </w:pPr>
      <w:r>
        <w:rPr>
          <w:b/>
          <w:color w:val="000000"/>
        </w:rPr>
        <w:t>Author Conflicts of Interest</w:t>
      </w:r>
    </w:p>
    <w:p w:rsidR="00AC28B6" w:rsidRDefault="00413A1A">
      <w:pPr>
        <w:pBdr>
          <w:top w:val="nil"/>
          <w:left w:val="nil"/>
          <w:bottom w:val="nil"/>
          <w:right w:val="nil"/>
          <w:between w:val="nil"/>
        </w:pBdr>
        <w:spacing w:after="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The authors declare that they have no conflicts of interest.</w:t>
      </w:r>
    </w:p>
    <w:p w:rsidR="00AC28B6" w:rsidRDefault="00413A1A">
      <w:pPr>
        <w:pBdr>
          <w:top w:val="nil"/>
          <w:left w:val="nil"/>
          <w:bottom w:val="nil"/>
          <w:right w:val="nil"/>
          <w:between w:val="nil"/>
        </w:pBdr>
        <w:spacing w:before="200" w:after="120"/>
        <w:rPr>
          <w:b/>
          <w:color w:val="000000"/>
        </w:rPr>
      </w:pPr>
      <w:r>
        <w:rPr>
          <w:b/>
          <w:color w:val="000000"/>
        </w:rPr>
        <w:t>References</w:t>
      </w:r>
    </w:p>
    <w:p w:rsidR="00AC28B6" w:rsidRDefault="00BB07ED">
      <w:pPr>
        <w:numPr>
          <w:ilvl w:val="0"/>
          <w:numId w:val="1"/>
        </w:numPr>
        <w:spacing w:before="240" w:after="240" w:line="240" w:lineRule="auto"/>
        <w:rPr>
          <w:rFonts w:ascii="Times New Roman" w:eastAsia="Times New Roman" w:hAnsi="Times New Roman" w:cs="Times New Roman"/>
          <w:sz w:val="20"/>
          <w:szCs w:val="20"/>
        </w:rPr>
      </w:pPr>
      <w:r>
        <w:rPr>
          <w:rFonts w:ascii="Arial" w:hAnsi="Arial" w:cs="Arial"/>
          <w:color w:val="2E414F"/>
          <w:sz w:val="21"/>
          <w:szCs w:val="21"/>
          <w:shd w:val="clear" w:color="auto" w:fill="FFFFFF"/>
        </w:rPr>
        <w:t>Kolb, T. et al. “Qualification of channels produced by laser powder bed fusion: Analysis of cleaning methods, flow rate and melt pool monitoring data.” </w:t>
      </w:r>
      <w:r>
        <w:rPr>
          <w:rStyle w:val="Emphasis"/>
          <w:rFonts w:ascii="Arial" w:hAnsi="Arial" w:cs="Arial"/>
          <w:color w:val="2E414F"/>
          <w:sz w:val="21"/>
          <w:szCs w:val="21"/>
        </w:rPr>
        <w:t>Additive manufacturing</w:t>
      </w:r>
      <w:r>
        <w:rPr>
          <w:rFonts w:ascii="Arial" w:hAnsi="Arial" w:cs="Arial"/>
          <w:color w:val="2E414F"/>
          <w:sz w:val="21"/>
          <w:szCs w:val="21"/>
          <w:shd w:val="clear" w:color="auto" w:fill="FFFFFF"/>
        </w:rPr>
        <w:t> 25 (2019): 430-436.</w:t>
      </w:r>
    </w:p>
    <w:p w:rsidR="00AC28B6" w:rsidRDefault="00BB07ED" w:rsidP="00BB07ED">
      <w:pPr>
        <w:numPr>
          <w:ilvl w:val="0"/>
          <w:numId w:val="1"/>
        </w:numPr>
        <w:spacing w:before="240" w:after="240" w:line="240" w:lineRule="auto"/>
        <w:rPr>
          <w:rFonts w:ascii="Times New Roman" w:eastAsia="Times New Roman" w:hAnsi="Times New Roman" w:cs="Times New Roman"/>
          <w:sz w:val="20"/>
          <w:szCs w:val="20"/>
        </w:rPr>
      </w:pPr>
      <w:r w:rsidRPr="00BB07ED">
        <w:rPr>
          <w:rFonts w:ascii="Times New Roman" w:eastAsia="Times New Roman" w:hAnsi="Times New Roman" w:cs="Times New Roman"/>
          <w:sz w:val="20"/>
          <w:szCs w:val="20"/>
        </w:rPr>
        <w:t>Bisht, M</w:t>
      </w:r>
      <w:r>
        <w:rPr>
          <w:rFonts w:ascii="Times New Roman" w:eastAsia="Times New Roman" w:hAnsi="Times New Roman" w:cs="Times New Roman"/>
          <w:sz w:val="20"/>
          <w:szCs w:val="20"/>
        </w:rPr>
        <w:t>. et al.</w:t>
      </w:r>
      <w:r w:rsidRPr="00BB07ED">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w:t>
      </w:r>
      <w:r w:rsidRPr="00BB07ED">
        <w:rPr>
          <w:rFonts w:ascii="Times New Roman" w:eastAsia="Times New Roman" w:hAnsi="Times New Roman" w:cs="Times New Roman"/>
          <w:sz w:val="20"/>
          <w:szCs w:val="20"/>
        </w:rPr>
        <w:t>Correlation of selective laser melting-melt pool events with the tensile properties of Ti-6Al-4V ELI processed by laser powder bed fusion.</w:t>
      </w:r>
      <w:r>
        <w:rPr>
          <w:rFonts w:ascii="Times New Roman" w:eastAsia="Times New Roman" w:hAnsi="Times New Roman" w:cs="Times New Roman"/>
          <w:sz w:val="20"/>
          <w:szCs w:val="20"/>
        </w:rPr>
        <w:t>”</w:t>
      </w:r>
      <w:r w:rsidRPr="00BB07ED">
        <w:rPr>
          <w:rFonts w:ascii="Times New Roman" w:eastAsia="Times New Roman" w:hAnsi="Times New Roman" w:cs="Times New Roman"/>
          <w:sz w:val="20"/>
          <w:szCs w:val="20"/>
        </w:rPr>
        <w:t xml:space="preserve"> </w:t>
      </w:r>
      <w:r w:rsidRPr="00CD0FF9">
        <w:rPr>
          <w:rFonts w:ascii="Times New Roman" w:eastAsia="Times New Roman" w:hAnsi="Times New Roman" w:cs="Times New Roman"/>
          <w:i/>
          <w:sz w:val="20"/>
          <w:szCs w:val="20"/>
        </w:rPr>
        <w:t>Additive Manufacturing</w:t>
      </w:r>
      <w:r>
        <w:rPr>
          <w:rFonts w:ascii="Times New Roman" w:eastAsia="Times New Roman" w:hAnsi="Times New Roman" w:cs="Times New Roman"/>
          <w:sz w:val="20"/>
          <w:szCs w:val="20"/>
        </w:rPr>
        <w:t xml:space="preserve"> 22 (2018):</w:t>
      </w:r>
      <w:r w:rsidRPr="00BB07ED">
        <w:rPr>
          <w:rFonts w:ascii="Times New Roman" w:eastAsia="Times New Roman" w:hAnsi="Times New Roman" w:cs="Times New Roman"/>
          <w:sz w:val="20"/>
          <w:szCs w:val="20"/>
        </w:rPr>
        <w:t xml:space="preserve"> 302-306. </w:t>
      </w:r>
    </w:p>
    <w:p w:rsidR="00AC28B6" w:rsidRDefault="00BB07ED" w:rsidP="00BB07ED">
      <w:pPr>
        <w:numPr>
          <w:ilvl w:val="0"/>
          <w:numId w:val="1"/>
        </w:numPr>
        <w:spacing w:before="240" w:after="240" w:line="240" w:lineRule="auto"/>
        <w:rPr>
          <w:rFonts w:ascii="Times New Roman" w:eastAsia="Times New Roman" w:hAnsi="Times New Roman" w:cs="Times New Roman"/>
          <w:sz w:val="20"/>
          <w:szCs w:val="20"/>
        </w:rPr>
      </w:pPr>
      <w:r w:rsidRPr="00BB07ED">
        <w:rPr>
          <w:rFonts w:ascii="Times New Roman" w:eastAsia="Times New Roman" w:hAnsi="Times New Roman" w:cs="Times New Roman"/>
          <w:sz w:val="20"/>
          <w:szCs w:val="20"/>
        </w:rPr>
        <w:t>Luke Scime and Jack Beuth "Using machine learning to identify in-situ melt pool signatures indicative of flaw formation in a laser powder bed fusion additive manufacturing process" Additive Manufacturing 25 (2019): 151-165</w:t>
      </w:r>
    </w:p>
    <w:p w:rsidR="00AC28B6" w:rsidRDefault="00BB07ED">
      <w:pPr>
        <w:numPr>
          <w:ilvl w:val="0"/>
          <w:numId w:val="1"/>
        </w:numPr>
        <w:spacing w:before="240" w:after="240" w:line="240" w:lineRule="auto"/>
        <w:rPr>
          <w:rFonts w:ascii="Times New Roman" w:eastAsia="Times New Roman" w:hAnsi="Times New Roman" w:cs="Times New Roman"/>
          <w:sz w:val="20"/>
          <w:szCs w:val="20"/>
        </w:rPr>
      </w:pPr>
      <w:r>
        <w:rPr>
          <w:rFonts w:ascii="Segoe UI" w:hAnsi="Segoe UI" w:cs="Segoe UI"/>
          <w:color w:val="333333"/>
          <w:shd w:val="clear" w:color="auto" w:fill="FCFCFC"/>
        </w:rPr>
        <w:t>Seifi, M., Salem, A., Beuth, J. </w:t>
      </w:r>
      <w:r>
        <w:rPr>
          <w:rFonts w:ascii="Segoe UI" w:hAnsi="Segoe UI" w:cs="Segoe UI"/>
          <w:i/>
          <w:iCs/>
          <w:color w:val="333333"/>
          <w:shd w:val="clear" w:color="auto" w:fill="FCFCFC"/>
        </w:rPr>
        <w:t>et al.</w:t>
      </w:r>
      <w:r>
        <w:rPr>
          <w:rFonts w:ascii="Segoe UI" w:hAnsi="Segoe UI" w:cs="Segoe UI"/>
          <w:color w:val="333333"/>
          <w:shd w:val="clear" w:color="auto" w:fill="FCFCFC"/>
        </w:rPr>
        <w:t> “Overview of Materials Qualification Needs for Metal Additive Manufacturing” </w:t>
      </w:r>
      <w:r>
        <w:rPr>
          <w:rFonts w:ascii="Segoe UI" w:hAnsi="Segoe UI" w:cs="Segoe UI"/>
          <w:i/>
          <w:iCs/>
          <w:color w:val="333333"/>
          <w:shd w:val="clear" w:color="auto" w:fill="FCFCFC"/>
        </w:rPr>
        <w:t>JOM</w:t>
      </w:r>
      <w:r>
        <w:rPr>
          <w:rFonts w:ascii="Segoe UI" w:hAnsi="Segoe UI" w:cs="Segoe UI"/>
          <w:color w:val="333333"/>
          <w:shd w:val="clear" w:color="auto" w:fill="FCFCFC"/>
        </w:rPr>
        <w:t> </w:t>
      </w:r>
      <w:r>
        <w:rPr>
          <w:rFonts w:ascii="Segoe UI" w:hAnsi="Segoe UI" w:cs="Segoe UI"/>
          <w:b/>
          <w:bCs/>
          <w:color w:val="333333"/>
          <w:shd w:val="clear" w:color="auto" w:fill="FCFCFC"/>
        </w:rPr>
        <w:t xml:space="preserve">68 </w:t>
      </w:r>
      <w:r>
        <w:rPr>
          <w:rFonts w:ascii="Segoe UI" w:hAnsi="Segoe UI" w:cs="Segoe UI"/>
          <w:color w:val="333333"/>
          <w:shd w:val="clear" w:color="auto" w:fill="FCFCFC"/>
        </w:rPr>
        <w:t>(2016):</w:t>
      </w:r>
      <w:r>
        <w:rPr>
          <w:rFonts w:ascii="Segoe UI" w:hAnsi="Segoe UI" w:cs="Segoe UI"/>
          <w:b/>
          <w:bCs/>
          <w:color w:val="333333"/>
          <w:shd w:val="clear" w:color="auto" w:fill="FCFCFC"/>
        </w:rPr>
        <w:t> </w:t>
      </w:r>
      <w:r>
        <w:rPr>
          <w:rFonts w:ascii="Segoe UI" w:hAnsi="Segoe UI" w:cs="Segoe UI"/>
          <w:color w:val="333333"/>
          <w:shd w:val="clear" w:color="auto" w:fill="FCFCFC"/>
        </w:rPr>
        <w:t xml:space="preserve">747–764 </w:t>
      </w:r>
    </w:p>
    <w:p w:rsidR="00AC28B6" w:rsidRDefault="00BB07ED" w:rsidP="00BB07ED">
      <w:pPr>
        <w:numPr>
          <w:ilvl w:val="0"/>
          <w:numId w:val="1"/>
        </w:numPr>
        <w:spacing w:before="240" w:after="240" w:line="240" w:lineRule="auto"/>
        <w:rPr>
          <w:rFonts w:ascii="Times New Roman" w:eastAsia="Times New Roman" w:hAnsi="Times New Roman" w:cs="Times New Roman"/>
          <w:sz w:val="20"/>
          <w:szCs w:val="20"/>
        </w:rPr>
      </w:pPr>
      <w:r w:rsidRPr="00BB07ED">
        <w:rPr>
          <w:rFonts w:ascii="Times New Roman" w:eastAsia="Times New Roman" w:hAnsi="Times New Roman" w:cs="Times New Roman"/>
          <w:sz w:val="20"/>
          <w:szCs w:val="20"/>
        </w:rPr>
        <w:lastRenderedPageBreak/>
        <w:t>Bartlett JL et al. "In situ defect detection in selective laser melting via full-field infrared thermography" Additive Manufacturing 24 (2018): 595-605</w:t>
      </w:r>
    </w:p>
    <w:p w:rsidR="00AC28B6" w:rsidRDefault="00D3473D" w:rsidP="00D3473D">
      <w:pPr>
        <w:numPr>
          <w:ilvl w:val="0"/>
          <w:numId w:val="1"/>
        </w:numPr>
        <w:spacing w:before="240" w:after="240" w:line="240" w:lineRule="auto"/>
        <w:rPr>
          <w:rFonts w:ascii="Times New Roman" w:eastAsia="Times New Roman" w:hAnsi="Times New Roman" w:cs="Times New Roman"/>
          <w:sz w:val="20"/>
          <w:szCs w:val="20"/>
        </w:rPr>
      </w:pPr>
      <w:r w:rsidRPr="00D3473D">
        <w:rPr>
          <w:rFonts w:ascii="Times New Roman" w:eastAsia="Times New Roman" w:hAnsi="Times New Roman" w:cs="Times New Roman"/>
          <w:sz w:val="20"/>
          <w:szCs w:val="20"/>
        </w:rPr>
        <w:t>Darvish K. et al. "Reducing lack of fusion during selective laser melting of CoCrMo alloy: Effect of laser power on geometrical features of tracks" Materials &amp; Design 112 (2016): 357-366</w:t>
      </w:r>
    </w:p>
    <w:p w:rsidR="00AC28B6" w:rsidRDefault="00D3473D">
      <w:pPr>
        <w:numPr>
          <w:ilvl w:val="0"/>
          <w:numId w:val="1"/>
        </w:numPr>
        <w:spacing w:before="240" w:after="240" w:line="240" w:lineRule="auto"/>
        <w:rPr>
          <w:rFonts w:ascii="Times New Roman" w:eastAsia="Times New Roman" w:hAnsi="Times New Roman" w:cs="Times New Roman"/>
          <w:sz w:val="20"/>
          <w:szCs w:val="20"/>
        </w:rPr>
      </w:pPr>
      <w:r>
        <w:rPr>
          <w:rFonts w:ascii="Segoe UI" w:hAnsi="Segoe UI" w:cs="Segoe UI"/>
          <w:color w:val="222222"/>
          <w:shd w:val="clear" w:color="auto" w:fill="FFFFFF"/>
        </w:rPr>
        <w:t>Mukherjee, T., Zuback, J., De, A. </w:t>
      </w:r>
      <w:r>
        <w:rPr>
          <w:rFonts w:ascii="Segoe UI" w:hAnsi="Segoe UI" w:cs="Segoe UI"/>
          <w:i/>
          <w:iCs/>
          <w:color w:val="222222"/>
          <w:shd w:val="clear" w:color="auto" w:fill="FFFFFF"/>
        </w:rPr>
        <w:t>et al.</w:t>
      </w:r>
      <w:r>
        <w:rPr>
          <w:rFonts w:ascii="Segoe UI" w:hAnsi="Segoe UI" w:cs="Segoe UI"/>
          <w:color w:val="222222"/>
          <w:shd w:val="clear" w:color="auto" w:fill="FFFFFF"/>
        </w:rPr>
        <w:t> Printability of alloys for additive manufacturing. </w:t>
      </w:r>
      <w:r>
        <w:rPr>
          <w:rFonts w:ascii="Segoe UI" w:hAnsi="Segoe UI" w:cs="Segoe UI"/>
          <w:i/>
          <w:iCs/>
          <w:color w:val="222222"/>
          <w:shd w:val="clear" w:color="auto" w:fill="FFFFFF"/>
        </w:rPr>
        <w:t>Sci Rep</w:t>
      </w:r>
      <w:r>
        <w:rPr>
          <w:rFonts w:ascii="Segoe UI" w:hAnsi="Segoe UI" w:cs="Segoe UI"/>
          <w:color w:val="222222"/>
          <w:shd w:val="clear" w:color="auto" w:fill="FFFFFF"/>
        </w:rPr>
        <w:t> </w:t>
      </w:r>
      <w:r>
        <w:rPr>
          <w:rFonts w:ascii="Segoe UI" w:hAnsi="Segoe UI" w:cs="Segoe UI"/>
          <w:b/>
          <w:bCs/>
          <w:color w:val="222222"/>
          <w:shd w:val="clear" w:color="auto" w:fill="FFFFFF"/>
        </w:rPr>
        <w:t>6, </w:t>
      </w:r>
      <w:r>
        <w:rPr>
          <w:rFonts w:ascii="Segoe UI" w:hAnsi="Segoe UI" w:cs="Segoe UI"/>
          <w:color w:val="222222"/>
          <w:shd w:val="clear" w:color="auto" w:fill="FFFFFF"/>
        </w:rPr>
        <w:t>19717 (2016).</w:t>
      </w:r>
    </w:p>
    <w:p w:rsidR="00AC28B6" w:rsidRDefault="00D3473D" w:rsidP="00D3473D">
      <w:pPr>
        <w:numPr>
          <w:ilvl w:val="0"/>
          <w:numId w:val="1"/>
        </w:numPr>
        <w:spacing w:before="240" w:after="240" w:line="240" w:lineRule="auto"/>
        <w:rPr>
          <w:rFonts w:ascii="Times New Roman" w:eastAsia="Times New Roman" w:hAnsi="Times New Roman" w:cs="Times New Roman"/>
          <w:sz w:val="20"/>
          <w:szCs w:val="20"/>
        </w:rPr>
      </w:pPr>
      <w:r w:rsidRPr="00D3473D">
        <w:rPr>
          <w:rFonts w:ascii="Times New Roman" w:eastAsia="Times New Roman" w:hAnsi="Times New Roman" w:cs="Times New Roman"/>
          <w:sz w:val="20"/>
          <w:szCs w:val="20"/>
        </w:rPr>
        <w:t>King WE et al. "Observation of keyhole-mode laser melting in laser powder-bed fusion additive manufacturing" Journal of Materials Processing Technology" 214:12 (2014): 2915-2925</w:t>
      </w:r>
    </w:p>
    <w:p w:rsidR="00AC28B6" w:rsidRDefault="00D3473D" w:rsidP="00D3473D">
      <w:pPr>
        <w:numPr>
          <w:ilvl w:val="0"/>
          <w:numId w:val="1"/>
        </w:numPr>
        <w:spacing w:before="240" w:after="240" w:line="240" w:lineRule="auto"/>
        <w:rPr>
          <w:rFonts w:ascii="Times New Roman" w:eastAsia="Times New Roman" w:hAnsi="Times New Roman" w:cs="Times New Roman"/>
          <w:sz w:val="20"/>
          <w:szCs w:val="20"/>
        </w:rPr>
      </w:pPr>
      <w:r w:rsidRPr="00D3473D">
        <w:rPr>
          <w:rFonts w:ascii="Times New Roman" w:eastAsia="Times New Roman" w:hAnsi="Times New Roman" w:cs="Times New Roman"/>
          <w:sz w:val="20"/>
          <w:szCs w:val="20"/>
        </w:rPr>
        <w:t>Gong H et al. "Analysis of defect generation in Ti–6Al–4V parts made using powder bed fusion additive manufacturing processes" Additive Manufacturing 1–4 (2014) 87-98</w:t>
      </w:r>
    </w:p>
    <w:p w:rsidR="00AC28B6" w:rsidRDefault="00D3473D">
      <w:pPr>
        <w:numPr>
          <w:ilvl w:val="0"/>
          <w:numId w:val="1"/>
        </w:numPr>
        <w:spacing w:before="240" w:after="240" w:line="240" w:lineRule="auto"/>
        <w:rPr>
          <w:rFonts w:ascii="Times New Roman" w:eastAsia="Times New Roman" w:hAnsi="Times New Roman" w:cs="Times New Roman"/>
          <w:sz w:val="20"/>
          <w:szCs w:val="20"/>
        </w:rPr>
      </w:pPr>
      <w:bookmarkStart w:id="2" w:name="_rswwidxepfmk" w:colFirst="0" w:colLast="0"/>
      <w:bookmarkEnd w:id="2"/>
      <w:r>
        <w:rPr>
          <w:rFonts w:ascii="Segoe UI" w:hAnsi="Segoe UI" w:cs="Segoe UI"/>
          <w:color w:val="333333"/>
          <w:shd w:val="clear" w:color="auto" w:fill="FCFCFC"/>
        </w:rPr>
        <w:t>Zhang, B., Li, Y. &amp; Bai, Q. Defect Formation Mechanisms in Selective Laser Melting: A Review. </w:t>
      </w:r>
      <w:r>
        <w:rPr>
          <w:rFonts w:ascii="Segoe UI" w:hAnsi="Segoe UI" w:cs="Segoe UI"/>
          <w:i/>
          <w:iCs/>
          <w:color w:val="333333"/>
          <w:shd w:val="clear" w:color="auto" w:fill="FCFCFC"/>
        </w:rPr>
        <w:t>Chin. J. Mech. Eng.</w:t>
      </w:r>
      <w:r>
        <w:rPr>
          <w:rFonts w:ascii="Segoe UI" w:hAnsi="Segoe UI" w:cs="Segoe UI"/>
          <w:color w:val="333333"/>
          <w:shd w:val="clear" w:color="auto" w:fill="FCFCFC"/>
        </w:rPr>
        <w:t> </w:t>
      </w:r>
      <w:r>
        <w:rPr>
          <w:rFonts w:ascii="Segoe UI" w:hAnsi="Segoe UI" w:cs="Segoe UI"/>
          <w:b/>
          <w:bCs/>
          <w:color w:val="333333"/>
          <w:shd w:val="clear" w:color="auto" w:fill="FCFCFC"/>
        </w:rPr>
        <w:t>30, </w:t>
      </w:r>
      <w:r>
        <w:rPr>
          <w:rFonts w:ascii="Segoe UI" w:hAnsi="Segoe UI" w:cs="Segoe UI"/>
          <w:color w:val="333333"/>
          <w:shd w:val="clear" w:color="auto" w:fill="FCFCFC"/>
        </w:rPr>
        <w:t>515–527 (2017)</w:t>
      </w:r>
    </w:p>
    <w:p w:rsidR="00AC28B6" w:rsidRDefault="00D3473D" w:rsidP="00D3473D">
      <w:pPr>
        <w:numPr>
          <w:ilvl w:val="0"/>
          <w:numId w:val="1"/>
        </w:numPr>
        <w:spacing w:before="240" w:after="240" w:line="240" w:lineRule="auto"/>
        <w:rPr>
          <w:rFonts w:ascii="Times New Roman" w:eastAsia="Times New Roman" w:hAnsi="Times New Roman" w:cs="Times New Roman"/>
          <w:sz w:val="20"/>
          <w:szCs w:val="20"/>
        </w:rPr>
      </w:pPr>
      <w:r w:rsidRPr="00D3473D">
        <w:rPr>
          <w:rFonts w:ascii="Times New Roman" w:eastAsia="Times New Roman" w:hAnsi="Times New Roman" w:cs="Times New Roman"/>
          <w:sz w:val="20"/>
          <w:szCs w:val="20"/>
        </w:rPr>
        <w:t>Everton S. et al. "Review of in-situ process monitoring and in-situ metrology for metal additive manufacturing" Materials &amp; Design 95 (2016): 431-445</w:t>
      </w:r>
    </w:p>
    <w:p w:rsidR="00AC28B6" w:rsidRDefault="00D3473D" w:rsidP="00D3473D">
      <w:pPr>
        <w:numPr>
          <w:ilvl w:val="0"/>
          <w:numId w:val="1"/>
        </w:numPr>
        <w:spacing w:before="240" w:after="240" w:line="240" w:lineRule="auto"/>
        <w:rPr>
          <w:rFonts w:ascii="Times New Roman" w:eastAsia="Times New Roman" w:hAnsi="Times New Roman" w:cs="Times New Roman"/>
          <w:sz w:val="20"/>
          <w:szCs w:val="20"/>
        </w:rPr>
      </w:pPr>
      <w:r w:rsidRPr="00D3473D">
        <w:rPr>
          <w:rFonts w:ascii="Times New Roman" w:eastAsia="Times New Roman" w:hAnsi="Times New Roman" w:cs="Times New Roman"/>
          <w:sz w:val="20"/>
          <w:szCs w:val="20"/>
        </w:rPr>
        <w:t>Basak, A., &amp; Das, S. (2016). Epitaxy and Microstructure Evolution in Metal Additive Manufacturing. Annual Review of Materials Research, 46, 125-149.</w:t>
      </w:r>
    </w:p>
    <w:p w:rsidR="00AC28B6" w:rsidRDefault="00413A1A">
      <w:pPr>
        <w:numPr>
          <w:ilvl w:val="0"/>
          <w:numId w:val="1"/>
        </w:numPr>
        <w:spacing w:before="240"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Energetics Incorporated, Measurement Science Roadmap for Metal-Based Additive Manufacturing, National Institute of Standards and Technology, Maryland, US.,2013</w:t>
      </w:r>
    </w:p>
    <w:p w:rsidR="00AC28B6" w:rsidRDefault="00413A1A">
      <w:pPr>
        <w:numPr>
          <w:ilvl w:val="0"/>
          <w:numId w:val="1"/>
        </w:numPr>
        <w:spacing w:before="240"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 Berumen, F. Bechmann, S. Lindner, J.-P. Kruth, T. Craeghs, Quality control of laser-and powder bed-based Additive Manufacturing (AM) technologies, Phys. Procedia5 (Part B) (2010) 617–622.</w:t>
      </w:r>
    </w:p>
    <w:p w:rsidR="00AC28B6" w:rsidRDefault="00413A1A">
      <w:pPr>
        <w:numPr>
          <w:ilvl w:val="0"/>
          <w:numId w:val="1"/>
        </w:numPr>
        <w:spacing w:before="240"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 Clijsters, T. Craeghs, S. Buls, K. Kempen, J.P. Kruth, In situ quality control of the selective laser melting process using a high-speed, real-time melt pool monitoring system, Int. J. Adv. Manuf. Technol. 75 (5) (2014) 1089–1101 (English).</w:t>
      </w:r>
    </w:p>
    <w:p w:rsidR="00AC28B6" w:rsidRDefault="00413A1A">
      <w:pPr>
        <w:numPr>
          <w:ilvl w:val="0"/>
          <w:numId w:val="1"/>
        </w:numPr>
        <w:spacing w:before="240"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 Furumoto, M.R. Alkahari, T. Ueda, M.S.A. Aziz, A. Hosokawa, Monitoring of laser consolidation process of metal powder with high speed video camera, Phys.Procedia 39 (1) (2012) 760–766.</w:t>
      </w:r>
    </w:p>
    <w:p w:rsidR="000B7A4A" w:rsidRPr="00CD0FF9" w:rsidRDefault="000B7A4A">
      <w:pPr>
        <w:numPr>
          <w:ilvl w:val="0"/>
          <w:numId w:val="1"/>
        </w:numPr>
        <w:spacing w:before="240" w:after="240" w:line="240" w:lineRule="auto"/>
        <w:rPr>
          <w:rFonts w:ascii="Times New Roman" w:eastAsia="Times New Roman" w:hAnsi="Times New Roman" w:cs="Times New Roman"/>
          <w:sz w:val="20"/>
          <w:szCs w:val="20"/>
        </w:rPr>
      </w:pPr>
      <w:r>
        <w:rPr>
          <w:rFonts w:ascii="Segoe UI" w:hAnsi="Segoe UI" w:cs="Segoe UI"/>
          <w:color w:val="333333"/>
          <w:sz w:val="21"/>
          <w:szCs w:val="21"/>
        </w:rPr>
        <w:t>M A Groeber </w:t>
      </w:r>
      <w:r>
        <w:rPr>
          <w:rStyle w:val="Emphasis"/>
          <w:rFonts w:ascii="Segoe UI" w:hAnsi="Segoe UI" w:cs="Segoe UI"/>
          <w:color w:val="333333"/>
          <w:sz w:val="21"/>
          <w:szCs w:val="21"/>
          <w:bdr w:val="none" w:sz="0" w:space="0" w:color="auto" w:frame="1"/>
        </w:rPr>
        <w:t>et al</w:t>
      </w:r>
      <w:r>
        <w:rPr>
          <w:rFonts w:ascii="Segoe UI" w:hAnsi="Segoe UI" w:cs="Segoe UI"/>
          <w:color w:val="333333"/>
          <w:sz w:val="21"/>
          <w:szCs w:val="21"/>
        </w:rPr>
        <w:t> 2017 </w:t>
      </w:r>
      <w:r>
        <w:rPr>
          <w:rStyle w:val="Emphasis"/>
          <w:rFonts w:ascii="Segoe UI" w:hAnsi="Segoe UI" w:cs="Segoe UI"/>
          <w:color w:val="333333"/>
          <w:sz w:val="21"/>
          <w:szCs w:val="21"/>
          <w:bdr w:val="none" w:sz="0" w:space="0" w:color="auto" w:frame="1"/>
        </w:rPr>
        <w:t>IOP Conf. Ser.: Mater. Sci. Eng.</w:t>
      </w:r>
      <w:r>
        <w:rPr>
          <w:rFonts w:ascii="Segoe UI" w:hAnsi="Segoe UI" w:cs="Segoe UI"/>
          <w:color w:val="333333"/>
          <w:sz w:val="21"/>
          <w:szCs w:val="21"/>
        </w:rPr>
        <w:t> </w:t>
      </w:r>
      <w:r>
        <w:rPr>
          <w:rFonts w:ascii="Segoe UI" w:hAnsi="Segoe UI" w:cs="Segoe UI"/>
          <w:b/>
          <w:bCs/>
          <w:color w:val="333333"/>
          <w:sz w:val="21"/>
          <w:szCs w:val="21"/>
          <w:bdr w:val="none" w:sz="0" w:space="0" w:color="auto" w:frame="1"/>
        </w:rPr>
        <w:t>219</w:t>
      </w:r>
      <w:r>
        <w:rPr>
          <w:rFonts w:ascii="Segoe UI" w:hAnsi="Segoe UI" w:cs="Segoe UI"/>
          <w:color w:val="333333"/>
          <w:sz w:val="21"/>
          <w:szCs w:val="21"/>
        </w:rPr>
        <w:t> 012002</w:t>
      </w:r>
    </w:p>
    <w:p w:rsidR="00AC28B6" w:rsidRDefault="000B7A4A">
      <w:pPr>
        <w:numPr>
          <w:ilvl w:val="0"/>
          <w:numId w:val="1"/>
        </w:numPr>
        <w:spacing w:before="240" w:after="240" w:line="240" w:lineRule="auto"/>
        <w:rPr>
          <w:rFonts w:ascii="Times New Roman" w:eastAsia="Times New Roman" w:hAnsi="Times New Roman" w:cs="Times New Roman"/>
          <w:sz w:val="20"/>
          <w:szCs w:val="20"/>
        </w:rPr>
      </w:pPr>
      <w:r>
        <w:rPr>
          <w:rFonts w:ascii="Segoe UI" w:hAnsi="Segoe UI" w:cs="Segoe UI"/>
          <w:color w:val="212121"/>
          <w:shd w:val="clear" w:color="auto" w:fill="FFFFFF"/>
        </w:rPr>
        <w:t>Fisher BA et al. “Toward determining melt pool quality metrics via coaxial monitoring in laser powder bed fusion.” Manuf Lett. 15 (2018):119-121</w:t>
      </w:r>
    </w:p>
    <w:p w:rsidR="00AC28B6" w:rsidRDefault="00413A1A">
      <w:pPr>
        <w:numPr>
          <w:ilvl w:val="0"/>
          <w:numId w:val="1"/>
        </w:numPr>
        <w:spacing w:before="240"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J.-P. Kruth, P. Mercelis, J. Van Vaerenbergh, T. Craeghs, Feedback control of selective laser melting, Proceedings of the 3rd International Conference on Advanced Research in Virtual and Rapid Prototyping, (2007), pp. 521–527.</w:t>
      </w:r>
    </w:p>
    <w:p w:rsidR="00AC28B6" w:rsidRDefault="00413A1A">
      <w:pPr>
        <w:numPr>
          <w:ilvl w:val="0"/>
          <w:numId w:val="1"/>
        </w:numPr>
        <w:spacing w:before="240"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N.N. Neue Möglichkeiten mit 3D (New Possibilities in 3D), </w:t>
      </w:r>
      <w:r>
        <w:rPr>
          <w:rFonts w:ascii="Times New Roman" w:eastAsia="Times New Roman" w:hAnsi="Times New Roman" w:cs="Times New Roman"/>
          <w:i/>
          <w:sz w:val="20"/>
          <w:szCs w:val="20"/>
        </w:rPr>
        <w:t xml:space="preserve">Werkzeug &amp; Formenbau, </w:t>
      </w:r>
      <w:r>
        <w:rPr>
          <w:rFonts w:ascii="Times New Roman" w:eastAsia="Times New Roman" w:hAnsi="Times New Roman" w:cs="Times New Roman"/>
          <w:sz w:val="20"/>
          <w:szCs w:val="20"/>
        </w:rPr>
        <w:t>9 (4) (2015), 64-66.</w:t>
      </w:r>
    </w:p>
    <w:p w:rsidR="00AC28B6" w:rsidRPr="00FF6A75" w:rsidRDefault="00413A1A">
      <w:pPr>
        <w:numPr>
          <w:ilvl w:val="0"/>
          <w:numId w:val="1"/>
        </w:numPr>
        <w:spacing w:before="240" w:after="240" w:line="240" w:lineRule="auto"/>
        <w:rPr>
          <w:rFonts w:ascii="Times New Roman" w:eastAsia="Times New Roman" w:hAnsi="Times New Roman" w:cs="Times New Roman"/>
          <w:sz w:val="20"/>
          <w:szCs w:val="20"/>
        </w:rPr>
      </w:pPr>
      <w:bookmarkStart w:id="3" w:name="_30j0zll" w:colFirst="0" w:colLast="0"/>
      <w:bookmarkEnd w:id="3"/>
      <w:r>
        <w:rPr>
          <w:rFonts w:ascii="Times New Roman" w:eastAsia="Times New Roman" w:hAnsi="Times New Roman" w:cs="Times New Roman"/>
          <w:sz w:val="20"/>
          <w:szCs w:val="20"/>
        </w:rPr>
        <w:t xml:space="preserve">N.N. Positionsbezogene Echtzeitüberwachung und dreidimensionale visualisierung (Position-correlated </w:t>
      </w:r>
      <w:r w:rsidRPr="00FF6A75">
        <w:rPr>
          <w:rFonts w:ascii="Times New Roman" w:eastAsia="Times New Roman" w:hAnsi="Times New Roman" w:cs="Times New Roman"/>
          <w:sz w:val="20"/>
          <w:szCs w:val="20"/>
        </w:rPr>
        <w:t xml:space="preserve">real-time monitoring and three-dimensional visualization), </w:t>
      </w:r>
      <w:r w:rsidRPr="00FF6A75">
        <w:rPr>
          <w:rFonts w:ascii="Times New Roman" w:eastAsia="Times New Roman" w:hAnsi="Times New Roman" w:cs="Times New Roman"/>
          <w:i/>
          <w:sz w:val="20"/>
          <w:szCs w:val="20"/>
        </w:rPr>
        <w:t>WOMag,</w:t>
      </w:r>
      <w:r w:rsidRPr="00FF6A75">
        <w:rPr>
          <w:rFonts w:ascii="Times New Roman" w:eastAsia="Times New Roman" w:hAnsi="Times New Roman" w:cs="Times New Roman"/>
          <w:sz w:val="20"/>
          <w:szCs w:val="20"/>
        </w:rPr>
        <w:t xml:space="preserve"> (9) (2015), 1-3.</w:t>
      </w:r>
    </w:p>
    <w:p w:rsidR="003C1A73" w:rsidRPr="00FF6A75" w:rsidRDefault="003C1A73" w:rsidP="003C1A73">
      <w:pPr>
        <w:pStyle w:val="ListParagraph"/>
        <w:numPr>
          <w:ilvl w:val="0"/>
          <w:numId w:val="1"/>
        </w:numPr>
        <w:pBdr>
          <w:top w:val="nil"/>
          <w:left w:val="nil"/>
          <w:bottom w:val="nil"/>
          <w:right w:val="nil"/>
          <w:between w:val="nil"/>
        </w:pBdr>
        <w:spacing w:before="200" w:after="120"/>
        <w:rPr>
          <w:rFonts w:ascii="Times New Roman" w:eastAsia="Times New Roman" w:hAnsi="Times New Roman" w:cs="Times New Roman"/>
          <w:sz w:val="20"/>
          <w:szCs w:val="20"/>
        </w:rPr>
      </w:pPr>
      <w:r w:rsidRPr="00FF6A75">
        <w:rPr>
          <w:rFonts w:ascii="Times New Roman" w:eastAsia="Times New Roman" w:hAnsi="Times New Roman" w:cs="Times New Roman"/>
          <w:sz w:val="20"/>
          <w:szCs w:val="20"/>
        </w:rPr>
        <w:t xml:space="preserve">M.A. Groeber, M.A. Jackson, DREAM.3D: A digital representation environment for the analysis of microstructure in 3D, Integrating Materials and Manufacturing Innovation. 3 (2014) 56-72, </w:t>
      </w:r>
      <w:hyperlink r:id="rId21">
        <w:r w:rsidRPr="00FF6A75">
          <w:rPr>
            <w:rFonts w:ascii="Times New Roman" w:eastAsia="Times New Roman" w:hAnsi="Times New Roman" w:cs="Times New Roman"/>
            <w:color w:val="004B83"/>
            <w:sz w:val="20"/>
            <w:szCs w:val="20"/>
            <w:u w:val="single"/>
            <w:shd w:val="clear" w:color="auto" w:fill="FCFCFC"/>
          </w:rPr>
          <w:t>https://doi.org/10.1186/2193-9772-3-5</w:t>
        </w:r>
      </w:hyperlink>
      <w:r w:rsidRPr="00FF6A75">
        <w:rPr>
          <w:rFonts w:ascii="Times New Roman" w:eastAsia="Times New Roman" w:hAnsi="Times New Roman" w:cs="Times New Roman"/>
          <w:sz w:val="20"/>
          <w:szCs w:val="20"/>
        </w:rPr>
        <w:t>.</w:t>
      </w:r>
    </w:p>
    <w:p w:rsidR="003C1A73" w:rsidRPr="00FF6A75" w:rsidRDefault="003C1A73" w:rsidP="003C1A73">
      <w:pPr>
        <w:pStyle w:val="Reference"/>
        <w:numPr>
          <w:ilvl w:val="0"/>
          <w:numId w:val="1"/>
        </w:numPr>
        <w:rPr>
          <w:rFonts w:ascii="Times New Roman" w:eastAsia="Bookman Old Style" w:hAnsi="Times New Roman"/>
          <w:sz w:val="20"/>
          <w:szCs w:val="20"/>
        </w:rPr>
      </w:pPr>
      <w:r w:rsidRPr="00FF6A75">
        <w:rPr>
          <w:rFonts w:ascii="Times New Roman" w:eastAsia="Bookman Old Style" w:hAnsi="Times New Roman"/>
          <w:sz w:val="20"/>
          <w:szCs w:val="20"/>
        </w:rPr>
        <w:t xml:space="preserve">G. Lehmann. Robust Automatic Threshold Selection. </w:t>
      </w:r>
      <w:r w:rsidRPr="00FF6A75">
        <w:rPr>
          <w:rFonts w:ascii="Times New Roman" w:eastAsia="Bookman Old Style" w:hAnsi="Times New Roman"/>
          <w:i/>
          <w:sz w:val="20"/>
          <w:szCs w:val="20"/>
        </w:rPr>
        <w:t xml:space="preserve">The Insight Journal, </w:t>
      </w:r>
      <w:r w:rsidRPr="00FF6A75">
        <w:rPr>
          <w:rFonts w:ascii="Times New Roman" w:eastAsia="Bookman Old Style" w:hAnsi="Times New Roman"/>
          <w:sz w:val="20"/>
          <w:szCs w:val="20"/>
        </w:rPr>
        <w:t>July 2006, (</w:t>
      </w:r>
      <w:hyperlink r:id="rId22" w:history="1">
        <w:r w:rsidRPr="00FF6A75">
          <w:rPr>
            <w:rFonts w:ascii="Times New Roman" w:hAnsi="Times New Roman"/>
            <w:bCs/>
            <w:color w:val="000000" w:themeColor="text1"/>
            <w:sz w:val="20"/>
            <w:szCs w:val="20"/>
          </w:rPr>
          <w:t>http://hdl.handle.net/1926/370</w:t>
        </w:r>
      </w:hyperlink>
      <w:r w:rsidRPr="00FF6A75">
        <w:rPr>
          <w:rFonts w:ascii="Times New Roman" w:hAnsi="Times New Roman"/>
          <w:sz w:val="20"/>
          <w:szCs w:val="20"/>
        </w:rPr>
        <w:t>)</w:t>
      </w:r>
      <w:r w:rsidRPr="00FF6A75">
        <w:rPr>
          <w:rFonts w:ascii="Times New Roman" w:eastAsia="Bookman Old Style" w:hAnsi="Times New Roman"/>
          <w:sz w:val="20"/>
          <w:szCs w:val="20"/>
        </w:rPr>
        <w:t xml:space="preserve">. </w:t>
      </w:r>
    </w:p>
    <w:p w:rsidR="003C1A73" w:rsidRPr="00FF6A75" w:rsidRDefault="003C1A73" w:rsidP="003C1A73">
      <w:pPr>
        <w:pStyle w:val="Reference"/>
        <w:numPr>
          <w:ilvl w:val="0"/>
          <w:numId w:val="1"/>
        </w:numPr>
        <w:rPr>
          <w:rFonts w:ascii="Times New Roman" w:eastAsia="Bookman Old Style" w:hAnsi="Times New Roman"/>
          <w:sz w:val="20"/>
          <w:szCs w:val="20"/>
        </w:rPr>
      </w:pPr>
      <w:r w:rsidRPr="00FF6A75">
        <w:rPr>
          <w:rFonts w:ascii="Times New Roman" w:eastAsia="Bookman Old Style" w:hAnsi="Times New Roman"/>
          <w:sz w:val="20"/>
          <w:szCs w:val="20"/>
        </w:rPr>
        <w:t xml:space="preserve">P.J. Besl and Niel D. McKay. A method for registration of 3-D shapes. </w:t>
      </w:r>
      <w:r w:rsidRPr="00FF6A75">
        <w:rPr>
          <w:rFonts w:ascii="Times New Roman" w:eastAsia="Bookman Old Style" w:hAnsi="Times New Roman"/>
          <w:i/>
          <w:sz w:val="20"/>
          <w:szCs w:val="20"/>
        </w:rPr>
        <w:t xml:space="preserve">IEEE Transactions on Pattern Analysis </w:t>
      </w:r>
      <w:r w:rsidRPr="00FF6A75">
        <w:rPr>
          <w:rFonts w:ascii="Times New Roman" w:eastAsia="Bookman Old Style" w:hAnsi="Times New Roman"/>
          <w:i/>
          <w:sz w:val="20"/>
          <w:szCs w:val="20"/>
        </w:rPr>
        <w:lastRenderedPageBreak/>
        <w:t>and Machine Intelligence,</w:t>
      </w:r>
      <w:r w:rsidRPr="00FF6A75">
        <w:rPr>
          <w:rFonts w:ascii="Times New Roman" w:eastAsia="Bookman Old Style" w:hAnsi="Times New Roman"/>
          <w:sz w:val="20"/>
          <w:szCs w:val="20"/>
        </w:rPr>
        <w:t xml:space="preserve"> 14(2):239-256, 1992.</w:t>
      </w:r>
    </w:p>
    <w:p w:rsidR="00FF6A75" w:rsidRDefault="003C1A73" w:rsidP="00FF6A75">
      <w:pPr>
        <w:pStyle w:val="Reference"/>
        <w:numPr>
          <w:ilvl w:val="0"/>
          <w:numId w:val="1"/>
        </w:numPr>
        <w:rPr>
          <w:rFonts w:ascii="Times New Roman" w:eastAsia="Bookman Old Style" w:hAnsi="Times New Roman"/>
          <w:sz w:val="20"/>
          <w:szCs w:val="20"/>
        </w:rPr>
      </w:pPr>
      <w:r w:rsidRPr="00FF6A75">
        <w:rPr>
          <w:rFonts w:ascii="Times New Roman" w:eastAsia="Bookman Old Style" w:hAnsi="Times New Roman"/>
          <w:sz w:val="20"/>
          <w:szCs w:val="20"/>
        </w:rPr>
        <w:t xml:space="preserve">Radu Bogdan Rusu and Steve Cousins. 3D is here: Point Cloud Library (PCL). </w:t>
      </w:r>
      <w:r w:rsidRPr="00FF6A75">
        <w:rPr>
          <w:rFonts w:ascii="Times New Roman" w:eastAsia="Bookman Old Style" w:hAnsi="Times New Roman"/>
          <w:i/>
          <w:sz w:val="20"/>
          <w:szCs w:val="20"/>
        </w:rPr>
        <w:t>IEEE International Conference on Robotics and Automation (ICRA),</w:t>
      </w:r>
      <w:r w:rsidRPr="00FF6A75">
        <w:rPr>
          <w:rFonts w:ascii="Times New Roman" w:eastAsia="Bookman Old Style" w:hAnsi="Times New Roman"/>
          <w:sz w:val="20"/>
          <w:szCs w:val="20"/>
        </w:rPr>
        <w:t xml:space="preserve"> May, 2011.</w:t>
      </w:r>
    </w:p>
    <w:p w:rsidR="00FF6A75" w:rsidRPr="00FF6A75" w:rsidRDefault="00FF6A75" w:rsidP="00FF6A75">
      <w:pPr>
        <w:pStyle w:val="Reference"/>
        <w:numPr>
          <w:ilvl w:val="0"/>
          <w:numId w:val="1"/>
        </w:numPr>
        <w:rPr>
          <w:rFonts w:ascii="Times New Roman" w:eastAsia="Bookman Old Style" w:hAnsi="Times New Roman"/>
          <w:sz w:val="20"/>
          <w:szCs w:val="20"/>
        </w:rPr>
      </w:pPr>
      <w:r w:rsidRPr="00FF6A75">
        <w:rPr>
          <w:rFonts w:ascii="Times New Roman" w:hAnsi="Times New Roman"/>
          <w:sz w:val="20"/>
          <w:szCs w:val="20"/>
        </w:rPr>
        <w:t xml:space="preserve">SP Donegan, EJ Schwalbach, and MA Groeber, </w:t>
      </w:r>
      <w:r w:rsidRPr="00FF6A75">
        <w:rPr>
          <w:rFonts w:ascii="Times New Roman" w:eastAsia="Calibri" w:hAnsi="Times New Roman"/>
          <w:sz w:val="20"/>
          <w:szCs w:val="20"/>
        </w:rPr>
        <w:t>Multimodal Registration and Fusion of In Situ and Ex Situ Metal Additive Manufacturing Data</w:t>
      </w:r>
      <w:r>
        <w:rPr>
          <w:rFonts w:ascii="Times New Roman" w:eastAsia="Calibri" w:hAnsi="Times New Roman"/>
          <w:sz w:val="20"/>
          <w:szCs w:val="20"/>
        </w:rPr>
        <w:t>, submitted to JOM. 2021</w:t>
      </w:r>
    </w:p>
    <w:p w:rsidR="003C1A73" w:rsidRPr="00FF6A75" w:rsidRDefault="00FF6A75" w:rsidP="00FF6A75">
      <w:pPr>
        <w:pStyle w:val="Reference"/>
        <w:numPr>
          <w:ilvl w:val="0"/>
          <w:numId w:val="1"/>
        </w:numPr>
        <w:rPr>
          <w:rFonts w:ascii="Times New Roman" w:eastAsia="Bookman Old Style" w:hAnsi="Times New Roman"/>
          <w:sz w:val="20"/>
          <w:szCs w:val="20"/>
        </w:rPr>
      </w:pPr>
      <w:r w:rsidRPr="00FF6A75">
        <w:rPr>
          <w:rFonts w:ascii="Times New Roman" w:hAnsi="Times New Roman"/>
          <w:sz w:val="20"/>
          <w:szCs w:val="15"/>
        </w:rPr>
        <w:t>Ki</w:t>
      </w:r>
      <w:r>
        <w:rPr>
          <w:rFonts w:ascii="Times New Roman" w:hAnsi="Times New Roman"/>
          <w:sz w:val="20"/>
          <w:szCs w:val="15"/>
        </w:rPr>
        <w:t xml:space="preserve">tware. </w:t>
      </w:r>
      <w:hyperlink r:id="rId23" w:history="1">
        <w:r w:rsidRPr="009C214D">
          <w:rPr>
            <w:rStyle w:val="Hyperlink"/>
            <w:rFonts w:ascii="Times New Roman" w:hAnsi="Times New Roman"/>
            <w:sz w:val="20"/>
            <w:szCs w:val="15"/>
          </w:rPr>
          <w:t>http://www.paraview.org/</w:t>
        </w:r>
      </w:hyperlink>
    </w:p>
    <w:p w:rsidR="00FF6A75" w:rsidRPr="00FF6A75" w:rsidRDefault="00FF6A75" w:rsidP="00FF6A75">
      <w:pPr>
        <w:pStyle w:val="Reference"/>
        <w:numPr>
          <w:ilvl w:val="0"/>
          <w:numId w:val="1"/>
        </w:numPr>
        <w:rPr>
          <w:rFonts w:ascii="Times New Roman" w:eastAsia="Bookman Old Style" w:hAnsi="Times New Roman"/>
          <w:sz w:val="20"/>
          <w:szCs w:val="20"/>
        </w:rPr>
      </w:pPr>
      <w:r>
        <w:rPr>
          <w:rFonts w:ascii="Times New Roman" w:hAnsi="Times New Roman"/>
          <w:sz w:val="20"/>
          <w:szCs w:val="15"/>
        </w:rPr>
        <w:t>I Jenhani, N Ben Amor, and Z. Elouedi, Decision tress as possibilistic classifiers, International Journal of Approximate Reasoning, 48(3):784-807, 2008.</w:t>
      </w:r>
    </w:p>
    <w:p w:rsidR="00FF6A75" w:rsidRPr="000C6D42" w:rsidRDefault="00FF6A75" w:rsidP="00FF6A75">
      <w:pPr>
        <w:pStyle w:val="Reference"/>
        <w:numPr>
          <w:ilvl w:val="0"/>
          <w:numId w:val="1"/>
        </w:numPr>
        <w:rPr>
          <w:rFonts w:ascii="Times New Roman" w:eastAsia="Bookman Old Style" w:hAnsi="Times New Roman"/>
          <w:sz w:val="20"/>
          <w:szCs w:val="20"/>
        </w:rPr>
      </w:pPr>
      <w:r>
        <w:rPr>
          <w:rFonts w:ascii="Times New Roman" w:hAnsi="Times New Roman"/>
          <w:sz w:val="20"/>
          <w:szCs w:val="15"/>
        </w:rPr>
        <w:t>TM Hehn, JFP Kooji, and FA Hamprecht, End-to-end learning of decision tress and forests, International Journal of Computer Vision, 128:997-1011, 2020.</w:t>
      </w:r>
    </w:p>
    <w:p w:rsidR="000C6D42" w:rsidRDefault="000C6D42" w:rsidP="000C6D42">
      <w:pPr>
        <w:pStyle w:val="Reference"/>
        <w:numPr>
          <w:ilvl w:val="0"/>
          <w:numId w:val="0"/>
        </w:numPr>
        <w:ind w:left="851" w:hanging="851"/>
        <w:rPr>
          <w:rFonts w:ascii="Times New Roman" w:hAnsi="Times New Roman"/>
          <w:sz w:val="20"/>
          <w:szCs w:val="15"/>
        </w:rPr>
      </w:pPr>
    </w:p>
    <w:p w:rsidR="000C6D42" w:rsidRDefault="000C6D42" w:rsidP="000C6D42">
      <w:pPr>
        <w:pStyle w:val="Reference"/>
        <w:numPr>
          <w:ilvl w:val="0"/>
          <w:numId w:val="0"/>
        </w:numPr>
        <w:ind w:left="851" w:hanging="851"/>
        <w:rPr>
          <w:rFonts w:ascii="Times New Roman" w:hAnsi="Times New Roman"/>
          <w:sz w:val="20"/>
          <w:szCs w:val="15"/>
        </w:rPr>
      </w:pPr>
    </w:p>
    <w:p w:rsidR="000C6D42" w:rsidRDefault="000C6D42">
      <w:pPr>
        <w:rPr>
          <w:rFonts w:ascii="Times New Roman" w:eastAsia="Times New Roman" w:hAnsi="Times New Roman" w:cs="Times New Roman"/>
          <w:iCs/>
          <w:noProof/>
          <w:color w:val="000000"/>
          <w:sz w:val="20"/>
          <w:szCs w:val="15"/>
          <w:lang w:val="en-GB"/>
        </w:rPr>
      </w:pPr>
      <w:r>
        <w:rPr>
          <w:rFonts w:ascii="Times New Roman" w:hAnsi="Times New Roman"/>
          <w:sz w:val="20"/>
          <w:szCs w:val="15"/>
        </w:rPr>
        <w:br w:type="page"/>
      </w:r>
    </w:p>
    <w:p w:rsidR="000C6D42" w:rsidRDefault="000C6D42" w:rsidP="000C6D42">
      <w:pPr>
        <w:pStyle w:val="Reference"/>
        <w:numPr>
          <w:ilvl w:val="0"/>
          <w:numId w:val="0"/>
        </w:numPr>
        <w:ind w:left="851" w:hanging="851"/>
        <w:rPr>
          <w:rFonts w:ascii="Times New Roman" w:hAnsi="Times New Roman"/>
          <w:sz w:val="20"/>
          <w:szCs w:val="15"/>
        </w:rPr>
      </w:pPr>
    </w:p>
    <w:p w:rsidR="000C6D42" w:rsidRDefault="000C6D42" w:rsidP="000C6D42">
      <w:pPr>
        <w:pStyle w:val="Reference"/>
        <w:numPr>
          <w:ilvl w:val="0"/>
          <w:numId w:val="0"/>
        </w:numPr>
        <w:ind w:left="851" w:hanging="851"/>
        <w:rPr>
          <w:rFonts w:ascii="Times New Roman" w:hAnsi="Times New Roman"/>
          <w:sz w:val="20"/>
          <w:szCs w:val="15"/>
        </w:rPr>
      </w:pPr>
    </w:p>
    <w:p w:rsidR="000C6D42" w:rsidRDefault="000C6D42" w:rsidP="000C6D42">
      <w:pPr>
        <w:pStyle w:val="Reference"/>
        <w:numPr>
          <w:ilvl w:val="0"/>
          <w:numId w:val="0"/>
        </w:numPr>
        <w:ind w:left="851" w:hanging="851"/>
        <w:rPr>
          <w:rFonts w:ascii="Times New Roman" w:hAnsi="Times New Roman"/>
          <w:sz w:val="20"/>
          <w:szCs w:val="15"/>
        </w:rPr>
      </w:pPr>
      <w:r>
        <w:rPr>
          <w:rFonts w:ascii="Times New Roman" w:hAnsi="Times New Roman"/>
          <w:sz w:val="20"/>
          <w:szCs w:val="15"/>
        </w:rPr>
        <w:t>Supplementary Material</w:t>
      </w:r>
    </w:p>
    <w:p w:rsidR="000C6D42" w:rsidRDefault="000C6D42" w:rsidP="000C6D42">
      <w:pPr>
        <w:pStyle w:val="Reference"/>
        <w:numPr>
          <w:ilvl w:val="0"/>
          <w:numId w:val="0"/>
        </w:numPr>
        <w:ind w:left="851" w:hanging="851"/>
        <w:rPr>
          <w:rFonts w:ascii="Times New Roman" w:hAnsi="Times New Roman"/>
          <w:sz w:val="20"/>
          <w:szCs w:val="15"/>
        </w:rPr>
      </w:pPr>
    </w:p>
    <w:p w:rsidR="000C6D42" w:rsidRDefault="000C6D42" w:rsidP="000C6D42">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114300" distB="114300" distL="114300" distR="114300" wp14:anchorId="7014386F" wp14:editId="52C5E326">
            <wp:extent cx="3630133" cy="2294103"/>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4"/>
                    <a:srcRect/>
                    <a:stretch>
                      <a:fillRect/>
                    </a:stretch>
                  </pic:blipFill>
                  <pic:spPr>
                    <a:xfrm>
                      <a:off x="0" y="0"/>
                      <a:ext cx="3630133" cy="2294103"/>
                    </a:xfrm>
                    <a:prstGeom prst="rect">
                      <a:avLst/>
                    </a:prstGeom>
                    <a:ln/>
                  </pic:spPr>
                </pic:pic>
              </a:graphicData>
            </a:graphic>
          </wp:inline>
        </w:drawing>
      </w:r>
    </w:p>
    <w:p w:rsidR="000C6D42" w:rsidRDefault="000C6D42" w:rsidP="000C6D42">
      <w:pPr>
        <w:spacing w:after="0" w:line="240" w:lineRule="auto"/>
        <w:rPr>
          <w:rFonts w:ascii="Times New Roman" w:eastAsia="Times New Roman" w:hAnsi="Times New Roman" w:cs="Times New Roman"/>
          <w:sz w:val="20"/>
          <w:szCs w:val="20"/>
        </w:rPr>
      </w:pPr>
      <w:r w:rsidRPr="000C6D42">
        <w:rPr>
          <w:rFonts w:ascii="Times New Roman" w:eastAsia="Times New Roman" w:hAnsi="Times New Roman" w:cs="Times New Roman"/>
          <w:b/>
          <w:sz w:val="20"/>
          <w:szCs w:val="20"/>
        </w:rPr>
        <w:t>Supplementary</w:t>
      </w:r>
      <w:r>
        <w:rPr>
          <w:rFonts w:ascii="Times New Roman" w:eastAsia="Times New Roman" w:hAnsi="Times New Roman" w:cs="Times New Roman"/>
          <w:sz w:val="20"/>
          <w:szCs w:val="20"/>
        </w:rPr>
        <w:t xml:space="preserve"> </w:t>
      </w:r>
      <w:r>
        <w:rPr>
          <w:rFonts w:ascii="Times New Roman" w:eastAsia="Times New Roman" w:hAnsi="Times New Roman" w:cs="Times New Roman"/>
          <w:b/>
          <w:sz w:val="20"/>
          <w:szCs w:val="20"/>
        </w:rPr>
        <w:t xml:space="preserve">Figure 1: </w:t>
      </w:r>
      <w:r>
        <w:rPr>
          <w:rFonts w:ascii="Times New Roman" w:eastAsia="Times New Roman" w:hAnsi="Times New Roman" w:cs="Times New Roman"/>
          <w:sz w:val="20"/>
          <w:szCs w:val="20"/>
        </w:rPr>
        <w:t>Principle and main components of QM Meltpool 3D system [24]</w:t>
      </w:r>
    </w:p>
    <w:p w:rsidR="000C6D42" w:rsidRDefault="000C6D42" w:rsidP="000C6D42">
      <w:pPr>
        <w:pStyle w:val="Reference"/>
        <w:numPr>
          <w:ilvl w:val="0"/>
          <w:numId w:val="0"/>
        </w:numPr>
        <w:ind w:left="851" w:hanging="851"/>
        <w:rPr>
          <w:rFonts w:ascii="Times New Roman" w:eastAsia="Bookman Old Style" w:hAnsi="Times New Roman"/>
          <w:sz w:val="20"/>
          <w:szCs w:val="20"/>
        </w:rPr>
      </w:pPr>
    </w:p>
    <w:p w:rsidR="000C6D42" w:rsidRDefault="000C6D42" w:rsidP="000C6D42">
      <w:pPr>
        <w:ind w:firstLine="360"/>
        <w:jc w:val="center"/>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114300" distB="114300" distL="114300" distR="114300" wp14:anchorId="5A4E42DD" wp14:editId="0767FCFE">
            <wp:extent cx="4279738" cy="1988408"/>
            <wp:effectExtent l="0" t="0" r="0" b="0"/>
            <wp:docPr id="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5"/>
                    <a:srcRect/>
                    <a:stretch>
                      <a:fillRect/>
                    </a:stretch>
                  </pic:blipFill>
                  <pic:spPr>
                    <a:xfrm>
                      <a:off x="0" y="0"/>
                      <a:ext cx="4279738" cy="1988408"/>
                    </a:xfrm>
                    <a:prstGeom prst="rect">
                      <a:avLst/>
                    </a:prstGeom>
                    <a:ln/>
                  </pic:spPr>
                </pic:pic>
              </a:graphicData>
            </a:graphic>
          </wp:inline>
        </w:drawing>
      </w:r>
    </w:p>
    <w:p w:rsidR="000C6D42" w:rsidRDefault="000C6D42" w:rsidP="000C6D42">
      <w:pPr>
        <w:jc w:val="both"/>
        <w:rPr>
          <w:rFonts w:ascii="Times New Roman" w:eastAsia="Times New Roman" w:hAnsi="Times New Roman" w:cs="Times New Roman"/>
          <w:sz w:val="20"/>
          <w:szCs w:val="20"/>
        </w:rPr>
      </w:pPr>
      <w:r>
        <w:rPr>
          <w:rFonts w:ascii="Times New Roman" w:eastAsia="Times New Roman" w:hAnsi="Times New Roman" w:cs="Times New Roman"/>
          <w:b/>
          <w:sz w:val="20"/>
          <w:szCs w:val="20"/>
        </w:rPr>
        <w:t xml:space="preserve">Supplementary Figure 2: </w:t>
      </w:r>
      <w:r>
        <w:rPr>
          <w:rFonts w:ascii="Times New Roman" w:eastAsia="Times New Roman" w:hAnsi="Times New Roman" w:cs="Times New Roman"/>
          <w:sz w:val="20"/>
          <w:szCs w:val="20"/>
        </w:rPr>
        <w:t>Layer average melt pool area as a function of the layer number.  This is an example from a completely nominal portion of the part showing variation in the melt pool areas on each layer.</w:t>
      </w:r>
    </w:p>
    <w:p w:rsidR="000C6D42" w:rsidRDefault="000C6D42" w:rsidP="000C6D42">
      <w:pPr>
        <w:pStyle w:val="Reference"/>
        <w:numPr>
          <w:ilvl w:val="0"/>
          <w:numId w:val="0"/>
        </w:numPr>
        <w:ind w:left="851" w:hanging="851"/>
        <w:jc w:val="center"/>
        <w:rPr>
          <w:rFonts w:ascii="Times New Roman" w:eastAsia="Bookman Old Style" w:hAnsi="Times New Roman"/>
          <w:sz w:val="20"/>
          <w:szCs w:val="20"/>
        </w:rPr>
      </w:pPr>
      <w:r>
        <w:rPr>
          <w:rFonts w:ascii="Times New Roman" w:eastAsia="Bookman Old Style" w:hAnsi="Times New Roman"/>
          <w:sz w:val="20"/>
          <w:szCs w:val="20"/>
          <w:lang w:val="en-US"/>
        </w:rPr>
        <w:drawing>
          <wp:inline distT="0" distB="0" distL="0" distR="0">
            <wp:extent cx="2943225" cy="183062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Feature_Importances.png"/>
                    <pic:cNvPicPr/>
                  </pic:nvPicPr>
                  <pic:blipFill>
                    <a:blip r:embed="rId26">
                      <a:extLst>
                        <a:ext uri="{28A0092B-C50C-407E-A947-70E740481C1C}">
                          <a14:useLocalDpi xmlns:a14="http://schemas.microsoft.com/office/drawing/2010/main" val="0"/>
                        </a:ext>
                      </a:extLst>
                    </a:blip>
                    <a:stretch>
                      <a:fillRect/>
                    </a:stretch>
                  </pic:blipFill>
                  <pic:spPr>
                    <a:xfrm>
                      <a:off x="0" y="0"/>
                      <a:ext cx="2980796" cy="1853989"/>
                    </a:xfrm>
                    <a:prstGeom prst="rect">
                      <a:avLst/>
                    </a:prstGeom>
                  </pic:spPr>
                </pic:pic>
              </a:graphicData>
            </a:graphic>
          </wp:inline>
        </w:drawing>
      </w:r>
    </w:p>
    <w:p w:rsidR="000C6D42" w:rsidRDefault="000C6D42" w:rsidP="000C6D42">
      <w:pPr>
        <w:jc w:val="both"/>
        <w:rPr>
          <w:rFonts w:ascii="Times New Roman" w:eastAsia="Times New Roman" w:hAnsi="Times New Roman" w:cs="Times New Roman"/>
          <w:sz w:val="20"/>
          <w:szCs w:val="20"/>
        </w:rPr>
      </w:pPr>
      <w:r>
        <w:rPr>
          <w:rFonts w:ascii="Times New Roman" w:eastAsia="Times New Roman" w:hAnsi="Times New Roman" w:cs="Times New Roman"/>
          <w:b/>
          <w:sz w:val="20"/>
          <w:szCs w:val="20"/>
        </w:rPr>
        <w:t xml:space="preserve">Supplementary Figure 3: </w:t>
      </w:r>
      <w:r>
        <w:rPr>
          <w:rFonts w:ascii="Times New Roman" w:eastAsia="Times New Roman" w:hAnsi="Times New Roman" w:cs="Times New Roman"/>
          <w:sz w:val="20"/>
          <w:szCs w:val="20"/>
        </w:rPr>
        <w:t>Graph showing the importance of each metric in the random forest regressor’s predictability of the void probability.</w:t>
      </w:r>
    </w:p>
    <w:p w:rsidR="000C6D42" w:rsidRPr="00FF6A75" w:rsidRDefault="000C6D42" w:rsidP="000C6D42">
      <w:pPr>
        <w:pStyle w:val="Reference"/>
        <w:numPr>
          <w:ilvl w:val="0"/>
          <w:numId w:val="0"/>
        </w:numPr>
        <w:ind w:left="851" w:hanging="851"/>
        <w:jc w:val="center"/>
        <w:rPr>
          <w:rFonts w:ascii="Times New Roman" w:eastAsia="Bookman Old Style" w:hAnsi="Times New Roman"/>
          <w:sz w:val="20"/>
          <w:szCs w:val="20"/>
        </w:rPr>
      </w:pPr>
    </w:p>
    <w:sectPr w:rsidR="000C6D42" w:rsidRPr="00FF6A75">
      <w:headerReference w:type="default" r:id="rId27"/>
      <w:footerReference w:type="default" r:id="rId28"/>
      <w:type w:val="continuous"/>
      <w:pgSz w:w="11906" w:h="16838"/>
      <w:pgMar w:top="1440" w:right="1106" w:bottom="1440" w:left="1440" w:header="706" w:footer="706"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B0AD5" w:rsidRDefault="000B0AD5">
      <w:pPr>
        <w:spacing w:after="0" w:line="240" w:lineRule="auto"/>
      </w:pPr>
      <w:r>
        <w:separator/>
      </w:r>
    </w:p>
  </w:endnote>
  <w:endnote w:type="continuationSeparator" w:id="0">
    <w:p w:rsidR="000B0AD5" w:rsidRDefault="000B0A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rdo">
    <w:charset w:val="00"/>
    <w:family w:val="auto"/>
    <w:pitch w:val="default"/>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C28B6" w:rsidRDefault="00413A1A">
    <w:pPr>
      <w:pBdr>
        <w:top w:val="nil"/>
        <w:left w:val="nil"/>
        <w:bottom w:val="nil"/>
        <w:right w:val="nil"/>
        <w:between w:val="nil"/>
      </w:pBdr>
      <w:tabs>
        <w:tab w:val="center" w:pos="4513"/>
        <w:tab w:val="right" w:pos="9026"/>
      </w:tabs>
      <w:spacing w:after="0" w:line="240" w:lineRule="auto"/>
      <w:jc w:val="center"/>
      <w:rPr>
        <w:color w:val="000000"/>
      </w:rPr>
    </w:pPr>
    <w:r>
      <w:rPr>
        <w:color w:val="000000"/>
        <w:sz w:val="14"/>
        <w:szCs w:val="14"/>
      </w:rPr>
      <w:fldChar w:fldCharType="begin"/>
    </w:r>
    <w:r>
      <w:rPr>
        <w:color w:val="000000"/>
        <w:sz w:val="14"/>
        <w:szCs w:val="14"/>
      </w:rPr>
      <w:instrText>PAGE</w:instrText>
    </w:r>
    <w:r>
      <w:rPr>
        <w:color w:val="000000"/>
        <w:sz w:val="14"/>
        <w:szCs w:val="14"/>
      </w:rPr>
      <w:fldChar w:fldCharType="separate"/>
    </w:r>
    <w:r w:rsidR="00235800">
      <w:rPr>
        <w:noProof/>
        <w:color w:val="000000"/>
        <w:sz w:val="14"/>
        <w:szCs w:val="14"/>
      </w:rPr>
      <w:t>1</w:t>
    </w:r>
    <w:r>
      <w:rPr>
        <w:color w:val="000000"/>
        <w:sz w:val="14"/>
        <w:szCs w:val="14"/>
      </w:rPr>
      <w:fldChar w:fldCharType="end"/>
    </w:r>
  </w:p>
  <w:p w:rsidR="00AC28B6" w:rsidRDefault="00AC28B6">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C28B6" w:rsidRDefault="00413A1A">
    <w:pPr>
      <w:pBdr>
        <w:top w:val="nil"/>
        <w:left w:val="nil"/>
        <w:bottom w:val="nil"/>
        <w:right w:val="nil"/>
        <w:between w:val="nil"/>
      </w:pBdr>
      <w:tabs>
        <w:tab w:val="center" w:pos="4513"/>
        <w:tab w:val="right" w:pos="9026"/>
      </w:tabs>
      <w:spacing w:after="0" w:line="240" w:lineRule="auto"/>
      <w:jc w:val="center"/>
      <w:rPr>
        <w:color w:val="000000"/>
      </w:rPr>
    </w:pPr>
    <w:r>
      <w:rPr>
        <w:color w:val="000000"/>
        <w:sz w:val="14"/>
        <w:szCs w:val="14"/>
      </w:rPr>
      <w:fldChar w:fldCharType="begin"/>
    </w:r>
    <w:r>
      <w:rPr>
        <w:color w:val="000000"/>
        <w:sz w:val="14"/>
        <w:szCs w:val="14"/>
      </w:rPr>
      <w:instrText>PAGE</w:instrText>
    </w:r>
    <w:r>
      <w:rPr>
        <w:color w:val="000000"/>
        <w:sz w:val="14"/>
        <w:szCs w:val="14"/>
      </w:rPr>
      <w:fldChar w:fldCharType="separate"/>
    </w:r>
    <w:r w:rsidR="00235800">
      <w:rPr>
        <w:noProof/>
        <w:color w:val="000000"/>
        <w:sz w:val="14"/>
        <w:szCs w:val="14"/>
      </w:rPr>
      <w:t>13</w:t>
    </w:r>
    <w:r>
      <w:rPr>
        <w:color w:val="000000"/>
        <w:sz w:val="14"/>
        <w:szCs w:val="14"/>
      </w:rPr>
      <w:fldChar w:fldCharType="end"/>
    </w:r>
  </w:p>
  <w:p w:rsidR="00AC28B6" w:rsidRDefault="00AC28B6">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B0AD5" w:rsidRDefault="000B0AD5">
      <w:pPr>
        <w:spacing w:after="0" w:line="240" w:lineRule="auto"/>
      </w:pPr>
      <w:r>
        <w:separator/>
      </w:r>
    </w:p>
  </w:footnote>
  <w:footnote w:type="continuationSeparator" w:id="0">
    <w:p w:rsidR="000B0AD5" w:rsidRDefault="000B0A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C28B6" w:rsidRDefault="00AC28B6">
    <w:pPr>
      <w:pBdr>
        <w:top w:val="nil"/>
        <w:left w:val="nil"/>
        <w:bottom w:val="single" w:sz="4" w:space="1" w:color="000000"/>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09239A7"/>
    <w:multiLevelType w:val="multilevel"/>
    <w:tmpl w:val="DF16DA5C"/>
    <w:lvl w:ilvl="0">
      <w:start w:val="1"/>
      <w:numFmt w:val="decimal"/>
      <w:lvlText w:val="[%1]"/>
      <w:lvlJc w:val="left"/>
      <w:pPr>
        <w:ind w:left="284" w:hanging="284"/>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5D9556E6"/>
    <w:multiLevelType w:val="hybridMultilevel"/>
    <w:tmpl w:val="8C54D8DC"/>
    <w:lvl w:ilvl="0" w:tplc="F7F88E22">
      <w:start w:val="1"/>
      <w:numFmt w:val="decimal"/>
      <w:pStyle w:val="Reference"/>
      <w:lvlText w:val="[%1]"/>
      <w:lvlJc w:val="left"/>
      <w:pPr>
        <w:tabs>
          <w:tab w:val="num" w:pos="90"/>
        </w:tabs>
        <w:ind w:left="90" w:firstLine="0"/>
      </w:pPr>
      <w:rPr>
        <w:rFonts w:hint="default"/>
      </w:rPr>
    </w:lvl>
    <w:lvl w:ilvl="1" w:tplc="04090019" w:tentative="1">
      <w:start w:val="1"/>
      <w:numFmt w:val="lowerLetter"/>
      <w:lvlText w:val="%2."/>
      <w:lvlJc w:val="left"/>
      <w:pPr>
        <w:tabs>
          <w:tab w:val="num" w:pos="1530"/>
        </w:tabs>
        <w:ind w:left="1530" w:hanging="360"/>
      </w:pPr>
    </w:lvl>
    <w:lvl w:ilvl="2" w:tplc="0409001B" w:tentative="1">
      <w:start w:val="1"/>
      <w:numFmt w:val="lowerRoman"/>
      <w:lvlText w:val="%3."/>
      <w:lvlJc w:val="right"/>
      <w:pPr>
        <w:tabs>
          <w:tab w:val="num" w:pos="2250"/>
        </w:tabs>
        <w:ind w:left="2250" w:hanging="180"/>
      </w:pPr>
    </w:lvl>
    <w:lvl w:ilvl="3" w:tplc="0409000F" w:tentative="1">
      <w:start w:val="1"/>
      <w:numFmt w:val="decimal"/>
      <w:lvlText w:val="%4."/>
      <w:lvlJc w:val="left"/>
      <w:pPr>
        <w:tabs>
          <w:tab w:val="num" w:pos="2970"/>
        </w:tabs>
        <w:ind w:left="2970" w:hanging="360"/>
      </w:pPr>
    </w:lvl>
    <w:lvl w:ilvl="4" w:tplc="04090019" w:tentative="1">
      <w:start w:val="1"/>
      <w:numFmt w:val="lowerLetter"/>
      <w:lvlText w:val="%5."/>
      <w:lvlJc w:val="left"/>
      <w:pPr>
        <w:tabs>
          <w:tab w:val="num" w:pos="3690"/>
        </w:tabs>
        <w:ind w:left="3690" w:hanging="360"/>
      </w:pPr>
    </w:lvl>
    <w:lvl w:ilvl="5" w:tplc="0409001B" w:tentative="1">
      <w:start w:val="1"/>
      <w:numFmt w:val="lowerRoman"/>
      <w:lvlText w:val="%6."/>
      <w:lvlJc w:val="right"/>
      <w:pPr>
        <w:tabs>
          <w:tab w:val="num" w:pos="4410"/>
        </w:tabs>
        <w:ind w:left="4410" w:hanging="180"/>
      </w:pPr>
    </w:lvl>
    <w:lvl w:ilvl="6" w:tplc="0409000F" w:tentative="1">
      <w:start w:val="1"/>
      <w:numFmt w:val="decimal"/>
      <w:lvlText w:val="%7."/>
      <w:lvlJc w:val="left"/>
      <w:pPr>
        <w:tabs>
          <w:tab w:val="num" w:pos="5130"/>
        </w:tabs>
        <w:ind w:left="5130" w:hanging="360"/>
      </w:pPr>
    </w:lvl>
    <w:lvl w:ilvl="7" w:tplc="04090019" w:tentative="1">
      <w:start w:val="1"/>
      <w:numFmt w:val="lowerLetter"/>
      <w:lvlText w:val="%8."/>
      <w:lvlJc w:val="left"/>
      <w:pPr>
        <w:tabs>
          <w:tab w:val="num" w:pos="5850"/>
        </w:tabs>
        <w:ind w:left="5850" w:hanging="360"/>
      </w:pPr>
    </w:lvl>
    <w:lvl w:ilvl="8" w:tplc="0409001B" w:tentative="1">
      <w:start w:val="1"/>
      <w:numFmt w:val="lowerRoman"/>
      <w:lvlText w:val="%9."/>
      <w:lvlJc w:val="right"/>
      <w:pPr>
        <w:tabs>
          <w:tab w:val="num" w:pos="6570"/>
        </w:tabs>
        <w:ind w:left="657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28B6"/>
    <w:rsid w:val="00023358"/>
    <w:rsid w:val="00044702"/>
    <w:rsid w:val="000629DA"/>
    <w:rsid w:val="000A02A9"/>
    <w:rsid w:val="000B0AD5"/>
    <w:rsid w:val="000B7A4A"/>
    <w:rsid w:val="000C6D42"/>
    <w:rsid w:val="00133659"/>
    <w:rsid w:val="00153F53"/>
    <w:rsid w:val="00162E2C"/>
    <w:rsid w:val="0016749E"/>
    <w:rsid w:val="00235800"/>
    <w:rsid w:val="00244692"/>
    <w:rsid w:val="0024541A"/>
    <w:rsid w:val="002470F7"/>
    <w:rsid w:val="002A0E72"/>
    <w:rsid w:val="002C0078"/>
    <w:rsid w:val="003C163D"/>
    <w:rsid w:val="003C1A73"/>
    <w:rsid w:val="003D51A1"/>
    <w:rsid w:val="00413A1A"/>
    <w:rsid w:val="00493AA1"/>
    <w:rsid w:val="00543DCF"/>
    <w:rsid w:val="00576A84"/>
    <w:rsid w:val="00591C95"/>
    <w:rsid w:val="005B2C48"/>
    <w:rsid w:val="005F3EC5"/>
    <w:rsid w:val="00660C1D"/>
    <w:rsid w:val="00705F45"/>
    <w:rsid w:val="0078651F"/>
    <w:rsid w:val="00814DAF"/>
    <w:rsid w:val="00817F5B"/>
    <w:rsid w:val="008B5C4E"/>
    <w:rsid w:val="008B7528"/>
    <w:rsid w:val="00962F86"/>
    <w:rsid w:val="009E70E9"/>
    <w:rsid w:val="00A01B19"/>
    <w:rsid w:val="00A563DD"/>
    <w:rsid w:val="00A707AA"/>
    <w:rsid w:val="00A74F2E"/>
    <w:rsid w:val="00AA4ED6"/>
    <w:rsid w:val="00AB499B"/>
    <w:rsid w:val="00AC28B6"/>
    <w:rsid w:val="00AD74FC"/>
    <w:rsid w:val="00B53433"/>
    <w:rsid w:val="00BB07ED"/>
    <w:rsid w:val="00BD245B"/>
    <w:rsid w:val="00C5519B"/>
    <w:rsid w:val="00C7264B"/>
    <w:rsid w:val="00CA0B4F"/>
    <w:rsid w:val="00CD0FF9"/>
    <w:rsid w:val="00D3473D"/>
    <w:rsid w:val="00E032EB"/>
    <w:rsid w:val="00EA1D34"/>
    <w:rsid w:val="00ED4763"/>
    <w:rsid w:val="00F51EF7"/>
    <w:rsid w:val="00F8787F"/>
    <w:rsid w:val="00FE7EC3"/>
    <w:rsid w:val="00FF543F"/>
    <w:rsid w:val="00FF6A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A7749"/>
  <w15:docId w15:val="{B01B3D01-62B3-4D3D-9E47-AE3215BAC6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8B75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A4ED6"/>
    <w:rPr>
      <w:color w:val="808080"/>
    </w:rPr>
  </w:style>
  <w:style w:type="paragraph" w:styleId="ListParagraph">
    <w:name w:val="List Paragraph"/>
    <w:basedOn w:val="Normal"/>
    <w:uiPriority w:val="34"/>
    <w:qFormat/>
    <w:rsid w:val="003C1A73"/>
    <w:pPr>
      <w:ind w:left="720"/>
      <w:contextualSpacing/>
    </w:pPr>
  </w:style>
  <w:style w:type="paragraph" w:customStyle="1" w:styleId="Reference">
    <w:name w:val="Reference"/>
    <w:rsid w:val="003C1A73"/>
    <w:pPr>
      <w:widowControl w:val="0"/>
      <w:numPr>
        <w:numId w:val="2"/>
      </w:numPr>
      <w:tabs>
        <w:tab w:val="left" w:pos="567"/>
      </w:tabs>
      <w:spacing w:after="0" w:line="240" w:lineRule="auto"/>
      <w:ind w:left="851" w:hanging="851"/>
      <w:jc w:val="both"/>
    </w:pPr>
    <w:rPr>
      <w:rFonts w:ascii="Times" w:eastAsia="Times New Roman" w:hAnsi="Times" w:cs="Times New Roman"/>
      <w:iCs/>
      <w:noProof/>
      <w:color w:val="000000"/>
      <w:lang w:val="en-GB"/>
    </w:rPr>
  </w:style>
  <w:style w:type="character" w:styleId="Hyperlink">
    <w:name w:val="Hyperlink"/>
    <w:basedOn w:val="DefaultParagraphFont"/>
    <w:uiPriority w:val="99"/>
    <w:unhideWhenUsed/>
    <w:rsid w:val="00FF6A75"/>
    <w:rPr>
      <w:color w:val="0000FF" w:themeColor="hyperlink"/>
      <w:u w:val="single"/>
    </w:rPr>
  </w:style>
  <w:style w:type="paragraph" w:styleId="BalloonText">
    <w:name w:val="Balloon Text"/>
    <w:basedOn w:val="Normal"/>
    <w:link w:val="BalloonTextChar"/>
    <w:uiPriority w:val="99"/>
    <w:semiHidden/>
    <w:unhideWhenUsed/>
    <w:rsid w:val="000629D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629DA"/>
    <w:rPr>
      <w:rFonts w:ascii="Segoe UI" w:hAnsi="Segoe UI" w:cs="Segoe UI"/>
      <w:sz w:val="18"/>
      <w:szCs w:val="18"/>
    </w:rPr>
  </w:style>
  <w:style w:type="character" w:styleId="Emphasis">
    <w:name w:val="Emphasis"/>
    <w:basedOn w:val="DefaultParagraphFont"/>
    <w:uiPriority w:val="20"/>
    <w:qFormat/>
    <w:rsid w:val="00BB07E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6.png"/><Relationship Id="rId3" Type="http://schemas.openxmlformats.org/officeDocument/2006/relationships/settings" Target="settings.xml"/><Relationship Id="rId21" Type="http://schemas.openxmlformats.org/officeDocument/2006/relationships/hyperlink" Target="https://doi.org/10.1186/2193-9772-3-5" TargetMode="External"/><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5.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4.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www.paraview.org/" TargetMode="External"/><Relationship Id="rId28"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hdl.handle.net/1926/370" TargetMode="External"/><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6918</Words>
  <Characters>39436</Characters>
  <Application>Microsoft Office Word</Application>
  <DocSecurity>0</DocSecurity>
  <Lines>328</Lines>
  <Paragraphs>92</Paragraphs>
  <ScaleCrop>false</ScaleCrop>
  <HeadingPairs>
    <vt:vector size="2" baseType="variant">
      <vt:variant>
        <vt:lpstr>Title</vt:lpstr>
      </vt:variant>
      <vt:variant>
        <vt:i4>1</vt:i4>
      </vt:variant>
    </vt:vector>
  </HeadingPairs>
  <TitlesOfParts>
    <vt:vector size="1" baseType="lpstr">
      <vt:lpstr/>
    </vt:vector>
  </TitlesOfParts>
  <Company>The Ohio State University</Company>
  <LinksUpToDate>false</LinksUpToDate>
  <CharactersWithSpaces>46262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Groeber, Michael A.</dc:creator>
  <cp:lastModifiedBy>Groeber, Michael A.</cp:lastModifiedBy>
  <cp:revision>3</cp:revision>
  <dcterms:created xsi:type="dcterms:W3CDTF">2021-08-26T03:45:00Z</dcterms:created>
  <dcterms:modified xsi:type="dcterms:W3CDTF">2021-08-26T03:46:00Z</dcterms:modified>
</cp:coreProperties>
</file>