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D3 measurements state granularity and startup assumptions.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Qualify and compare C, C4 and B. H(G) is only a possible future enhancement.</w:t>
            </w:r>
          </w:p>
        </w:tc>
        <w:tc>
          <w:p>
            <w:r>
              <w:rPr/>
              <w:t xml:space="preserve">Open selection among three generic candidates.</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Open ABI selection: C, C4 and B</w:t>
      </w:r>
    </w:p>
    <w:p>
      <w:pPr>
        <w:pStyle w:val="Heading3"/>
      </w:pPr>
      <w:r>
        <w:rPr/>
        <w:t xml:space="preserve">Candidate set and specification</w:t>
      </w:r>
    </w:p>
    <w:p>
      <w:r>
        <w:rPr/>
        <w:t xml:space="preserve">The user directed on 11 September 2026 that H(G) be ignored except as a possible future enhancement. D3 selects among C, C4 and B. No Stage 0 or Stage 1 prerequisite, mandatory experiment or acceptance gate requires H(G). Its earlier design and thresholds remain historical; reconsideration would be a separately scoped future decision.</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Take all three candidates through the correctness corpus before their baseline measurements.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 before timing</w:t>
      </w:r>
    </w:p>
    <w:p>
      <w:r>
        <w:rPr/>
        <w:t xml:space="preserve">abi/dynamic-call.v0 must define the following for each candidate before timing.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Measurement and decision rule</w:t>
      </w:r>
    </w:p>
    <w:p>
      <w:r>
        <w:rPr/>
        <w:t xml:space="preserve">After all three candidates pass correctness, measure the fixed workloads with direct and indirect calls, closures, optional/rest/keyword binding, APPLY, multiple values, recursion, cross-arity tail calls and first-call installation. Keep cold and warm paths separate; record engine/version/tier, variation, root stores/reloads, code/adapter bytes, table slots, compilation/installation latency and per-Worker resources.</w:t>
      </w:r>
    </w:p>
    <w:p>
      <w:r>
        <w:rPr/>
        <w:t xml:space="preserve">Each recommendation states its module granularity, eager/lazy boundary, weighted call distribution and Worker counts. Compare same-instance and cross-instance dispatch and test whether granularity changes the ABI ranking under the </w:t>
      </w:r>
      <w:hyperlink r:id="rId2">
        <w:r>
          <w:rPr>
            <w:color w:val="175C91"/>
            <w:u w:val="single"/>
          </w:rPr>
          <w:t xml:space="preserve">product-risk plan</w:t>
        </w:r>
      </w:hyperlink>
      <w:r>
        <w:rPr/>
        <w:t xml:space="preserve">. Stage 1 finalizes production packaging and repeats affected measurements if it changes the recommendation's basis.</w:t>
      </w:r>
    </w:p>
    <w:p>
      <w:r>
        <w:rPr/>
        <w:t xml:space="preserve">Use stage0/benchmarks.json version 2 for the predeclared trial counts, confidence intervals and simplicity order. Freeze its digest and the representative workload/granularity matrix before selection measurements. Prefer the simplest candidate within the confidence-bound rule; record no selection if correctness, uncertainty or required product evidence is unresolved. Three arguments is a native precedent, not a privileged Wasm optimum. [18]</w:t>
      </w:r>
    </w:p>
    <w:p>
      <w:r>
        <w:rPr/>
        <w:t xml:space="preserve">Artifacts: versioned C/C4/B ABI descriptions, generic-entry/stub metadata, the D7 correctness/rejection inventory and all 24 candidate/workload measurement records. Stage 1 repeats the chosen contract through generated code; hand-built results do not certify pass 2. Revisit the ABI when generated correctness or representative measurements overturn its recorded basis. [LL03, LL05, LL21, LL22]</w:t>
      </w:r>
    </w:p>
    <w:p>
      <w:r>
        <w:rPr/>
        <w:t xml:space="preserve">The </w:t>
      </w:r>
      <w:hyperlink r:id="rId3">
        <w:r>
          <w:rPr>
            <w:color w:val="175C91"/>
            <w:u w:val="single"/>
          </w:rPr>
          <w:t xml:space="preserve">dynamic-call protocol v0</w:t>
        </w:r>
      </w:hyperlink>
      <w:r>
        <w:rPr/>
        <w:t xml:space="preserve"> specifies the hand-built C/C4/B experiment, including stack/result ownership and typed installation. Its eighteen correctness records have been independently reviewed and accepted within the </w:t>
      </w:r>
      <w:hyperlink r:id="rId4">
        <w:r>
          <w:rPr>
            <w:color w:val="175C91"/>
            <w:u w:val="single"/>
          </w:rPr>
          <w:t xml:space="preserve">fourth-audit scope</w:t>
        </w:r>
      </w:hyperlink>
      <w:r>
        <w:rPr/>
        <w:t xml:space="preserve">; they do not select D3. The isolated </w:t>
      </w:r>
      <w:hyperlink r:id="rId5">
        <w:r>
          <w:rPr>
            <w:color w:val="175C91"/>
            <w:u w:val="single"/>
          </w:rPr>
          <w:t xml:space="preserve">measurement derivative</w:t>
        </w:r>
      </w:hyperlink>
      <w:r>
        <w:rPr/>
        <w:t xml:space="preserve"> now supplies exploratory baseline-tier timings across three packaging choices and a new unreviewed S0-LL21-a execution; representative selection evidence remains open.</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6">
        <w:r>
          <w:rPr>
            <w:color w:val="175C91"/>
            <w:u w:val="single"/>
          </w:rPr>
          <w:t xml:space="preserve">evidence index</w:t>
        </w:r>
      </w:hyperlink>
      <w:r>
        <w:rPr/>
        <w:t xml:space="preserve"> retains the originals and the </w:t>
      </w:r>
      <w:hyperlink r:id="rId7">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second-host reproducibility is a separate test.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8">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S0-LL08-a/b/c</w:t>
            </w:r>
          </w:p>
        </w:tc>
        <w:tc>
          <w:p>
            <w:r>
              <w:rPr/>
              <w:t xml:space="preserve">a: validate the actual registration patch in clean host sessions with target state set before reading. b: compare evaluated acode IDs/flags and reserved slots under R6a. c: repeat the pinned U1 macOS x86-64 baseline on a second host and compare retained digests under R6 normalization, separately from target-state proof and native behavior. This supersedes the unexecuted H1/E5 ARM64 reproduction slice because U1 lacks that backend; history/changes.md records the scope change. H1 evidence remains historical.</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profile's suspension path. S0-CONTRACTS-a reviews the complete versioned layout, frame, allocation/root/TCR, C-boundary and ownership contracts against their executed fixtures; the initial layout subset is insufficient. S0-ABI-selection records the complete ordered experiment, all measurement IDs from stage0/measurement-inventory.json, confidence intervals, resource budgets and the selected/rejected candidate rationale. None is replaced by passing a limited PROBE ID.</w:t>
      </w:r>
    </w:p>
    <w:p>
      <w:r>
        <w:rPr/>
        <w:t xml:space="preserve">D3 benchmarks use 24 S0-ABI-&lt;candidate&gt;-&lt;workload&gt; identifiers linked to LL05/LL20/LL21 correctness prerequisites. Inventory phases are C/C4/B correctness followed by their baseline measurements. Record the candidate, adapter/stub counts, VSP/MV protocol, granularity, call distribution, engine/tier and budgets. Keep cold and warm paths separate. Correctness failure makes a candidate ineligible for selection. H(G) has no required inventory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D3 selection, the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9">
        <w:r>
          <w:rPr>
            <w:color w:val="175C91"/>
            <w:u w:val="single"/>
          </w:rPr>
          <w:t xml:space="preserve">x8632-arch.lisp</w:t>
        </w:r>
      </w:hyperlink>
    </w:p>
    <w:p>
      <w:r>
        <w:rPr/>
        <w:t xml:space="preserve">[2] C cons layout and accessors CDR then CAR in struct cons; untagged field access. Constructor order is a separate Lisp contract. </w:t>
      </w:r>
      <w:hyperlink r:id="rId10">
        <w:r>
          <w:rPr>
            <w:color w:val="175C91"/>
            <w:u w:val="single"/>
          </w:rPr>
          <w:t xml:space="preserve">constants.h</w:t>
        </w:r>
      </w:hyperlink>
      <w:r>
        <w:rPr/>
        <w:t xml:space="preserve"> · </w:t>
      </w:r>
      <w:hyperlink r:id="rId11">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2">
        <w:r>
          <w:rPr>
            <w:color w:val="175C91"/>
            <w:u w:val="single"/>
          </w:rPr>
          <w:t xml:space="preserve">xx8632-fasload.lisp</w:t>
        </w:r>
      </w:hyperlink>
      <w:r>
        <w:rPr/>
        <w:t xml:space="preserve"> · </w:t>
      </w:r>
      <w:hyperlink r:id="rId13">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4">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5">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6">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7">
        <w:r>
          <w:rPr>
            <w:color w:val="175C91"/>
            <w:u w:val="single"/>
          </w:rPr>
          <w:t xml:space="preserve">Tail-call overview</w:t>
        </w:r>
      </w:hyperlink>
      <w:r>
        <w:rPr/>
        <w:t xml:space="preserve"> · </w:t>
      </w:r>
      <w:hyperlink r:id="rId14">
        <w:r>
          <w:rPr>
            <w:color w:val="175C91"/>
            <w:u w:val="single"/>
          </w:rPr>
          <w:t xml:space="preserve">Core validation</w:t>
        </w:r>
      </w:hyperlink>
    </w:p>
    <w:p>
      <w:r>
        <w:rPr/>
        <w:t xml:space="preserve">[8] CCL backend and native pass 2 Native argument-register conventions are comparison evidence, not a Wasm parameter limit. </w:t>
      </w:r>
      <w:hyperlink r:id="rId18">
        <w:r>
          <w:rPr>
            <w:color w:val="175C91"/>
            <w:u w:val="single"/>
          </w:rPr>
          <w:t xml:space="preserve">backend.lisp</w:t>
        </w:r>
      </w:hyperlink>
      <w:r>
        <w:rPr/>
        <w:t xml:space="preserve"> · </w:t>
      </w:r>
      <w:hyperlink r:id="rId19">
        <w:r>
          <w:rPr>
            <w:color w:val="175C91"/>
            <w:u w:val="single"/>
          </w:rPr>
          <w:t xml:space="preserve">x862.lisp</w:t>
        </w:r>
      </w:hyperlink>
    </w:p>
    <w:p>
      <w:r>
        <w:rPr/>
        <w:t xml:space="preserve">[9] LLVM WebAssembly linker Import/export and memory/table options; signature-mismatch warnings and trapping stubs; strict link policy. </w:t>
      </w:r>
      <w:hyperlink r:id="rId20">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1">
        <w:r>
          <w:rPr>
            <w:color w:val="175C91"/>
            <w:u w:val="single"/>
          </w:rPr>
          <w:t xml:space="preserve">gc-common.c</w:t>
        </w:r>
      </w:hyperlink>
      <w:r>
        <w:rPr/>
        <w:t xml:space="preserve"> · </w:t>
      </w:r>
      <w:hyperlink r:id="rId22">
        <w:r>
          <w:rPr>
            <w:color w:val="175C91"/>
            <w:u w:val="single"/>
          </w:rPr>
          <w:t xml:space="preserve">x86-gc.c</w:t>
        </w:r>
      </w:hyperlink>
      <w:r>
        <w:rPr/>
        <w:t xml:space="preserve"> · </w:t>
      </w:r>
      <w:hyperlink r:id="rId23">
        <w:r>
          <w:rPr>
            <w:color w:val="175C91"/>
            <w:u w:val="single"/>
          </w:rPr>
          <w:t xml:space="preserve">image.c</w:t>
        </w:r>
      </w:hyperlink>
      <w:r>
        <w:rPr/>
        <w:t xml:space="preserve"> · </w:t>
      </w:r>
      <w:hyperlink r:id="rId24">
        <w:r>
          <w:rPr>
            <w:color w:val="175C91"/>
            <w:u w:val="single"/>
          </w:rPr>
          <w:t xml:space="preserve">memory.c</w:t>
        </w:r>
      </w:hyperlink>
      <w:r>
        <w:rPr/>
        <w:t xml:space="preserve"> · </w:t>
      </w:r>
      <w:hyperlink r:id="rId25">
        <w:r>
          <w:rPr>
            <w:color w:val="175C91"/>
            <w:u w:val="single"/>
          </w:rPr>
          <w:t xml:space="preserve">thread_manager.c</w:t>
        </w:r>
      </w:hyperlink>
      <w:r>
        <w:rPr/>
        <w:t xml:space="preserve"> · </w:t>
      </w:r>
      <w:hyperlink r:id="rId26">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7">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28">
        <w:r>
          <w:rPr>
            <w:color w:val="175C91"/>
            <w:u w:val="single"/>
          </w:rPr>
          <w:t xml:space="preserve">Core: control instructions</w:t>
        </w:r>
      </w:hyperlink>
      <w:r>
        <w:rPr/>
        <w:t xml:space="preserve"> · </w:t>
      </w:r>
      <w:hyperlink r:id="rId14">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29">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0">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1">
        <w:r>
          <w:rPr>
            <w:color w:val="175C91"/>
            <w:u w:val="single"/>
          </w:rPr>
          <w:t xml:space="preserve">Lambda lists</w:t>
        </w:r>
      </w:hyperlink>
      <w:r>
        <w:rPr/>
        <w:t xml:space="preserve"> · </w:t>
      </w:r>
      <w:hyperlink r:id="rId32">
        <w:r>
          <w:rPr>
            <w:color w:val="175C91"/>
            <w:u w:val="single"/>
          </w:rPr>
          <w:t xml:space="preserve">FUNCALL</w:t>
        </w:r>
      </w:hyperlink>
      <w:r>
        <w:rPr/>
        <w:t xml:space="preserve"> · </w:t>
      </w:r>
      <w:hyperlink r:id="rId33">
        <w:r>
          <w:rPr>
            <w:color w:val="175C91"/>
            <w:u w:val="single"/>
          </w:rPr>
          <w:t xml:space="preserve">APPLY</w:t>
        </w:r>
      </w:hyperlink>
    </w:p>
    <w:p>
      <w:r>
        <w:rPr/>
        <w:t xml:space="preserve">[16] WebAssembly numeric semantics Floating-point operation and operand cases; result classification alone is not a CCL condition policy. </w:t>
      </w:r>
      <w:hyperlink r:id="rId34">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product-risk-plan.md" TargetMode="External" /><Relationship Id="rId3" Type="http://schemas.openxmlformats.org/officeDocument/2006/relationships/hyperlink" Target="abi/dynamic-call.v0.md" TargetMode="External" /><Relationship Id="rId4" Type="http://schemas.openxmlformats.org/officeDocument/2006/relationships/hyperlink" Target="stage0/project-acceptance.md" TargetMode="External" /><Relationship Id="rId5" Type="http://schemas.openxmlformats.org/officeDocument/2006/relationships/hyperlink" Target="stage0/abi-measurements.md" TargetMode="External" /><Relationship Id="rId6" Type="http://schemas.openxmlformats.org/officeDocument/2006/relationships/hyperlink" Target="evidence/index.json" TargetMode="External" /><Relationship Id="rId7" Type="http://schemas.openxmlformats.org/officeDocument/2006/relationships/hyperlink" Target="stage0/claude-review.md" TargetMode="External" /><Relationship Id="rId8" Type="http://schemas.openxmlformats.org/officeDocument/2006/relationships/hyperlink" Target="contracts/evidence-binding.md" TargetMode="External" /><Relationship Id="rId9" Type="http://schemas.openxmlformats.org/officeDocument/2006/relationships/hyperlink" Target="https://github.com/Clozure/ccl/blob/c994217adc56b3f8a564526cee4695893ac84d86/compiler/X86/X8632/x8632-arch.lisp" TargetMode="External" /><Relationship Id="rId10" Type="http://schemas.openxmlformats.org/officeDocument/2006/relationships/hyperlink" Target="https://github.com/Clozure/ccl/blob/c994217adc56b3f8a564526cee4695893ac84d86/lisp-kernel/constants.h" TargetMode="External" /><Relationship Id="rId11" Type="http://schemas.openxmlformats.org/officeDocument/2006/relationships/hyperlink" Target="https://github.com/Clozure/ccl/blob/c994217adc56b3f8a564526cee4695893ac84d86/lisp-kernel/macros.h" TargetMode="External" /><Relationship Id="rId12" Type="http://schemas.openxmlformats.org/officeDocument/2006/relationships/hyperlink" Target="https://github.com/Clozure/ccl/blob/c994217adc56b3f8a564526cee4695893ac84d86/xdump/xx8632-fasload.lisp" TargetMode="External" /><Relationship Id="rId13" Type="http://schemas.openxmlformats.org/officeDocument/2006/relationships/hyperlink" Target="https://github.com/Clozure/ccl/blob/c994217adc56b3f8a564526cee4695893ac84d86/compiler/ARM/arm-arch.lisp" TargetMode="External" /><Relationship Id="rId14" Type="http://schemas.openxmlformats.org/officeDocument/2006/relationships/hyperlink" Target="https://webassembly.github.io/spec/core/bikeshed/" TargetMode="External" /><Relationship Id="rId15" Type="http://schemas.openxmlformats.org/officeDocument/2006/relationships/hyperlink" Target="https://github.com/WebAssembly/threads/blob/main/proposals/threads/Overview.md#spec-changes" TargetMode="External" /><Relationship Id="rId16" Type="http://schemas.openxmlformats.org/officeDocument/2006/relationships/hyperlink" Target="https://github.com/WebAssembly/threads/blob/main/proposals/threads/Overview.md" TargetMode="External" /><Relationship Id="rId17" Type="http://schemas.openxmlformats.org/officeDocument/2006/relationships/hyperlink" Target="https://github.com/WebAssembly/tail-call/blob/main/proposals/tail-call/Overview.md" TargetMode="External" /><Relationship Id="rId18" Type="http://schemas.openxmlformats.org/officeDocument/2006/relationships/hyperlink" Target="https://github.com/Clozure/ccl/blob/4ca4df402e319789401cd33e680702e51ec601fc/compiler/backend.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lld.llvm.org/WebAssembly.html"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x86-gc.c" TargetMode="External" /><Relationship Id="rId23" Type="http://schemas.openxmlformats.org/officeDocument/2006/relationships/hyperlink" Target="https://github.com/Clozure/ccl/blob/4ca4df402e319789401cd33e680702e51ec601fc/lisp-kernel/image.c" TargetMode="External" /><Relationship Id="rId24" Type="http://schemas.openxmlformats.org/officeDocument/2006/relationships/hyperlink" Target="https://github.com/Clozure/ccl/blob/4ca4df402e319789401cd33e680702e51ec601fc/lisp-kernel/memory.c" TargetMode="External" /><Relationship Id="rId25" Type="http://schemas.openxmlformats.org/officeDocument/2006/relationships/hyperlink" Target="https://github.com/Clozure/ccl/blob/4ca4df402e319789401cd33e680702e51ec601fc/lisp-kernel/thread_manager.c" TargetMode="External" /><Relationship Id="rId26" Type="http://schemas.openxmlformats.org/officeDocument/2006/relationships/hyperlink" Target="https://github.com/Clozure/ccl/blob/4ca4df402e319789401cd33e680702e51ec601fc/lisp-kernel/imports.s" TargetMode="External" /><Relationship Id="rId27" Type="http://schemas.openxmlformats.org/officeDocument/2006/relationships/hyperlink" Target="https://github.com/Clozure/ccl/blob/4ca4df402e319789401cd33e680702e51ec601fc/compiler/X86/X8664/x8664-vinsns.lisp" TargetMode="External" /><Relationship Id="rId28" Type="http://schemas.openxmlformats.org/officeDocument/2006/relationships/hyperlink" Target="https://webassembly.github.io/spec/core/syntax/instructions.html" TargetMode="External" /><Relationship Id="rId29" Type="http://schemas.openxmlformats.org/officeDocument/2006/relationships/hyperlink" Target="https://github.com/WebAssembly/tool-conventions/blob/main/BasicCABI.md" TargetMode="External" /><Relationship Id="rId30" Type="http://schemas.openxmlformats.org/officeDocument/2006/relationships/hyperlink" Target="https://github.com/WebAssembly/tool-conventions/blob/main/Linking.md" TargetMode="External" /><Relationship Id="rId31" Type="http://schemas.openxmlformats.org/officeDocument/2006/relationships/hyperlink" Target="https://www.lispworks.com/documentation/HyperSpec/Body/03_da.htm" TargetMode="External" /><Relationship Id="rId32" Type="http://schemas.openxmlformats.org/officeDocument/2006/relationships/hyperlink" Target="https://www.lispworks.com/documentation/HyperSpec/Body/f_funcal.htm" TargetMode="External" /><Relationship Id="rId33" Type="http://schemas.openxmlformats.org/officeDocument/2006/relationships/hyperlink" Target="https://www.lispworks.com/documentation/HyperSpec/Body/f_apply.htm" TargetMode="External" /><Relationship Id="rId34" Type="http://schemas.openxmlformats.org/officeDocument/2006/relationships/hyperlink" Target="https://webassembly.github.io/spec/core/exec/numerics.html" TargetMode="External" /></Relationships>
</file>