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The dated 12 September amendment selects B by engineering judgment and defers comparative measurements; policy version 3 records that change.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Use B: all Lisp arguments on VSP, explicit self/count and the existing result protocol.</w:t>
            </w:r>
          </w:p>
        </w:tc>
        <w:tc>
          <w:p>
            <w:r>
              <w:rPr/>
              <w:t xml:space="preserve">Decided for implementation on simplicity grounds; comparative timing deferred.</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and lowering.</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Use B for implementation</w:t>
      </w:r>
    </w:p>
    <w:p>
      <w:pPr>
        <w:pStyle w:val="Heading3"/>
      </w:pPr>
      <w:r>
        <w:rPr/>
        <w:t xml:space="preserve">Candidate set and specification</w:t>
      </w:r>
    </w:p>
    <w:p>
      <w:r>
        <w:rPr/>
        <w:t xml:space="preserve">The </w:t>
      </w:r>
      <w:hyperlink r:id="rId2">
        <w:r>
          <w:rPr>
            <w:color w:val="175C91"/>
            <w:u w:val="single"/>
          </w:rPr>
          <w:t xml:space="preserve">12 September engineering decision</w:t>
        </w:r>
      </w:hyperlink>
      <w:r>
        <w:rPr/>
        <w:t xml:space="preserve"> selects B for implementation: one argument placement rule is simpler than splitting parameters and overflow arguments. The user directed the project to stop spending effort ranking near-equal exploratory timings. No speed superiority is claimed. C and C4 remain alternatives if generated code exposes a concrete problem. H(G) remains optional future work and gates no scheduled stage.</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All three candidates have passed the reviewed bounded correctness corpus; implement B.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w:t>
      </w:r>
    </w:p>
    <w:p>
      <w:r>
        <w:rPr/>
        <w:t xml:space="preserve">abi/dynamic-call.v0 defines the following for the hand-built candidates; generated B must preserve these contracts.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Engineering choice and future measurements</w:t>
      </w:r>
    </w:p>
    <w:p>
      <w:r>
        <w:rPr/>
        <w:t xml:space="preserve">Use B under the </w:t>
      </w:r>
      <w:hyperlink r:id="rId2">
        <w:r>
          <w:rPr>
            <w:color w:val="175C91"/>
            <w:u w:val="single"/>
          </w:rPr>
          <w:t xml:space="preserve">ABI choice</w:t>
        </w:r>
      </w:hyperlink>
      <w:r>
        <w:rPr/>
        <w:t xml:space="preserve"> and benchmark policy version 3. Its simpler argument placement and reviewed correctness justify implementation now. Comparative timings, sensitivity controls and additional comparison instrumentation are deferred. The old confidence-bound rule was not applied, and no candidate is declared statistically faster.</w:t>
      </w:r>
    </w:p>
    <w:p>
      <w:r>
        <w:rPr/>
        <w:t xml:space="preserve">The </w:t>
      </w:r>
      <w:hyperlink r:id="rId3">
        <w:r>
          <w:rPr>
            <w:color w:val="175C91"/>
            <w:u w:val="single"/>
          </w:rPr>
          <w:t xml:space="preserve">dynamic-call protocol v0</w:t>
        </w:r>
      </w:hyperlink>
      <w:r>
        <w:rPr/>
        <w:t xml:space="preserve"> and </w:t>
      </w:r>
      <w:hyperlink r:id="rId4">
        <w:r>
          <w:rPr>
            <w:color w:val="175C91"/>
            <w:u w:val="single"/>
          </w:rPr>
          <w:t xml:space="preserve">fourth-audit acceptance</w:t>
        </w:r>
      </w:hyperlink>
      <w:r>
        <w:rPr/>
        <w:t xml:space="preserve"> supply the bounded correctness basis. The </w:t>
      </w:r>
      <w:hyperlink r:id="rId5">
        <w:r>
          <w:rPr>
            <w:color w:val="175C91"/>
            <w:u w:val="single"/>
          </w:rPr>
          <w:t xml:space="preserve">measurement derivative</w:t>
        </w:r>
      </w:hyperlink>
      <w:r>
        <w:rPr/>
        <w:t xml:space="preserve"> and separately accepted S0-LL21-a case retain exploratory timing and identity-publication evidence. Original raw runs and policy version 2 are unchanged.</w:t>
      </w:r>
    </w:p>
    <w:p>
      <w:r>
        <w:rPr/>
        <w:t xml:space="preserve">Stage 1 confirms B through generated code and determines production packaging. Preserve roots, logical frames, result ownership, tail cleanup, conditions and entry/stub roles. Reconsider the ABI only for a demonstrated generated-code or representative performance problem. If comparisons are reopened, first validate sensitivity and freeze representative weights, granularity, engine/tier and metrics; those tasks do not block implementation now.</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6">
        <w:r>
          <w:rPr>
            <w:color w:val="175C91"/>
            <w:u w:val="single"/>
          </w:rPr>
          <w:t xml:space="preserve">evidence index</w:t>
        </w:r>
      </w:hyperlink>
      <w:r>
        <w:rPr/>
        <w:t xml:space="preserve"> retains the originals and the </w:t>
      </w:r>
      <w:hyperlink r:id="rId7">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second-host reproducibility is a separate test.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8">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S0-LL08-a/b/c</w:t>
            </w:r>
          </w:p>
        </w:tc>
        <w:tc>
          <w:p>
            <w:r>
              <w:rPr/>
              <w:t xml:space="preserve">a: validate the actual registration patch in clean host sessions with target state set before reading. b: compare evaluated acode IDs/flags and reserved slots under R6a. c: repeat the pinned U1 macOS x86-64 baseline on a second host and compare retained digests under R6 normalization, separately from target-state proof and native behavior. This supersedes the unexecuted H1/E5 ARM64 reproduction slice because U1 lacks that backend; history/changes.md records the scope change. H1 evidence remains historical.</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Validate the actual qualified-compiler joined census and conservative closure under contracts/census.md; include all phases, reviewed seeds, unknown edges, required initializers and external trace reconciliation.</w:t>
            </w:r>
          </w:p>
        </w:tc>
      </w:tr>
      <w:tr>
        <w:tc>
          <w:p>
            <w:r>
              <w:rPr/>
              <w:t xml:space="preserve">LL15 S0-LL15-c</w:t>
            </w:r>
          </w:p>
        </w:tc>
        <w:tc>
          <w:p>
            <w:r>
              <w:rPr/>
              <w:t xml:space="preserve">Independently specified missing-node/edge/seed, concealed unknown-call and cyclic initializer mutants must be rejected by the instrumentation and gate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 suspension path. S0-CONTRACTS-a reviews complete versioned layout, frame, allocation/root/TCR, C-boundary and ownership contracts against executed fixtures. S0-ABI-selection now records the B engineering choice, reviewed correctness references, stated limits and reversal criteria. It no longer requires comparative timing; its formal decision evidence remains outstanding. None is replaced by passing a limited PROBE ID.</w:t>
      </w:r>
    </w:p>
    <w:p>
      <w:r>
        <w:rPr/>
        <w:t xml:space="preserve">The 24 S0-ABI-&lt;candidate&gt;-&lt;workload&gt; identifiers remain in the optional comparison worklist, with original runs preserved and no row promoted to qualified evidence. They are not required for Stage 0 under the 12 September policy change. Dedicated-host correctness/progress deadlines remain unchanged. Future comparisons, if justified, must charge the complete protocol and keep cold/warm paths and actual packaging costs explicit. H(G) has no required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The formal B decision evidence,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9">
        <w:r>
          <w:rPr>
            <w:color w:val="175C91"/>
            <w:u w:val="single"/>
          </w:rPr>
          <w:t xml:space="preserve">x8632-arch.lisp</w:t>
        </w:r>
      </w:hyperlink>
    </w:p>
    <w:p>
      <w:r>
        <w:rPr/>
        <w:t xml:space="preserve">[2] C cons layout and accessors CDR then CAR in struct cons; untagged field access. Constructor order is a separate Lisp contract. </w:t>
      </w:r>
      <w:hyperlink r:id="rId10">
        <w:r>
          <w:rPr>
            <w:color w:val="175C91"/>
            <w:u w:val="single"/>
          </w:rPr>
          <w:t xml:space="preserve">constants.h</w:t>
        </w:r>
      </w:hyperlink>
      <w:r>
        <w:rPr/>
        <w:t xml:space="preserve"> · </w:t>
      </w:r>
      <w:hyperlink r:id="rId11">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2">
        <w:r>
          <w:rPr>
            <w:color w:val="175C91"/>
            <w:u w:val="single"/>
          </w:rPr>
          <w:t xml:space="preserve">xx8632-fasload.lisp</w:t>
        </w:r>
      </w:hyperlink>
      <w:r>
        <w:rPr/>
        <w:t xml:space="preserve"> · </w:t>
      </w:r>
      <w:hyperlink r:id="rId13">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14">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15">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16">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17">
        <w:r>
          <w:rPr>
            <w:color w:val="175C91"/>
            <w:u w:val="single"/>
          </w:rPr>
          <w:t xml:space="preserve">Tail-call overview</w:t>
        </w:r>
      </w:hyperlink>
      <w:r>
        <w:rPr/>
        <w:t xml:space="preserve"> · </w:t>
      </w:r>
      <w:hyperlink r:id="rId14">
        <w:r>
          <w:rPr>
            <w:color w:val="175C91"/>
            <w:u w:val="single"/>
          </w:rPr>
          <w:t xml:space="preserve">Core validation</w:t>
        </w:r>
      </w:hyperlink>
    </w:p>
    <w:p>
      <w:r>
        <w:rPr/>
        <w:t xml:space="preserve">[8] CCL backend and native pass 2 Native argument-register conventions are comparison evidence, not a Wasm parameter limit. </w:t>
      </w:r>
      <w:hyperlink r:id="rId18">
        <w:r>
          <w:rPr>
            <w:color w:val="175C91"/>
            <w:u w:val="single"/>
          </w:rPr>
          <w:t xml:space="preserve">backend.lisp</w:t>
        </w:r>
      </w:hyperlink>
      <w:r>
        <w:rPr/>
        <w:t xml:space="preserve"> · </w:t>
      </w:r>
      <w:hyperlink r:id="rId19">
        <w:r>
          <w:rPr>
            <w:color w:val="175C91"/>
            <w:u w:val="single"/>
          </w:rPr>
          <w:t xml:space="preserve">x862.lisp</w:t>
        </w:r>
      </w:hyperlink>
    </w:p>
    <w:p>
      <w:r>
        <w:rPr/>
        <w:t xml:space="preserve">[9] LLVM WebAssembly linker Import/export and memory/table options; signature-mismatch warnings and trapping stubs; strict link policy. </w:t>
      </w:r>
      <w:hyperlink r:id="rId20">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1">
        <w:r>
          <w:rPr>
            <w:color w:val="175C91"/>
            <w:u w:val="single"/>
          </w:rPr>
          <w:t xml:space="preserve">gc-common.c</w:t>
        </w:r>
      </w:hyperlink>
      <w:r>
        <w:rPr/>
        <w:t xml:space="preserve"> · </w:t>
      </w:r>
      <w:hyperlink r:id="rId22">
        <w:r>
          <w:rPr>
            <w:color w:val="175C91"/>
            <w:u w:val="single"/>
          </w:rPr>
          <w:t xml:space="preserve">x86-gc.c</w:t>
        </w:r>
      </w:hyperlink>
      <w:r>
        <w:rPr/>
        <w:t xml:space="preserve"> · </w:t>
      </w:r>
      <w:hyperlink r:id="rId23">
        <w:r>
          <w:rPr>
            <w:color w:val="175C91"/>
            <w:u w:val="single"/>
          </w:rPr>
          <w:t xml:space="preserve">image.c</w:t>
        </w:r>
      </w:hyperlink>
      <w:r>
        <w:rPr/>
        <w:t xml:space="preserve"> · </w:t>
      </w:r>
      <w:hyperlink r:id="rId24">
        <w:r>
          <w:rPr>
            <w:color w:val="175C91"/>
            <w:u w:val="single"/>
          </w:rPr>
          <w:t xml:space="preserve">memory.c</w:t>
        </w:r>
      </w:hyperlink>
      <w:r>
        <w:rPr/>
        <w:t xml:space="preserve"> · </w:t>
      </w:r>
      <w:hyperlink r:id="rId25">
        <w:r>
          <w:rPr>
            <w:color w:val="175C91"/>
            <w:u w:val="single"/>
          </w:rPr>
          <w:t xml:space="preserve">thread_manager.c</w:t>
        </w:r>
      </w:hyperlink>
      <w:r>
        <w:rPr/>
        <w:t xml:space="preserve"> · </w:t>
      </w:r>
      <w:hyperlink r:id="rId26">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27">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28">
        <w:r>
          <w:rPr>
            <w:color w:val="175C91"/>
            <w:u w:val="single"/>
          </w:rPr>
          <w:t xml:space="preserve">Core: control instructions</w:t>
        </w:r>
      </w:hyperlink>
      <w:r>
        <w:rPr/>
        <w:t xml:space="preserve"> · </w:t>
      </w:r>
      <w:hyperlink r:id="rId14">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29">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0">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1">
        <w:r>
          <w:rPr>
            <w:color w:val="175C91"/>
            <w:u w:val="single"/>
          </w:rPr>
          <w:t xml:space="preserve">Lambda lists</w:t>
        </w:r>
      </w:hyperlink>
      <w:r>
        <w:rPr/>
        <w:t xml:space="preserve"> · </w:t>
      </w:r>
      <w:hyperlink r:id="rId32">
        <w:r>
          <w:rPr>
            <w:color w:val="175C91"/>
            <w:u w:val="single"/>
          </w:rPr>
          <w:t xml:space="preserve">FUNCALL</w:t>
        </w:r>
      </w:hyperlink>
      <w:r>
        <w:rPr/>
        <w:t xml:space="preserve"> · </w:t>
      </w:r>
      <w:hyperlink r:id="rId33">
        <w:r>
          <w:rPr>
            <w:color w:val="175C91"/>
            <w:u w:val="single"/>
          </w:rPr>
          <w:t xml:space="preserve">APPLY</w:t>
        </w:r>
      </w:hyperlink>
    </w:p>
    <w:p>
      <w:r>
        <w:rPr/>
        <w:t xml:space="preserve">[16] WebAssembly numeric semantics Floating-point operation and operand cases; result classification alone is not a CCL condition policy. </w:t>
      </w:r>
      <w:hyperlink r:id="rId34">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choice.md" TargetMode="External" /><Relationship Id="rId3" Type="http://schemas.openxmlformats.org/officeDocument/2006/relationships/hyperlink" Target="abi/dynamic-call.v0.md" TargetMode="External" /><Relationship Id="rId4" Type="http://schemas.openxmlformats.org/officeDocument/2006/relationships/hyperlink" Target="stage0/project-acceptance.md" TargetMode="External" /><Relationship Id="rId5" Type="http://schemas.openxmlformats.org/officeDocument/2006/relationships/hyperlink" Target="stage0/abi-measurements.md" TargetMode="External" /><Relationship Id="rId6" Type="http://schemas.openxmlformats.org/officeDocument/2006/relationships/hyperlink" Target="evidence/index.json" TargetMode="External" /><Relationship Id="rId7" Type="http://schemas.openxmlformats.org/officeDocument/2006/relationships/hyperlink" Target="stage0/claude-review.md" TargetMode="External" /><Relationship Id="rId8" Type="http://schemas.openxmlformats.org/officeDocument/2006/relationships/hyperlink" Target="contracts/evidence-binding.md" TargetMode="External" /><Relationship Id="rId9" Type="http://schemas.openxmlformats.org/officeDocument/2006/relationships/hyperlink" Target="https://github.com/Clozure/ccl/blob/c994217adc56b3f8a564526cee4695893ac84d86/compiler/X86/X8632/x8632-arch.lisp" TargetMode="External" /><Relationship Id="rId10" Type="http://schemas.openxmlformats.org/officeDocument/2006/relationships/hyperlink" Target="https://github.com/Clozure/ccl/blob/c994217adc56b3f8a564526cee4695893ac84d86/lisp-kernel/constants.h" TargetMode="External" /><Relationship Id="rId11" Type="http://schemas.openxmlformats.org/officeDocument/2006/relationships/hyperlink" Target="https://github.com/Clozure/ccl/blob/c994217adc56b3f8a564526cee4695893ac84d86/lisp-kernel/macros.h" TargetMode="External" /><Relationship Id="rId12" Type="http://schemas.openxmlformats.org/officeDocument/2006/relationships/hyperlink" Target="https://github.com/Clozure/ccl/blob/c994217adc56b3f8a564526cee4695893ac84d86/xdump/xx8632-fasload.lisp" TargetMode="External" /><Relationship Id="rId13" Type="http://schemas.openxmlformats.org/officeDocument/2006/relationships/hyperlink" Target="https://github.com/Clozure/ccl/blob/c994217adc56b3f8a564526cee4695893ac84d86/compiler/ARM/arm-arch.lisp" TargetMode="External" /><Relationship Id="rId14" Type="http://schemas.openxmlformats.org/officeDocument/2006/relationships/hyperlink" Target="https://webassembly.github.io/spec/core/bikeshed/" TargetMode="External" /><Relationship Id="rId15" Type="http://schemas.openxmlformats.org/officeDocument/2006/relationships/hyperlink" Target="https://github.com/WebAssembly/threads/blob/main/proposals/threads/Overview.md#spec-changes" TargetMode="External" /><Relationship Id="rId16" Type="http://schemas.openxmlformats.org/officeDocument/2006/relationships/hyperlink" Target="https://github.com/WebAssembly/threads/blob/main/proposals/threads/Overview.md" TargetMode="External" /><Relationship Id="rId17" Type="http://schemas.openxmlformats.org/officeDocument/2006/relationships/hyperlink" Target="https://github.com/WebAssembly/tail-call/blob/main/proposals/tail-call/Overview.md" TargetMode="External" /><Relationship Id="rId18" Type="http://schemas.openxmlformats.org/officeDocument/2006/relationships/hyperlink" Target="https://github.com/Clozure/ccl/blob/4ca4df402e319789401cd33e680702e51ec601fc/compiler/backend.lisp" TargetMode="External" /><Relationship Id="rId19" Type="http://schemas.openxmlformats.org/officeDocument/2006/relationships/hyperlink" Target="https://github.com/Clozure/ccl/blob/4ca4df402e319789401cd33e680702e51ec601fc/compiler/X86/x862.lisp" TargetMode="External" /><Relationship Id="rId20" Type="http://schemas.openxmlformats.org/officeDocument/2006/relationships/hyperlink" Target="https://lld.llvm.org/WebAssembly.html" TargetMode="External" /><Relationship Id="rId21" Type="http://schemas.openxmlformats.org/officeDocument/2006/relationships/hyperlink" Target="https://github.com/Clozure/ccl/blob/4ca4df402e319789401cd33e680702e51ec601fc/lisp-kernel/gc-common.c" TargetMode="External" /><Relationship Id="rId22" Type="http://schemas.openxmlformats.org/officeDocument/2006/relationships/hyperlink" Target="https://github.com/Clozure/ccl/blob/4ca4df402e319789401cd33e680702e51ec601fc/lisp-kernel/x86-gc.c" TargetMode="External" /><Relationship Id="rId23" Type="http://schemas.openxmlformats.org/officeDocument/2006/relationships/hyperlink" Target="https://github.com/Clozure/ccl/blob/4ca4df402e319789401cd33e680702e51ec601fc/lisp-kernel/image.c" TargetMode="External" /><Relationship Id="rId24" Type="http://schemas.openxmlformats.org/officeDocument/2006/relationships/hyperlink" Target="https://github.com/Clozure/ccl/blob/4ca4df402e319789401cd33e680702e51ec601fc/lisp-kernel/memory.c" TargetMode="External" /><Relationship Id="rId25" Type="http://schemas.openxmlformats.org/officeDocument/2006/relationships/hyperlink" Target="https://github.com/Clozure/ccl/blob/4ca4df402e319789401cd33e680702e51ec601fc/lisp-kernel/thread_manager.c" TargetMode="External" /><Relationship Id="rId26" Type="http://schemas.openxmlformats.org/officeDocument/2006/relationships/hyperlink" Target="https://github.com/Clozure/ccl/blob/4ca4df402e319789401cd33e680702e51ec601fc/lisp-kernel/imports.s" TargetMode="External" /><Relationship Id="rId27" Type="http://schemas.openxmlformats.org/officeDocument/2006/relationships/hyperlink" Target="https://github.com/Clozure/ccl/blob/4ca4df402e319789401cd33e680702e51ec601fc/compiler/X86/X8664/x8664-vinsns.lisp" TargetMode="External" /><Relationship Id="rId28" Type="http://schemas.openxmlformats.org/officeDocument/2006/relationships/hyperlink" Target="https://webassembly.github.io/spec/core/syntax/instructions.html" TargetMode="External" /><Relationship Id="rId29" Type="http://schemas.openxmlformats.org/officeDocument/2006/relationships/hyperlink" Target="https://github.com/WebAssembly/tool-conventions/blob/main/BasicCABI.md" TargetMode="External" /><Relationship Id="rId30" Type="http://schemas.openxmlformats.org/officeDocument/2006/relationships/hyperlink" Target="https://github.com/WebAssembly/tool-conventions/blob/main/Linking.md" TargetMode="External" /><Relationship Id="rId31" Type="http://schemas.openxmlformats.org/officeDocument/2006/relationships/hyperlink" Target="https://www.lispworks.com/documentation/HyperSpec/Body/03_da.htm" TargetMode="External" /><Relationship Id="rId32" Type="http://schemas.openxmlformats.org/officeDocument/2006/relationships/hyperlink" Target="https://www.lispworks.com/documentation/HyperSpec/Body/f_funcal.htm" TargetMode="External" /><Relationship Id="rId33" Type="http://schemas.openxmlformats.org/officeDocument/2006/relationships/hyperlink" Target="https://www.lispworks.com/documentation/HyperSpec/Body/f_apply.htm" TargetMode="External" /><Relationship Id="rId34" Type="http://schemas.openxmlformats.org/officeDocument/2006/relationships/hyperlink" Target="https://webassembly.github.io/spec/core/exec/numerics.html" TargetMode="External" /></Relationships>
</file>