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p>
      <w:pPr>
        <w:pStyle w:val="Heading1"/>
      </w:pPr>
      <w:r>
        <w:rPr/>
        <w:t xml:space="preserve">15 September 2026 — LL15 instrument qualification</w:t>
      </w:r>
    </w:p>
    <w:p>
      <w:r>
        <w:rPr/>
        <w:t xml:space="preserve">The user authorized the on-demand census policy: “I will approve the change, so</w:t>
      </w:r>
    </w:p>
    <w:p>
      <w:r>
        <w:rPr/>
        <w:t xml:space="preserve">treat it as approved”. Stage 0 LL15-b/c qualify retained native observations,</w:t>
      </w:r>
    </w:p>
    <w:p>
      <w:r>
        <w:rPr/>
        <w:t xml:space="preserve">a reviewed seed recipe and explicit transitive worklist, identity-bound queries,</w:t>
      </w:r>
    </w:p>
    <w:p>
      <w:r>
        <w:rPr/>
        <w:t xml:space="preserve">and scenario-specific native call-site witnesses with independent controls.</w:t>
      </w:r>
    </w:p>
    <w:p>
      <w:r>
        <w:rPr/>
        <w:t xml:space="preserve">Exhaustively bounding every dynamic native callee is no longer a Stage 0</w:t>
      </w:r>
    </w:p>
    <w:p>
      <w:r>
        <w:rPr/>
        <w:t xml:space="preserve">prerequisite. The rationale is to answer concrete Stage 1 questions from mature</w:t>
      </w:r>
    </w:p>
    <w:p>
      <w:r>
        <w:rPr/>
        <w:t xml:space="preserve">captures without an unbounded static-resolution effort. Witnesses remain</w:t>
      </w:r>
    </w:p>
    <w:p>
      <w:r>
        <w:rPr/>
        <w:t xml:space="preserve">observations; unknowns remain work. The conservative closure checker and generated</w:t>
      </w:r>
    </w:p>
    <w:p>
      <w:r>
        <w:rPr/>
        <w:t xml:space="preserve">bootstrap dependency/initializer obligations are unchanged. This decision grants</w:t>
      </w:r>
    </w:p>
    <w:p>
      <w:r>
        <w:rPr/>
        <w:t xml:space="preserve">no result acceptance or functional shared-compiler editing permission. The</w:t>
      </w:r>
    </w:p>
    <w:p>
      <w:hyperlink r:id="rId2">
        <w:r>
          <w:rPr>
            <w:color w:val="175C91"/>
            <w:u w:val="single"/>
          </w:rPr>
          <w:t xml:space="preserve">delivery and next qualification step</w:t>
        </w:r>
      </w:hyperlink>
      <w:r>
        <w:rPr/>
        <w:t xml:space="preserve"> name the</w:t>
      </w:r>
    </w:p>
    <w:p>
      <w:r>
        <w:rPr/>
        <w:t xml:space="preserve">remaining work; the criterion snapshots are retained in the evidence repository.</w:t>
      </w:r>
    </w:p>
    <w:p>
      <w:pPr>
        <w:pStyle w:val="Heading1"/>
      </w:pPr>
      <w:r>
        <w:rPr/>
        <w:t xml:space="preserve">16 September 2026 — D6 floating-point policy: the ARM model</w:t>
      </w:r>
    </w:p>
    <w:p>
      <w:r>
        <w:rPr/>
        <w:t xml:space="preserve">The user decided the floating-point compatibility choice D6 had left open:</w:t>
      </w:r>
    </w:p>
    <w:p>
      <w:r>
        <w:rPr/>
        <w:t xml:space="preserve">"Okay, then do what CCL did on ARM, plus whatever else is needed for WASM."</w:t>
      </w:r>
    </w:p>
    <w:p>
      <w:r>
        <w:rPr/>
        <w:t xml:space="preserve">Native CCL on ARM cannot trap on floating-point exceptions, so it keeps the</w:t>
      </w:r>
    </w:p>
    <w:p>
      <w:r>
        <w:rPr/>
        <w:t xml:space="preserve">logical enable mask in the TCR (</w:t>
      </w:r>
      <w:r>
        <w:rPr>
          <w:rFonts w:ascii="Consolas" w:hAnsi="Consolas"/>
        </w:rPr>
        <w:t xml:space="preserve">tcr.lisp_fpscr</w:t>
      </w:r>
      <w:r>
        <w:rPr/>
        <w:t xml:space="preserve">), stores only the rounding</w:t>
      </w:r>
    </w:p>
    <w:p>
      <w:r>
        <w:rPr/>
        <w:t xml:space="preserve">mode in hardware, and under float safety emits a check after each operation</w:t>
      </w:r>
    </w:p>
    <w:p>
      <w:r>
        <w:rPr/>
        <w:t xml:space="preserve">that ANDs the hardware's cumulative flags against the enabled mask and traps</w:t>
      </w:r>
    </w:p>
    <w:p>
      <w:r>
        <w:rPr/>
        <w:t xml:space="preserve">into the same condition classes x86 uses, in the order invalid, division by</w:t>
      </w:r>
    </w:p>
    <w:p>
      <w:r>
        <w:rPr/>
        <w:t xml:space="preserve">zero, overflow, underflow, inexact. The Wasm port adopts that model with the</w:t>
      </w:r>
    </w:p>
    <w:p>
      <w:r>
        <w:rPr/>
        <w:t xml:space="preserve">one difference Wasm forces: there are no hardware flags, so the status is</w:t>
      </w:r>
    </w:p>
    <w:p>
      <w:r>
        <w:rPr/>
        <w:t xml:space="preserve">computed by the detection rules in </w:t>
      </w:r>
      <w:hyperlink r:id="rId3">
        <w:r>
          <w:rPr>
            <w:color w:val="175C91"/>
            <w:u w:val="single"/>
          </w:rPr>
          <w:t xml:space="preserve">the specification</w:t>
        </w:r>
      </w:hyperlink>
      <w:r>
        <w:rPr/>
        <w:t xml:space="preserve">,</w:t>
      </w:r>
    </w:p>
    <w:p>
      <w:r>
        <w:rPr/>
        <w:t xml:space="preserve">which now records the policy, the emission rule, the condition mapping,</w:t>
      </w:r>
    </w:p>
    <w:p>
      <w:r>
        <w:rPr/>
        <w:t xml:space="preserve">signalling comparisons, the host-math limitation and the two deviations</w:t>
      </w:r>
    </w:p>
    <w:p>
      <w:r>
        <w:rPr/>
        <w:t xml:space="preserve">(nearest rounding only; underflow and inexact undetectable for host</w:t>
      </w:r>
    </w:p>
    <w:p>
      <w:r>
        <w:rPr/>
        <w:t xml:space="preserve">transcendental functions). The production TCR schema carries the mask as</w:t>
      </w:r>
    </w:p>
    <w:p>
      <w:r>
        <w:rPr>
          <w:rFonts w:ascii="Consolas" w:hAnsi="Consolas"/>
        </w:rPr>
        <w:t xml:space="preserve">fp_control</w:t>
      </w:r>
      <w:r>
        <w:rPr/>
        <w:t xml:space="preserve">. This decision does not measure the cost of the checks, which</w:t>
      </w:r>
    </w:p>
    <w:p>
      <w:r>
        <w:rPr/>
        <w:t xml:space="preserve">Stage 1 owes under D6, and does not accept any execution.</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lowering and, on 16 September, the floating-point policy (the ARM model); census under contract v0.2.</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4">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4">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5">
        <w:r>
          <w:rPr>
            <w:color w:val="175C91"/>
            <w:u w:val="single"/>
          </w:rPr>
          <w:t xml:space="preserve">dynamic-call protocol v0</w:t>
        </w:r>
      </w:hyperlink>
      <w:r>
        <w:rPr/>
        <w:t xml:space="preserve"> and </w:t>
      </w:r>
      <w:hyperlink r:id="rId6">
        <w:r>
          <w:rPr>
            <w:color w:val="175C91"/>
            <w:u w:val="single"/>
          </w:rPr>
          <w:t xml:space="preserve">fourth-audit acceptance</w:t>
        </w:r>
      </w:hyperlink>
      <w:r>
        <w:rPr/>
        <w:t xml:space="preserve"> supply the bounded correctness basis. The </w:t>
      </w:r>
      <w:hyperlink r:id="rId7">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r>
        <w:rPr/>
        <w:t xml:space="preserve">14 September 2026 clarification following the native-internals review: retain D1, B, D4 and D5. The hand-built copying collector establishes its recorded mechanisms; it does not select the production collector algorithm or qualify all native object semantics. The initial non-generational collector still owes moved-key/hash-cache correctness and separate dispositions for weak objects and GCTWA. The non-generational choice justifies omitting classified generational bookkeeping, not other store semantics. B does not eliminate roots outside the argument stack, and cooperative suspension requires complete publication at every collecting transition. The </w:t>
      </w:r>
      <w:hyperlink r:id="rId8">
        <w:r>
          <w:rPr>
            <w:color w:val="175C91"/>
            <w:u w:val="single"/>
          </w:rPr>
          <w:t xml:space="preserve">work plan</w:t>
        </w:r>
      </w:hyperlink>
      <w:r>
        <w:rPr/>
        <w:t xml:space="preserve"> schedules these existing census and generated-bootstrap obligations; no earlier evidence scope or acceptance disposition changes.</w:t>
      </w:r>
    </w:p>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9">
        <w:r>
          <w:rPr>
            <w:color w:val="175C91"/>
            <w:u w:val="single"/>
          </w:rPr>
          <w:t xml:space="preserve">evidence index</w:t>
        </w:r>
      </w:hyperlink>
      <w:r>
        <w:rPr/>
        <w:t xml:space="preserve"> retains the originals and the </w:t>
      </w:r>
      <w:hyperlink r:id="rId10">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r>
        <w:rPr/>
        <w:t xml:space="preserve">Decided 16 September 2026: the policy is the ARM model, recorded in the dated section above and in the specification's policy section. Checks are emitted under the same float-safety rule as ARM, so the unchecked path exists exactly where native CCL has it, not as a new compatibility choice. Cost measurement remains owed.</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the user retired the separate second-host test on 2026-09-13 (see </w:t>
      </w:r>
      <w:hyperlink r:id="rId11">
        <w:r>
          <w:rPr>
            <w:color w:val="175C91"/>
            <w:u w:val="single"/>
          </w:rPr>
          <w:t xml:space="preserve">the decision</w:t>
        </w:r>
      </w:hyperlink>
      <w:r>
        <w:rPr/>
        <w:t xml:space="preserve">).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12">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w:t>
            </w:r>
          </w:p>
        </w:tc>
        <w:tc>
          <w:p>
            <w:r>
              <w:rPr/>
              <w:t xml:space="preserve">a: validate the actual registration patch in clean host sessions with target state set before reading. b: compare evaluated acode IDs/flags and reserved slots under R6a.</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Qualify the retained native census instrument, reviewed seeds, transitive startup worklist with explicit unknowns, identity-bound queries and scenario-specific native call-site witnesses under contracts/census.md v0.2. No exhaustive native callee-bound claim.</w:t>
            </w:r>
          </w:p>
        </w:tc>
      </w:tr>
      <w:tr>
        <w:tc>
          <w:p>
            <w:r>
              <w:rPr/>
              <w:t xml:space="preserve">LL15 S0-LL15-c</w:t>
            </w:r>
          </w:p>
        </w:tc>
        <w:tc>
          <w:p>
            <w:r>
              <w:rPr/>
              <w:t xml:space="preserve">Independently reject missing required inputs/dependencies/seeds, concealed unknowns, wrong identities, witness-to-bound promotion, invalid initializer prerequisites and broken native witness semantics through the instrument publication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13">
        <w:r>
          <w:rPr>
            <w:color w:val="175C91"/>
            <w:u w:val="single"/>
          </w:rPr>
          <w:t xml:space="preserve">x8632-arch.lisp</w:t>
        </w:r>
      </w:hyperlink>
    </w:p>
    <w:p>
      <w:r>
        <w:rPr/>
        <w:t xml:space="preserve">[2] C cons layout and accessors CDR then CAR in struct cons; untagged field access. Constructor order is a separate Lisp contract. </w:t>
      </w:r>
      <w:hyperlink r:id="rId14">
        <w:r>
          <w:rPr>
            <w:color w:val="175C91"/>
            <w:u w:val="single"/>
          </w:rPr>
          <w:t xml:space="preserve">constants.h</w:t>
        </w:r>
      </w:hyperlink>
      <w:r>
        <w:rPr/>
        <w:t xml:space="preserve"> · </w:t>
      </w:r>
      <w:hyperlink r:id="rId15">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6">
        <w:r>
          <w:rPr>
            <w:color w:val="175C91"/>
            <w:u w:val="single"/>
          </w:rPr>
          <w:t xml:space="preserve">xx8632-fasload.lisp</w:t>
        </w:r>
      </w:hyperlink>
      <w:r>
        <w:rPr/>
        <w:t xml:space="preserve"> · </w:t>
      </w:r>
      <w:hyperlink r:id="rId17">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18">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19">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20">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21">
        <w:r>
          <w:rPr>
            <w:color w:val="175C91"/>
            <w:u w:val="single"/>
          </w:rPr>
          <w:t xml:space="preserve">Tail-call overview</w:t>
        </w:r>
      </w:hyperlink>
      <w:r>
        <w:rPr/>
        <w:t xml:space="preserve"> · </w:t>
      </w:r>
      <w:hyperlink r:id="rId18">
        <w:r>
          <w:rPr>
            <w:color w:val="175C91"/>
            <w:u w:val="single"/>
          </w:rPr>
          <w:t xml:space="preserve">Core validation</w:t>
        </w:r>
      </w:hyperlink>
    </w:p>
    <w:p>
      <w:r>
        <w:rPr/>
        <w:t xml:space="preserve">[8] CCL backend and native pass 2 Native argument-register conventions are comparison evidence, not a Wasm parameter limit. </w:t>
      </w:r>
      <w:hyperlink r:id="rId22">
        <w:r>
          <w:rPr>
            <w:color w:val="175C91"/>
            <w:u w:val="single"/>
          </w:rPr>
          <w:t xml:space="preserve">backend.lisp</w:t>
        </w:r>
      </w:hyperlink>
      <w:r>
        <w:rPr/>
        <w:t xml:space="preserve"> · </w:t>
      </w:r>
      <w:hyperlink r:id="rId23">
        <w:r>
          <w:rPr>
            <w:color w:val="175C91"/>
            <w:u w:val="single"/>
          </w:rPr>
          <w:t xml:space="preserve">x862.lisp</w:t>
        </w:r>
      </w:hyperlink>
    </w:p>
    <w:p>
      <w:r>
        <w:rPr/>
        <w:t xml:space="preserve">[9] LLVM WebAssembly linker Import/export and memory/table options; signature-mismatch warnings and trapping stubs; strict link policy. </w:t>
      </w:r>
      <w:hyperlink r:id="rId24">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5">
        <w:r>
          <w:rPr>
            <w:color w:val="175C91"/>
            <w:u w:val="single"/>
          </w:rPr>
          <w:t xml:space="preserve">gc-common.c</w:t>
        </w:r>
      </w:hyperlink>
      <w:r>
        <w:rPr/>
        <w:t xml:space="preserve"> · </w:t>
      </w:r>
      <w:hyperlink r:id="rId26">
        <w:r>
          <w:rPr>
            <w:color w:val="175C91"/>
            <w:u w:val="single"/>
          </w:rPr>
          <w:t xml:space="preserve">x86-gc.c</w:t>
        </w:r>
      </w:hyperlink>
      <w:r>
        <w:rPr/>
        <w:t xml:space="preserve"> · </w:t>
      </w:r>
      <w:hyperlink r:id="rId27">
        <w:r>
          <w:rPr>
            <w:color w:val="175C91"/>
            <w:u w:val="single"/>
          </w:rPr>
          <w:t xml:space="preserve">image.c</w:t>
        </w:r>
      </w:hyperlink>
      <w:r>
        <w:rPr/>
        <w:t xml:space="preserve"> · </w:t>
      </w:r>
      <w:hyperlink r:id="rId28">
        <w:r>
          <w:rPr>
            <w:color w:val="175C91"/>
            <w:u w:val="single"/>
          </w:rPr>
          <w:t xml:space="preserve">memory.c</w:t>
        </w:r>
      </w:hyperlink>
      <w:r>
        <w:rPr/>
        <w:t xml:space="preserve"> · </w:t>
      </w:r>
      <w:hyperlink r:id="rId29">
        <w:r>
          <w:rPr>
            <w:color w:val="175C91"/>
            <w:u w:val="single"/>
          </w:rPr>
          <w:t xml:space="preserve">thread_manager.c</w:t>
        </w:r>
      </w:hyperlink>
      <w:r>
        <w:rPr/>
        <w:t xml:space="preserve"> · </w:t>
      </w:r>
      <w:hyperlink r:id="rId30">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31">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32">
        <w:r>
          <w:rPr>
            <w:color w:val="175C91"/>
            <w:u w:val="single"/>
          </w:rPr>
          <w:t xml:space="preserve">Core: control instructions</w:t>
        </w:r>
      </w:hyperlink>
      <w:r>
        <w:rPr/>
        <w:t xml:space="preserve"> · </w:t>
      </w:r>
      <w:hyperlink r:id="rId18">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33">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4">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5">
        <w:r>
          <w:rPr>
            <w:color w:val="175C91"/>
            <w:u w:val="single"/>
          </w:rPr>
          <w:t xml:space="preserve">Lambda lists</w:t>
        </w:r>
      </w:hyperlink>
      <w:r>
        <w:rPr/>
        <w:t xml:space="preserve"> · </w:t>
      </w:r>
      <w:hyperlink r:id="rId36">
        <w:r>
          <w:rPr>
            <w:color w:val="175C91"/>
            <w:u w:val="single"/>
          </w:rPr>
          <w:t xml:space="preserve">FUNCALL</w:t>
        </w:r>
      </w:hyperlink>
      <w:r>
        <w:rPr/>
        <w:t xml:space="preserve"> · </w:t>
      </w:r>
      <w:hyperlink r:id="rId37">
        <w:r>
          <w:rPr>
            <w:color w:val="175C91"/>
            <w:u w:val="single"/>
          </w:rPr>
          <w:t xml:space="preserve">APPLY</w:t>
        </w:r>
      </w:hyperlink>
    </w:p>
    <w:p>
      <w:r>
        <w:rPr/>
        <w:t xml:space="preserve">[16] WebAssembly numeric semantics Floating-point operation and operand cases; result classification alone is not a CCL condition policy. </w:t>
      </w:r>
      <w:hyperlink r:id="rId38">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on-demand-census.md" TargetMode="External" /><Relationship Id="rId3" Type="http://schemas.openxmlformats.org/officeDocument/2006/relationships/hyperlink" Target="contracts/floating-point.v1.md" TargetMode="External" /><Relationship Id="rId4" Type="http://schemas.openxmlformats.org/officeDocument/2006/relationships/hyperlink" Target="stage0/abi-choice.md" TargetMode="External" /><Relationship Id="rId5" Type="http://schemas.openxmlformats.org/officeDocument/2006/relationships/hyperlink" Target="abi/dynamic-call.v0.md" TargetMode="External" /><Relationship Id="rId6" Type="http://schemas.openxmlformats.org/officeDocument/2006/relationships/hyperlink" Target="stage0/project-acceptance.md" TargetMode="External" /><Relationship Id="rId7" Type="http://schemas.openxmlformats.org/officeDocument/2006/relationships/hyperlink" Target="stage0/abi-measurements.md" TargetMode="External" /><Relationship Id="rId8" Type="http://schemas.openxmlformats.org/officeDocument/2006/relationships/hyperlink" Target="stage0/plan.md" TargetMode="External" /><Relationship Id="rId9" Type="http://schemas.openxmlformats.org/officeDocument/2006/relationships/hyperlink" Target="evidence/index.json" TargetMode="External" /><Relationship Id="rId10" Type="http://schemas.openxmlformats.org/officeDocument/2006/relationships/hyperlink" Target="stage0/claude-review.md" TargetMode="External" /><Relationship Id="rId11" Type="http://schemas.openxmlformats.org/officeDocument/2006/relationships/hyperlink" Target="stage0/second-mac-decision.md" TargetMode="External" /><Relationship Id="rId12" Type="http://schemas.openxmlformats.org/officeDocument/2006/relationships/hyperlink" Target="contracts/evidence-binding.md" TargetMode="External" /><Relationship Id="rId13" Type="http://schemas.openxmlformats.org/officeDocument/2006/relationships/hyperlink" Target="https://github.com/Clozure/ccl/blob/c994217adc56b3f8a564526cee4695893ac84d86/compiler/X86/X8632/x8632-arch.lisp" TargetMode="External" /><Relationship Id="rId14" Type="http://schemas.openxmlformats.org/officeDocument/2006/relationships/hyperlink" Target="https://github.com/Clozure/ccl/blob/c994217adc56b3f8a564526cee4695893ac84d86/lisp-kernel/constants.h" TargetMode="External" /><Relationship Id="rId15" Type="http://schemas.openxmlformats.org/officeDocument/2006/relationships/hyperlink" Target="https://github.com/Clozure/ccl/blob/c994217adc56b3f8a564526cee4695893ac84d86/lisp-kernel/macros.h" TargetMode="External" /><Relationship Id="rId16" Type="http://schemas.openxmlformats.org/officeDocument/2006/relationships/hyperlink" Target="https://github.com/Clozure/ccl/blob/c994217adc56b3f8a564526cee4695893ac84d86/xdump/xx8632-fasload.lisp" TargetMode="External" /><Relationship Id="rId17" Type="http://schemas.openxmlformats.org/officeDocument/2006/relationships/hyperlink" Target="https://github.com/Clozure/ccl/blob/c994217adc56b3f8a564526cee4695893ac84d86/compiler/ARM/arm-arch.lisp" TargetMode="External" /><Relationship Id="rId18" Type="http://schemas.openxmlformats.org/officeDocument/2006/relationships/hyperlink" Target="https://webassembly.github.io/spec/core/bikeshed/" TargetMode="External" /><Relationship Id="rId19" Type="http://schemas.openxmlformats.org/officeDocument/2006/relationships/hyperlink" Target="https://github.com/WebAssembly/threads/blob/main/proposals/threads/Overview.md#spec-changes" TargetMode="External" /><Relationship Id="rId20" Type="http://schemas.openxmlformats.org/officeDocument/2006/relationships/hyperlink" Target="https://github.com/WebAssembly/threads/blob/main/proposals/threads/Overview.md" TargetMode="External" /><Relationship Id="rId21" Type="http://schemas.openxmlformats.org/officeDocument/2006/relationships/hyperlink" Target="https://github.com/WebAssembly/tail-call/blob/main/proposals/tail-call/Overview.md" TargetMode="External" /><Relationship Id="rId22" Type="http://schemas.openxmlformats.org/officeDocument/2006/relationships/hyperlink" Target="https://github.com/Clozure/ccl/blob/4ca4df402e319789401cd33e680702e51ec601fc/compiler/backend.lisp" TargetMode="External" /><Relationship Id="rId23" Type="http://schemas.openxmlformats.org/officeDocument/2006/relationships/hyperlink" Target="https://github.com/Clozure/ccl/blob/4ca4df402e319789401cd33e680702e51ec601fc/compiler/X86/x862.lisp" TargetMode="External" /><Relationship Id="rId24" Type="http://schemas.openxmlformats.org/officeDocument/2006/relationships/hyperlink" Target="https://lld.llvm.org/WebAssembly.html" TargetMode="External" /><Relationship Id="rId25" Type="http://schemas.openxmlformats.org/officeDocument/2006/relationships/hyperlink" Target="https://github.com/Clozure/ccl/blob/4ca4df402e319789401cd33e680702e51ec601fc/lisp-kernel/gc-common.c" TargetMode="External" /><Relationship Id="rId26" Type="http://schemas.openxmlformats.org/officeDocument/2006/relationships/hyperlink" Target="https://github.com/Clozure/ccl/blob/4ca4df402e319789401cd33e680702e51ec601fc/lisp-kernel/x86-gc.c" TargetMode="External" /><Relationship Id="rId27" Type="http://schemas.openxmlformats.org/officeDocument/2006/relationships/hyperlink" Target="https://github.com/Clozure/ccl/blob/4ca4df402e319789401cd33e680702e51ec601fc/lisp-kernel/image.c" TargetMode="External" /><Relationship Id="rId28" Type="http://schemas.openxmlformats.org/officeDocument/2006/relationships/hyperlink" Target="https://github.com/Clozure/ccl/blob/4ca4df402e319789401cd33e680702e51ec601fc/lisp-kernel/memory.c" TargetMode="External" /><Relationship Id="rId29" Type="http://schemas.openxmlformats.org/officeDocument/2006/relationships/hyperlink" Target="https://github.com/Clozure/ccl/blob/4ca4df402e319789401cd33e680702e51ec601fc/lisp-kernel/thread_manager.c" TargetMode="External" /><Relationship Id="rId30" Type="http://schemas.openxmlformats.org/officeDocument/2006/relationships/hyperlink" Target="https://github.com/Clozure/ccl/blob/4ca4df402e319789401cd33e680702e51ec601fc/lisp-kernel/imports.s" TargetMode="External" /><Relationship Id="rId31" Type="http://schemas.openxmlformats.org/officeDocument/2006/relationships/hyperlink" Target="https://github.com/Clozure/ccl/blob/4ca4df402e319789401cd33e680702e51ec601fc/compiler/X86/X8664/x8664-vinsns.lisp" TargetMode="External" /><Relationship Id="rId32" Type="http://schemas.openxmlformats.org/officeDocument/2006/relationships/hyperlink" Target="https://webassembly.github.io/spec/core/syntax/instructions.html" TargetMode="External" /><Relationship Id="rId33" Type="http://schemas.openxmlformats.org/officeDocument/2006/relationships/hyperlink" Target="https://github.com/WebAssembly/tool-conventions/blob/main/BasicCABI.md" TargetMode="External" /><Relationship Id="rId34" Type="http://schemas.openxmlformats.org/officeDocument/2006/relationships/hyperlink" Target="https://github.com/WebAssembly/tool-conventions/blob/main/Linking.md" TargetMode="External" /><Relationship Id="rId35" Type="http://schemas.openxmlformats.org/officeDocument/2006/relationships/hyperlink" Target="https://www.lispworks.com/documentation/HyperSpec/Body/03_da.htm" TargetMode="External" /><Relationship Id="rId36" Type="http://schemas.openxmlformats.org/officeDocument/2006/relationships/hyperlink" Target="https://www.lispworks.com/documentation/HyperSpec/Body/f_funcal.htm" TargetMode="External" /><Relationship Id="rId37" Type="http://schemas.openxmlformats.org/officeDocument/2006/relationships/hyperlink" Target="https://www.lispworks.com/documentation/HyperSpec/Body/f_apply.htm" TargetMode="External" /><Relationship Id="rId38" Type="http://schemas.openxmlformats.org/officeDocument/2006/relationships/hyperlink" Target="https://webassembly.github.io/spec/core/exec/numerics.html" TargetMode="External" /></Relationships>
</file>