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3B568">
      <w:pPr>
        <w:jc w:val="center"/>
      </w:pPr>
      <w:r>
        <w:rPr>
          <w:b/>
          <w:sz w:val="36"/>
        </w:rPr>
        <w:t>Справка (Help)</w:t>
      </w:r>
    </w:p>
    <w:p w14:paraId="04ECABDA">
      <w:r>
        <w:rPr>
          <w:b/>
          <w:sz w:val="28"/>
        </w:rPr>
        <w:t>1. О приложении</w:t>
      </w:r>
    </w:p>
    <w:p w14:paraId="77D8D84D">
      <w:r>
        <w:rPr>
          <w:b/>
        </w:rPr>
        <w:t>Оценка стоимости недвижимости</w:t>
      </w:r>
      <w:r>
        <w:t xml:space="preserve"> — учебное приложение для прогнозирования стоимости объекта недвижимости по его характеристикам.</w:t>
      </w:r>
    </w:p>
    <w:p w14:paraId="52929BC7">
      <w:r>
        <w:t xml:space="preserve">Приложение построено на данных агрегатора </w:t>
      </w:r>
      <w:r>
        <w:rPr>
          <w:b/>
        </w:rPr>
        <w:t>Zingat</w:t>
      </w:r>
      <w:r>
        <w:t xml:space="preserve"> и предназначено для оценки стоимости объектов на рынке недвижимости Турции. Используемая выборка содержит объявления о продаже в турецких лирах (TRY) за </w:t>
      </w:r>
      <w:r>
        <w:rPr>
          <w:b/>
        </w:rPr>
        <w:t>2018–2019 годы</w:t>
      </w:r>
      <w:r>
        <w:t>.</w:t>
      </w:r>
    </w:p>
    <w:p w14:paraId="4F04B581">
      <w:r>
        <w:t>Приложение состоит из трёх вкладок:</w:t>
      </w:r>
    </w:p>
    <w:p w14:paraId="1D4C5F8C">
      <w:pPr>
        <w:pStyle w:val="22"/>
      </w:pPr>
      <w:r>
        <w:rPr>
          <w:b/>
        </w:rPr>
        <w:t>Прогноз</w:t>
      </w:r>
      <w:r>
        <w:t xml:space="preserve"> — ввод характеристик объекта и получение прогнозируемой стоимости;</w:t>
      </w:r>
    </w:p>
    <w:p w14:paraId="12427879">
      <w:pPr>
        <w:pStyle w:val="22"/>
      </w:pPr>
      <w:r>
        <w:rPr>
          <w:b/>
        </w:rPr>
        <w:t>Дашборд</w:t>
      </w:r>
      <w:r>
        <w:t xml:space="preserve"> — просмотр статистики исходного датасета и интерактивных графиков;</w:t>
      </w:r>
    </w:p>
    <w:p w14:paraId="72A55206">
      <w:pPr>
        <w:pStyle w:val="22"/>
      </w:pPr>
      <w:r>
        <w:rPr>
          <w:b/>
        </w:rPr>
        <w:t>Справка</w:t>
      </w:r>
      <w:r>
        <w:t xml:space="preserve"> — описание приложения, входных параметров, модели и её ограничений.</w:t>
      </w:r>
    </w:p>
    <w:p w14:paraId="752589C3">
      <w:pPr>
        <w:pStyle w:val="22"/>
        <w:numPr>
          <w:numId w:val="0"/>
        </w:numPr>
        <w:ind w:leftChars="0"/>
      </w:pPr>
    </w:p>
    <w:p w14:paraId="2394F98E">
      <w:r>
        <w:rPr>
          <w:b/>
          <w:sz w:val="28"/>
        </w:rPr>
        <w:t>2. Как пользоваться прогнозом</w:t>
      </w:r>
    </w:p>
    <w:p w14:paraId="3B9308CC">
      <w:pPr>
        <w:pStyle w:val="27"/>
      </w:pPr>
      <w:r>
        <w:t>Откройте вкладку «Прогноз».</w:t>
      </w:r>
    </w:p>
    <w:p w14:paraId="532D68B6">
      <w:pPr>
        <w:pStyle w:val="27"/>
      </w:pPr>
      <w:r>
        <w:t>Заполните характеристики объекта.</w:t>
      </w:r>
    </w:p>
    <w:p w14:paraId="45AE97B0">
      <w:pPr>
        <w:pStyle w:val="27"/>
      </w:pPr>
      <w:r>
        <w:t>Укажите, известна ли площадь объекта.</w:t>
      </w:r>
    </w:p>
    <w:p w14:paraId="33BEE6E0">
      <w:pPr>
        <w:pStyle w:val="27"/>
      </w:pPr>
      <w:r>
        <w:t>Выберите город и соответствующий округ.</w:t>
      </w:r>
    </w:p>
    <w:p w14:paraId="568BA26E">
      <w:pPr>
        <w:pStyle w:val="27"/>
      </w:pPr>
      <w:r>
        <w:t>Выберите остальные характеристики из предложенных списков.</w:t>
      </w:r>
    </w:p>
    <w:p w14:paraId="3B07294E">
      <w:pPr>
        <w:pStyle w:val="27"/>
      </w:pPr>
      <w:r>
        <w:t>Укажите месяц публикации объявления.</w:t>
      </w:r>
    </w:p>
    <w:p w14:paraId="7ED1CFC0">
      <w:pPr>
        <w:pStyle w:val="27"/>
      </w:pPr>
      <w:r>
        <w:t>Нажмите кнопку «Рассчитать».</w:t>
      </w:r>
    </w:p>
    <w:p w14:paraId="38550EED">
      <w:pPr>
        <w:pStyle w:val="27"/>
      </w:pPr>
      <w:r>
        <w:t>Приложение покажет:</w:t>
      </w:r>
    </w:p>
    <w:p w14:paraId="3A4C3E61">
      <w:r>
        <w:t xml:space="preserve">   - прогнозируемую стоимость объекта в TRY;</w:t>
      </w:r>
    </w:p>
    <w:p w14:paraId="43D518DD">
      <w:r>
        <w:t xml:space="preserve">   - ориентировочный диапазон стоимости на основе MAE модели.</w:t>
      </w:r>
    </w:p>
    <w:p w14:paraId="7928D444">
      <w:r>
        <w:t xml:space="preserve">Если площадь неизвестна, снимите флажок </w:t>
      </w:r>
      <w:r>
        <w:rPr>
          <w:b/>
        </w:rPr>
        <w:t>«Площадь известна»</w:t>
      </w:r>
      <w:r>
        <w:t>. В этом случае приложение автоматически восстановит площадь по медиане для аналогичной планировки. Такой прогноз следует считать менее точным.</w:t>
      </w:r>
    </w:p>
    <w:p w14:paraId="23FF711C">
      <w:r>
        <w:rPr>
          <w:b/>
          <w:sz w:val="28"/>
        </w:rPr>
        <w:t>3. Описание входных полей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48F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21CAE3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w="3249" w:type="dxa"/>
            <w:vAlign w:val="center"/>
          </w:tcPr>
          <w:p w14:paraId="1F06809A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Что означает</w:t>
            </w:r>
          </w:p>
        </w:tc>
        <w:tc>
          <w:tcPr>
            <w:tcW w:w="3249" w:type="dxa"/>
            <w:vAlign w:val="center"/>
          </w:tcPr>
          <w:p w14:paraId="677E3E8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Единица / формат</w:t>
            </w:r>
          </w:p>
        </w:tc>
      </w:tr>
      <w:tr w14:paraId="6D3B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996AAA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Площадь</w:t>
            </w:r>
          </w:p>
        </w:tc>
        <w:tc>
          <w:tcPr>
            <w:tcW w:w="3249" w:type="dxa"/>
            <w:vAlign w:val="center"/>
          </w:tcPr>
          <w:p w14:paraId="2FB4952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Общая площадь объекта недвижимости</w:t>
            </w:r>
          </w:p>
        </w:tc>
        <w:tc>
          <w:tcPr>
            <w:tcW w:w="3249" w:type="dxa"/>
            <w:vAlign w:val="center"/>
          </w:tcPr>
          <w:p w14:paraId="20B8A45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кв. м</w:t>
            </w:r>
          </w:p>
        </w:tc>
      </w:tr>
      <w:tr w14:paraId="580C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70255D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Количество комнат (спальни)</w:t>
            </w:r>
          </w:p>
        </w:tc>
        <w:tc>
          <w:tcPr>
            <w:tcW w:w="3249" w:type="dxa"/>
            <w:vAlign w:val="center"/>
          </w:tcPr>
          <w:p w14:paraId="2D7624D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Количество спален. Например, для планировки `3+1` это значение равно 3</w:t>
            </w:r>
          </w:p>
        </w:tc>
        <w:tc>
          <w:tcPr>
            <w:tcW w:w="3249" w:type="dxa"/>
            <w:vAlign w:val="center"/>
          </w:tcPr>
          <w:p w14:paraId="0894DCF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шт.</w:t>
            </w:r>
          </w:p>
        </w:tc>
      </w:tr>
      <w:tr w14:paraId="2FC9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59AB5CD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Количество гостиных</w:t>
            </w:r>
          </w:p>
        </w:tc>
        <w:tc>
          <w:tcPr>
            <w:tcW w:w="3249" w:type="dxa"/>
            <w:vAlign w:val="center"/>
          </w:tcPr>
          <w:p w14:paraId="7ECC490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Количество гостиных. Для планировки `3+1` это значение равно 1</w:t>
            </w:r>
          </w:p>
        </w:tc>
        <w:tc>
          <w:tcPr>
            <w:tcW w:w="3249" w:type="dxa"/>
            <w:vAlign w:val="center"/>
          </w:tcPr>
          <w:p w14:paraId="7E6646F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шт.</w:t>
            </w:r>
          </w:p>
        </w:tc>
      </w:tr>
      <w:tr w14:paraId="1943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B3176F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Город</w:t>
            </w:r>
          </w:p>
        </w:tc>
        <w:tc>
          <w:tcPr>
            <w:tcW w:w="3249" w:type="dxa"/>
            <w:vAlign w:val="center"/>
          </w:tcPr>
          <w:p w14:paraId="51B579F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Город, извлечённый из адреса объявления</w:t>
            </w:r>
          </w:p>
        </w:tc>
        <w:tc>
          <w:tcPr>
            <w:tcW w:w="3249" w:type="dxa"/>
            <w:vAlign w:val="center"/>
          </w:tcPr>
          <w:p w14:paraId="235816E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название города</w:t>
            </w:r>
          </w:p>
        </w:tc>
      </w:tr>
      <w:tr w14:paraId="14BA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289A7C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Округ</w:t>
            </w:r>
          </w:p>
        </w:tc>
        <w:tc>
          <w:tcPr>
            <w:tcW w:w="3249" w:type="dxa"/>
            <w:vAlign w:val="center"/>
          </w:tcPr>
          <w:p w14:paraId="01FC94E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Район/округ внутри города; используется как один из важных факторов стоимости</w:t>
            </w:r>
          </w:p>
        </w:tc>
        <w:tc>
          <w:tcPr>
            <w:tcW w:w="3249" w:type="dxa"/>
            <w:vAlign w:val="center"/>
          </w:tcPr>
          <w:p w14:paraId="7E83BCB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название округа</w:t>
            </w:r>
          </w:p>
        </w:tc>
      </w:tr>
      <w:tr w14:paraId="1B96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211E01A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Тип недвижимости</w:t>
            </w:r>
          </w:p>
        </w:tc>
        <w:tc>
          <w:tcPr>
            <w:tcW w:w="3249" w:type="dxa"/>
            <w:vAlign w:val="center"/>
          </w:tcPr>
          <w:p w14:paraId="100C167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Тип</w:t>
            </w:r>
            <w:r>
              <w:rPr>
                <w:rFonts w:hint="default"/>
                <w:sz w:val="18"/>
                <w:lang w:val="ru-RU"/>
              </w:rPr>
              <w:t xml:space="preserve"> </w:t>
            </w:r>
            <w:r>
              <w:rPr>
                <w:rFonts w:ascii="Arial" w:hAnsi="Arial"/>
                <w:sz w:val="18"/>
              </w:rPr>
              <w:t>объекта, например квартира (`Daire`) или резиденция (`Rezidans`)</w:t>
            </w:r>
          </w:p>
        </w:tc>
        <w:tc>
          <w:tcPr>
            <w:tcW w:w="3249" w:type="dxa"/>
            <w:vAlign w:val="center"/>
          </w:tcPr>
          <w:p w14:paraId="5F752E6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категория</w:t>
            </w:r>
          </w:p>
        </w:tc>
      </w:tr>
      <w:tr w14:paraId="5DDD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D771CA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Возраст здания</w:t>
            </w:r>
          </w:p>
        </w:tc>
        <w:tc>
          <w:tcPr>
            <w:tcW w:w="3249" w:type="dxa"/>
            <w:vAlign w:val="center"/>
          </w:tcPr>
          <w:p w14:paraId="63E0DEF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Возраст здания, представленный категорией или диапазоном</w:t>
            </w:r>
          </w:p>
        </w:tc>
        <w:tc>
          <w:tcPr>
            <w:tcW w:w="3249" w:type="dxa"/>
            <w:vAlign w:val="center"/>
          </w:tcPr>
          <w:p w14:paraId="171FDB0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лет</w:t>
            </w:r>
          </w:p>
        </w:tc>
      </w:tr>
      <w:tr w14:paraId="59C2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E6E0B1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Этажность здания</w:t>
            </w:r>
          </w:p>
        </w:tc>
        <w:tc>
          <w:tcPr>
            <w:tcW w:w="3249" w:type="dxa"/>
            <w:vAlign w:val="center"/>
          </w:tcPr>
          <w:p w14:paraId="0185196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Общее количество этажей в здании</w:t>
            </w:r>
          </w:p>
        </w:tc>
        <w:tc>
          <w:tcPr>
            <w:tcW w:w="3249" w:type="dxa"/>
            <w:vAlign w:val="center"/>
          </w:tcPr>
          <w:p w14:paraId="4202302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этажи</w:t>
            </w:r>
          </w:p>
        </w:tc>
      </w:tr>
      <w:tr w14:paraId="1B2C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5E2C77A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Этаж объекта</w:t>
            </w:r>
          </w:p>
        </w:tc>
        <w:tc>
          <w:tcPr>
            <w:tcW w:w="3249" w:type="dxa"/>
            <w:vAlign w:val="center"/>
          </w:tcPr>
          <w:p w14:paraId="2ECD808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Этаж, на котором расположен объект. Также учитываются подвальные уровни, первый этаж и мансарда</w:t>
            </w:r>
          </w:p>
        </w:tc>
        <w:tc>
          <w:tcPr>
            <w:tcW w:w="3249" w:type="dxa"/>
            <w:vAlign w:val="center"/>
          </w:tcPr>
          <w:p w14:paraId="2A501E2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категория</w:t>
            </w:r>
          </w:p>
        </w:tc>
      </w:tr>
      <w:tr w14:paraId="2193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25CB684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Тип отопления</w:t>
            </w:r>
          </w:p>
        </w:tc>
        <w:tc>
          <w:tcPr>
            <w:tcW w:w="3249" w:type="dxa"/>
            <w:vAlign w:val="center"/>
          </w:tcPr>
          <w:p w14:paraId="75FC8C3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Система отопления объекта</w:t>
            </w:r>
          </w:p>
        </w:tc>
        <w:tc>
          <w:tcPr>
            <w:tcW w:w="3249" w:type="dxa"/>
            <w:vAlign w:val="center"/>
          </w:tcPr>
          <w:p w14:paraId="3F0ED4C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категория</w:t>
            </w:r>
          </w:p>
        </w:tc>
      </w:tr>
      <w:tr w14:paraId="0062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6385B9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Месяц публикации объявления</w:t>
            </w:r>
          </w:p>
        </w:tc>
        <w:tc>
          <w:tcPr>
            <w:tcW w:w="3249" w:type="dxa"/>
            <w:vAlign w:val="center"/>
          </w:tcPr>
          <w:p w14:paraId="10C6B26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Месяц размещения объявления</w:t>
            </w:r>
          </w:p>
        </w:tc>
        <w:tc>
          <w:tcPr>
            <w:tcW w:w="3249" w:type="dxa"/>
            <w:vAlign w:val="center"/>
          </w:tcPr>
          <w:p w14:paraId="503BCF3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1–12</w:t>
            </w:r>
          </w:p>
        </w:tc>
      </w:tr>
    </w:tbl>
    <w:p w14:paraId="36EF2013"/>
    <w:p w14:paraId="5202442B">
      <w:r>
        <w:rPr>
          <w:b/>
          <w:sz w:val="24"/>
        </w:rPr>
        <w:t>Допустимые значения</w:t>
      </w:r>
    </w:p>
    <w:p w14:paraId="4610C3F1">
      <w:pPr>
        <w:pStyle w:val="22"/>
      </w:pPr>
      <w:r>
        <w:t xml:space="preserve">площадь: </w:t>
      </w:r>
      <w:r>
        <w:rPr>
          <w:b/>
        </w:rPr>
        <w:t>от 10 до 1000 кв. м</w:t>
      </w:r>
      <w:r>
        <w:t>;</w:t>
      </w:r>
    </w:p>
    <w:p w14:paraId="0F27F704">
      <w:pPr>
        <w:pStyle w:val="22"/>
      </w:pPr>
      <w:r>
        <w:t xml:space="preserve">количество комнат: </w:t>
      </w:r>
      <w:r>
        <w:rPr>
          <w:b/>
        </w:rPr>
        <w:t>от 1 до 15</w:t>
      </w:r>
      <w:r>
        <w:t>;</w:t>
      </w:r>
    </w:p>
    <w:p w14:paraId="36E095DB">
      <w:pPr>
        <w:pStyle w:val="22"/>
      </w:pPr>
      <w:r>
        <w:t xml:space="preserve">количество гостиных: </w:t>
      </w:r>
      <w:r>
        <w:rPr>
          <w:b/>
        </w:rPr>
        <w:t>от 0 до 5</w:t>
      </w:r>
      <w:r>
        <w:t>;</w:t>
      </w:r>
    </w:p>
    <w:p w14:paraId="68A92ABE">
      <w:pPr>
        <w:pStyle w:val="22"/>
      </w:pPr>
      <w:r>
        <w:t xml:space="preserve">месяц публикации: </w:t>
      </w:r>
      <w:r>
        <w:rPr>
          <w:b/>
        </w:rPr>
        <w:t>от 1 до 12</w:t>
      </w:r>
      <w:r>
        <w:t>.</w:t>
      </w:r>
    </w:p>
    <w:p w14:paraId="7AB35EEC">
      <w:r>
        <w:t>Приложение дополнительно проверяет логическую согласованность площади и количества комнат. Если на одну комнату приходится менее 5 кв. м, пользователю выводится предупреждение об ошибочности введённых данных.</w:t>
      </w:r>
    </w:p>
    <w:p w14:paraId="3FAC7021">
      <w:r>
        <w:rPr>
          <w:b/>
          <w:sz w:val="28"/>
        </w:rPr>
        <w:t>4. Что происходит после нажатия «Рассчитать»</w:t>
      </w:r>
    </w:p>
    <w:p w14:paraId="7236EC7D">
      <w:r>
        <w:t>Перед передачей данных в модель приложение формирует дополнительные признаки, которые использовались при обучении:</w:t>
      </w:r>
    </w:p>
    <w:p w14:paraId="09547544">
      <w:pPr>
        <w:pStyle w:val="22"/>
      </w:pPr>
      <w:r>
        <w:rPr>
          <w:b/>
        </w:rPr>
        <w:t>total_rooms</w:t>
      </w:r>
      <w:r>
        <w:t xml:space="preserve"> — общее количество комнат как сумма спален и гостиных;</w:t>
      </w:r>
    </w:p>
    <w:p w14:paraId="39123800">
      <w:pPr>
        <w:pStyle w:val="22"/>
      </w:pPr>
      <w:r>
        <w:rPr>
          <w:b/>
        </w:rPr>
        <w:t>size_log</w:t>
      </w:r>
      <w:r>
        <w:t xml:space="preserve"> — логарифм площади;</w:t>
      </w:r>
    </w:p>
    <w:p w14:paraId="58D7A0D2">
      <w:pPr>
        <w:pStyle w:val="22"/>
      </w:pPr>
      <w:r>
        <w:rPr>
          <w:b/>
        </w:rPr>
        <w:t>size_per_room</w:t>
      </w:r>
      <w:r>
        <w:t xml:space="preserve"> — площадь в расчёте на одну комнату;</w:t>
      </w:r>
    </w:p>
    <w:p w14:paraId="6C65E8D2">
      <w:pPr>
        <w:pStyle w:val="22"/>
      </w:pPr>
      <w:r>
        <w:rPr>
          <w:b/>
        </w:rPr>
        <w:t>district_price</w:t>
      </w:r>
      <w:r>
        <w:t xml:space="preserve"> — сглаженное среднее значение логарифма цены для округа;</w:t>
      </w:r>
    </w:p>
    <w:p w14:paraId="58D764BF">
      <w:pPr>
        <w:pStyle w:val="22"/>
      </w:pPr>
      <w:r>
        <w:rPr>
          <w:b/>
        </w:rPr>
        <w:t>is_ground_floor</w:t>
      </w:r>
      <w:r>
        <w:t xml:space="preserve"> — признак расположения на первом/цокольном уровне;</w:t>
      </w:r>
    </w:p>
    <w:p w14:paraId="0412BBA8">
      <w:pPr>
        <w:pStyle w:val="22"/>
      </w:pPr>
      <w:r>
        <w:rPr>
          <w:b/>
        </w:rPr>
        <w:t>is_top_floor</w:t>
      </w:r>
      <w:r>
        <w:t xml:space="preserve"> — признак расположения на последнем этаже или мансарде.</w:t>
      </w:r>
    </w:p>
    <w:p w14:paraId="181FF4BE">
      <w:r>
        <w:t>Если площадь не указана, она восстанавливается по медиане площади для соответствующего количества комнат. Если такой планировки нет в обучающей выборке, используется общая медиана площади.</w:t>
      </w:r>
    </w:p>
    <w:p w14:paraId="4DAF4F23">
      <w:r>
        <w:t>После формирования признаков применяется сохранённый препроцессор, а затем модель. Предсказание выполняется для логарифма цены и затем преобразуется обратно в TRY.</w:t>
      </w:r>
    </w:p>
    <w:p w14:paraId="21481590">
      <w:r>
        <w:t>Признак `price_per_sqm` в приложении не используется, поскольку он рассчитывается с использованием самой цены и привёл бы к утечке целевой переменной.</w:t>
      </w:r>
    </w:p>
    <w:p w14:paraId="3E3D15BC">
      <w:r>
        <w:rPr>
          <w:b/>
          <w:sz w:val="28"/>
        </w:rPr>
        <w:t>5. Используемая модель</w:t>
      </w:r>
    </w:p>
    <w:p w14:paraId="687ED634">
      <w:r>
        <w:t xml:space="preserve">В качестве финальной модели используется </w:t>
      </w:r>
      <w:r>
        <w:rPr>
          <w:b/>
        </w:rPr>
        <w:t>Gradient Boosting (гистограммный градиентный бустинг)</w:t>
      </w:r>
      <w:r>
        <w:t>.</w:t>
      </w:r>
    </w:p>
    <w:p w14:paraId="4075AB15">
      <w:r>
        <w:t>В проекте были сравнены три модели:</w:t>
      </w:r>
    </w:p>
    <w:p w14:paraId="3F7EC6D8">
      <w:pPr>
        <w:pStyle w:val="27"/>
      </w:pPr>
      <w:r>
        <w:t>Ridge — линейная модель с L2-регуляризацией;</w:t>
      </w:r>
    </w:p>
    <w:p w14:paraId="5BE9A3CF">
      <w:pPr>
        <w:pStyle w:val="27"/>
      </w:pPr>
      <w:r>
        <w:t>Random Forest— ансамбль деревьев на основе бэггинга;</w:t>
      </w:r>
    </w:p>
    <w:p w14:paraId="78DD2797">
      <w:pPr>
        <w:pStyle w:val="27"/>
      </w:pPr>
      <w:r>
        <w:t>Gradient Boosting — ансамбль деревьев на основе последовательного бустинга.</w:t>
      </w:r>
    </w:p>
    <w:p w14:paraId="2EBF988B">
      <w:r>
        <w:t>Выбор финальной модели выполнялся по результатам кросс-валидации внутри обучающей выборки. Тестовая выборка не использовалась при выборе модели, поэтому она сохранилась как независимая отложенная выборка для итоговой оценки.</w:t>
      </w:r>
    </w:p>
    <w:p w14:paraId="4FAA8D70">
      <w:r>
        <w:rPr>
          <w:b/>
          <w:sz w:val="24"/>
        </w:rPr>
        <w:t>Подобранные параметры финальной модели</w:t>
      </w:r>
    </w:p>
    <w:p w14:paraId="6A3AE8A2">
      <w:r>
        <w:t>Для Gradient Boosting были выбраны:</w:t>
      </w:r>
    </w:p>
    <w:p w14:paraId="50865227">
      <w:pPr>
        <w:pStyle w:val="22"/>
      </w:pPr>
      <w:r>
        <w:t>learning_rate = 0.1;</w:t>
      </w:r>
    </w:p>
    <w:p w14:paraId="3587C72D">
      <w:pPr>
        <w:pStyle w:val="22"/>
      </w:pPr>
      <w:r>
        <w:t>max_leaf_nodes = 63;</w:t>
      </w:r>
    </w:p>
    <w:p w14:paraId="2E5B9F96">
      <w:pPr>
        <w:pStyle w:val="22"/>
      </w:pPr>
      <w:r>
        <w:t>min_samples_leaf = 20;</w:t>
      </w:r>
    </w:p>
    <w:p w14:paraId="48014A2A">
      <w:pPr>
        <w:pStyle w:val="22"/>
      </w:pPr>
      <w:r>
        <w:t>l2_regularization = 1.0;</w:t>
      </w:r>
    </w:p>
    <w:p w14:paraId="65E16A95">
      <w:pPr>
        <w:pStyle w:val="22"/>
      </w:pPr>
      <w:r>
        <w:t>максимальное число итераций — 400.</w:t>
      </w:r>
    </w:p>
    <w:p w14:paraId="0666EF30">
      <w:r>
        <w:t xml:space="preserve">На этапе подбора использовалась </w:t>
      </w:r>
      <w:r>
        <w:rPr>
          <w:b/>
        </w:rPr>
        <w:t>3-кратная кросс-валидация</w:t>
      </w:r>
      <w:r>
        <w:t>.</w:t>
      </w:r>
    </w:p>
    <w:p w14:paraId="79A50608">
      <w:r>
        <w:rPr>
          <w:b/>
          <w:sz w:val="28"/>
        </w:rPr>
        <w:t>6. Качество модели</w:t>
      </w:r>
    </w:p>
    <w:p w14:paraId="4AAD80DE">
      <w:r>
        <w:t>Итоговые метрики рассчитаны на отложенной тестовой выборке: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493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EF2C26A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Метрика</w:t>
            </w:r>
          </w:p>
        </w:tc>
        <w:tc>
          <w:tcPr>
            <w:tcW w:w="4873" w:type="dxa"/>
          </w:tcPr>
          <w:p w14:paraId="56C42BCF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Gradient Boosting</w:t>
            </w:r>
          </w:p>
        </w:tc>
      </w:tr>
      <w:tr w14:paraId="758C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1C8C18D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MAE</w:t>
            </w:r>
          </w:p>
        </w:tc>
        <w:tc>
          <w:tcPr>
            <w:tcW w:w="4873" w:type="dxa"/>
          </w:tcPr>
          <w:p w14:paraId="306F04F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128 202,76 TRY</w:t>
            </w:r>
          </w:p>
        </w:tc>
      </w:tr>
      <w:tr w14:paraId="3931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B01A55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RMSE</w:t>
            </w:r>
          </w:p>
        </w:tc>
        <w:tc>
          <w:tcPr>
            <w:tcW w:w="4873" w:type="dxa"/>
          </w:tcPr>
          <w:p w14:paraId="187CC57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672 443,29 TRY</w:t>
            </w:r>
          </w:p>
        </w:tc>
      </w:tr>
      <w:tr w14:paraId="5BB1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516FF0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MAPE</w:t>
            </w:r>
          </w:p>
        </w:tc>
        <w:tc>
          <w:tcPr>
            <w:tcW w:w="4873" w:type="dxa"/>
          </w:tcPr>
          <w:p w14:paraId="4712863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23,96 %</w:t>
            </w:r>
          </w:p>
        </w:tc>
      </w:tr>
      <w:tr w14:paraId="0FFA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7634AD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MedAE</w:t>
            </w:r>
          </w:p>
        </w:tc>
        <w:tc>
          <w:tcPr>
            <w:tcW w:w="4873" w:type="dxa"/>
          </w:tcPr>
          <w:p w14:paraId="0CE63CA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42 578,87 TRY</w:t>
            </w:r>
          </w:p>
        </w:tc>
      </w:tr>
      <w:tr w14:paraId="410B9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6D75D8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R²</w:t>
            </w:r>
          </w:p>
        </w:tc>
        <w:tc>
          <w:tcPr>
            <w:tcW w:w="4873" w:type="dxa"/>
          </w:tcPr>
          <w:p w14:paraId="5EBE41B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0,57</w:t>
            </w:r>
          </w:p>
        </w:tc>
      </w:tr>
      <w:tr w14:paraId="6C0C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20079F9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R² (log)</w:t>
            </w:r>
          </w:p>
        </w:tc>
        <w:tc>
          <w:tcPr>
            <w:tcW w:w="4873" w:type="dxa"/>
          </w:tcPr>
          <w:p w14:paraId="281E3A8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0,81</w:t>
            </w:r>
          </w:p>
        </w:tc>
      </w:tr>
    </w:tbl>
    <w:p w14:paraId="4E2D9D7F"/>
    <w:p w14:paraId="5B558AE0">
      <w:r>
        <w:rPr>
          <w:b/>
          <w:sz w:val="24"/>
        </w:rPr>
        <w:t>Интерпретация</w:t>
      </w:r>
    </w:p>
    <w:p w14:paraId="6BF4745C">
      <w:pPr>
        <w:pStyle w:val="22"/>
      </w:pPr>
      <w:r>
        <w:rPr>
          <w:b/>
        </w:rPr>
        <w:t>MAE ≈ 128 тыс. TRY</w:t>
      </w:r>
      <w:r>
        <w:t xml:space="preserve"> — средняя абсолютная ошибка прогноза в исходных денежных единицах.</w:t>
      </w:r>
    </w:p>
    <w:p w14:paraId="2ACC924F">
      <w:pPr>
        <w:pStyle w:val="22"/>
      </w:pPr>
      <w:r>
        <w:rPr>
          <w:b/>
        </w:rPr>
        <w:t>RMSE ≈ 672 тыс. TRY</w:t>
      </w:r>
      <w:r>
        <w:t xml:space="preserve"> сильнее реагирует на крупные ошибки, поэтому заметно выше MAE.</w:t>
      </w:r>
    </w:p>
    <w:p w14:paraId="184CE949">
      <w:pPr>
        <w:pStyle w:val="22"/>
      </w:pPr>
      <w:r>
        <w:rPr>
          <w:b/>
        </w:rPr>
        <w:t>MAPE ≈ 24 %</w:t>
      </w:r>
      <w:r>
        <w:t xml:space="preserve"> означает, что средняя абсолютная относительная ошибка составляет около 24 %.</w:t>
      </w:r>
    </w:p>
    <w:p w14:paraId="3F144869">
      <w:pPr>
        <w:pStyle w:val="22"/>
      </w:pPr>
      <w:r>
        <w:rPr>
          <w:b/>
        </w:rPr>
        <w:t>MedAE ≈ 42,6 тыс. TRY</w:t>
      </w:r>
      <w:r>
        <w:t xml:space="preserve"> показывает медианную абсолютную ошибку и меньше зависит от отдельных очень дорогих объектов.</w:t>
      </w:r>
    </w:p>
    <w:p w14:paraId="2B7D2CE4">
      <w:pPr>
        <w:pStyle w:val="22"/>
      </w:pPr>
      <w:r>
        <w:rPr>
          <w:b/>
        </w:rPr>
        <w:t>R² = 0,57</w:t>
      </w:r>
      <w:r>
        <w:t xml:space="preserve"> означает, что модель объясняет около 57 % вариации исходной цены на тестовой выборке.</w:t>
      </w:r>
    </w:p>
    <w:p w14:paraId="52608E4E">
      <w:pPr>
        <w:pStyle w:val="22"/>
      </w:pPr>
      <w:r>
        <w:rPr>
          <w:b/>
        </w:rPr>
        <w:t>R² (log) = 0,81</w:t>
      </w:r>
      <w:r>
        <w:t xml:space="preserve"> рассчитан для логарифма цены, который непосредственно предсказывает модель.</w:t>
      </w:r>
    </w:p>
    <w:p w14:paraId="6E5154A9">
      <w:r>
        <w:t xml:space="preserve">Для отображения пользователю приложение использует диапазон </w:t>
      </w:r>
      <w:r>
        <w:rPr>
          <w:b/>
        </w:rPr>
        <w:t>± MAE</w:t>
      </w:r>
      <w:r>
        <w:t xml:space="preserve"> вокруг точечного прогноза. Этот диапазон является ориентировочным показателем типичного масштаба ошибки, а не строгим статистическим доверительным интервалом.</w:t>
      </w:r>
    </w:p>
    <w:p w14:paraId="2292D092"/>
    <w:p w14:paraId="58A13446">
      <w:r>
        <w:rPr>
          <w:b/>
          <w:sz w:val="28"/>
        </w:rPr>
        <w:t>7. Почему используется логарифм цены</w:t>
      </w:r>
    </w:p>
    <w:p w14:paraId="7F600C8D">
      <w:r>
        <w:t>Распределение цен на недвижимость сильно скошено вправо: относительно недорогих объектов значительно больше, чем очень дорогих.</w:t>
      </w:r>
    </w:p>
    <w:p w14:paraId="081EDBC5">
      <w:r>
        <w:t>Поэтому при обучении используется преобразование:</w:t>
      </w:r>
    </w:p>
    <w:p w14:paraId="26C680DA">
      <w:r>
        <w:t>price_log = log1p(price)</w:t>
      </w:r>
    </w:p>
    <w:p w14:paraId="7C63C81A">
      <w:r>
        <w:t>После предсказания результат преобразуется обратно:</w:t>
      </w:r>
    </w:p>
    <w:p w14:paraId="7BD29E28">
      <w:r>
        <w:t>price = expm1(price_log)</w:t>
      </w:r>
    </w:p>
    <w:p w14:paraId="24389121">
      <w:r>
        <w:t>Такой подход уменьшает влияние единичных очень дорогих объектов и позволяет модели лучше работать с широким диапазоном цен.</w:t>
      </w:r>
    </w:p>
    <w:p w14:paraId="067C8B3E">
      <w:r>
        <w:t xml:space="preserve">При этом обратное преобразование логарифма имеет важное следствие: полученный прогноз ближе к </w:t>
      </w:r>
      <w:r>
        <w:rPr>
          <w:b/>
        </w:rPr>
        <w:t>медианному</w:t>
      </w:r>
      <w:r>
        <w:t>, а не к среднему значению цены. Поэтому для отдельных дорогих объектов прогноз может быть занижен.</w:t>
      </w:r>
    </w:p>
    <w:p w14:paraId="5F260352">
      <w:r>
        <w:rPr>
          <w:b/>
          <w:sz w:val="28"/>
        </w:rPr>
        <w:t>8. Дашборд</w:t>
      </w:r>
    </w:p>
    <w:p w14:paraId="3651DF2C">
      <w:r>
        <w:t xml:space="preserve">На вкладке </w:t>
      </w:r>
      <w:r>
        <w:rPr>
          <w:b/>
        </w:rPr>
        <w:t>«Дашборд»</w:t>
      </w:r>
      <w:r>
        <w:t xml:space="preserve"> можно исследовать данные, использованные для приложения.</w:t>
      </w:r>
    </w:p>
    <w:p w14:paraId="75F37C3D">
      <w:r>
        <w:t>Отображаются основные показатели:</w:t>
      </w:r>
    </w:p>
    <w:p w14:paraId="75AE033C">
      <w:pPr>
        <w:pStyle w:val="22"/>
      </w:pPr>
      <w:r>
        <w:t>количество объявлений;</w:t>
      </w:r>
    </w:p>
    <w:p w14:paraId="0CAEDB5E">
      <w:pPr>
        <w:pStyle w:val="22"/>
      </w:pPr>
      <w:r>
        <w:t>медианная цена;</w:t>
      </w:r>
    </w:p>
    <w:p w14:paraId="10E20945">
      <w:pPr>
        <w:pStyle w:val="22"/>
      </w:pPr>
      <w:r>
        <w:t>медианная площадь;</w:t>
      </w:r>
    </w:p>
    <w:p w14:paraId="5904CF57">
      <w:pPr>
        <w:pStyle w:val="22"/>
      </w:pPr>
      <w:r>
        <w:t>количество городов.</w:t>
      </w:r>
    </w:p>
    <w:p w14:paraId="0A020CC9">
      <w:r>
        <w:t>Доступны фильтры:</w:t>
      </w:r>
    </w:p>
    <w:p w14:paraId="774885FB">
      <w:pPr>
        <w:pStyle w:val="22"/>
      </w:pPr>
      <w:r>
        <w:t>выбор городов;</w:t>
      </w:r>
    </w:p>
    <w:p w14:paraId="355811B9">
      <w:pPr>
        <w:pStyle w:val="22"/>
      </w:pPr>
      <w:r>
        <w:t>ограничение максимальной цены на графиках.</w:t>
      </w:r>
    </w:p>
    <w:p w14:paraId="1F738B26">
      <w:r>
        <w:t>После фильтрации отображаются интерактивные графики:</w:t>
      </w:r>
    </w:p>
    <w:p w14:paraId="705ED87B">
      <w:pPr>
        <w:pStyle w:val="27"/>
      </w:pPr>
      <w:r>
        <w:t>Распределение цен — гистограмма;</w:t>
      </w:r>
    </w:p>
    <w:p w14:paraId="612E78DE">
      <w:pPr>
        <w:pStyle w:val="27"/>
      </w:pPr>
      <w:r>
        <w:t>Медианная цена по городам — столбчатая диаграмма;</w:t>
      </w:r>
    </w:p>
    <w:p w14:paraId="59B913D9">
      <w:pPr>
        <w:pStyle w:val="27"/>
      </w:pPr>
      <w:r>
        <w:t>Цена в зависимости от площади — диаграмма рассеяния;</w:t>
      </w:r>
    </w:p>
    <w:p w14:paraId="4F7940F7">
      <w:pPr>
        <w:pStyle w:val="27"/>
      </w:pPr>
      <w:r>
        <w:t>Цены по планировкам — boxplot.</w:t>
      </w:r>
    </w:p>
    <w:p w14:paraId="5C3FC05E">
      <w:r>
        <w:t>Ниже также выводятся метрики выбранной финальной модели на тестовой выборке.</w:t>
      </w:r>
    </w:p>
    <w:p w14:paraId="33CD2C58">
      <w:r>
        <w:rPr>
          <w:b/>
          <w:sz w:val="28"/>
        </w:rPr>
        <w:t>9. Ограничения модели</w:t>
      </w:r>
    </w:p>
    <w:p w14:paraId="6D45FD3E">
      <w:r>
        <w:t>Результат прогноза необходимо рассматривать как ориентировочную оценку, а не как точную рыночную стоимость объекта.</w:t>
      </w:r>
    </w:p>
    <w:p w14:paraId="0945DE19">
      <w:r>
        <w:rPr>
          <w:b/>
          <w:sz w:val="24"/>
        </w:rPr>
        <w:t>Основные ограничения</w:t>
      </w:r>
    </w:p>
    <w:p w14:paraId="01C98810">
      <w:r>
        <w:rPr>
          <w:b/>
        </w:rPr>
        <w:t>1. Устаревший период данных.</w:t>
      </w:r>
      <w:r>
        <w:t xml:space="preserve">  </w:t>
      </w:r>
    </w:p>
    <w:p w14:paraId="6902851D">
      <w:r>
        <w:t xml:space="preserve">Модель обучена на турецком рынке </w:t>
      </w:r>
      <w:r>
        <w:rPr>
          <w:b/>
        </w:rPr>
        <w:t>2018–2019 годов</w:t>
      </w:r>
      <w:r>
        <w:t>. Из-за изменения цен и высокой инфляции в Турции прогноз нельзя напрямую использовать как оценку текущей рыночной стоимости. Для применения на современном рынке модель необходимо переобучить на более свежих данных.</w:t>
      </w:r>
    </w:p>
    <w:p w14:paraId="75F6827C">
      <w:r>
        <w:rPr>
          <w:b/>
        </w:rPr>
        <w:t>2. Ограниченный набор характеристик.</w:t>
      </w:r>
      <w:r>
        <w:t xml:space="preserve">  </w:t>
      </w:r>
    </w:p>
    <w:p w14:paraId="60BAD327">
      <w:r>
        <w:t>В исходных данных отсутствует информация о некоторых важных свойствах недвижимости: ремонте, виде из окна, состоянии дома, наличии лифта и парковки. Поэтому модель не может учитывать влияние этих факторов.</w:t>
      </w:r>
    </w:p>
    <w:p w14:paraId="637F9A4C">
      <w:r>
        <w:rPr>
          <w:b/>
        </w:rPr>
        <w:t>3. Пропуски площади.</w:t>
      </w:r>
      <w:r>
        <w:t xml:space="preserve">  </w:t>
      </w:r>
    </w:p>
    <w:p w14:paraId="790C4E33">
      <w:r>
        <w:t>Примерно у трети объектов площадь в исходном датасете отсутствовала. Такие значения восстанавливались медианой по планировке. Для объектов с восстановленной площадью прогноз может быть менее точным.</w:t>
      </w:r>
    </w:p>
    <w:p w14:paraId="494EA291">
      <w:r>
        <w:rPr>
          <w:b/>
        </w:rPr>
        <w:t>4. Элитная недвижимость.</w:t>
      </w:r>
      <w:r>
        <w:t xml:space="preserve">  </w:t>
      </w:r>
    </w:p>
    <w:p w14:paraId="0253C9BD">
      <w:r>
        <w:t>Очень дорогих объектов в выборке мало. Поэтому для элитного жилья модель может давать заниженную оценку и тяготеть к значениям, характерным для основной массы объектов.</w:t>
      </w:r>
    </w:p>
    <w:p w14:paraId="4167E614">
      <w:r>
        <w:rPr>
          <w:b/>
        </w:rPr>
        <w:t>5. Неизвестные районы.</w:t>
      </w:r>
      <w:r>
        <w:t xml:space="preserve">  </w:t>
      </w:r>
    </w:p>
    <w:p w14:paraId="33430ABD">
      <w:r>
        <w:t>Если выбран округ, которого не было в обучающей выборке, для него используется общее среднее значение по рынку.</w:t>
      </w:r>
    </w:p>
    <w:p w14:paraId="07386330">
      <w:r>
        <w:rPr>
          <w:b/>
        </w:rPr>
        <w:t>6. Диапазон прогнозируемых данных.</w:t>
      </w:r>
      <w:r>
        <w:t xml:space="preserve">  </w:t>
      </w:r>
    </w:p>
    <w:p w14:paraId="2FDA3748">
      <w:r>
        <w:t>Модель обучалась после очистки данных от нереалистичных значений: цены менее 10 000 TRY и более 50 000 000 TRY, а также площади за пределами диапазона 10–1000 кв. м не использовались в обучении.</w:t>
      </w:r>
    </w:p>
    <w:p w14:paraId="2C8E9475">
      <w:r>
        <w:t>---</w:t>
      </w:r>
    </w:p>
    <w:p w14:paraId="23AE4670">
      <w:r>
        <w:rPr>
          <w:b/>
          <w:sz w:val="28"/>
        </w:rPr>
        <w:t>10. Техническая информация</w:t>
      </w:r>
    </w:p>
    <w:p w14:paraId="0B5EF865">
      <w:r>
        <w:t xml:space="preserve">Приложение реализовано с использованием </w:t>
      </w:r>
      <w:r>
        <w:rPr>
          <w:b/>
        </w:rPr>
        <w:t>Streamlit</w:t>
      </w:r>
      <w:r>
        <w:t>.</w:t>
      </w:r>
    </w:p>
    <w:p w14:paraId="4EC853F3">
      <w:r>
        <w:t>Сохранённый файл `model_pipeline.pkl` содержит:</w:t>
      </w:r>
    </w:p>
    <w:p w14:paraId="514E9C35">
      <w:pPr>
        <w:pStyle w:val="22"/>
      </w:pPr>
      <w:r>
        <w:t>обученную модель;</w:t>
      </w:r>
    </w:p>
    <w:p w14:paraId="5BCEDCAD">
      <w:pPr>
        <w:pStyle w:val="22"/>
      </w:pPr>
      <w:r>
        <w:t>обученный препроцессор;</w:t>
      </w:r>
    </w:p>
    <w:p w14:paraId="2DBB460C">
      <w:pPr>
        <w:pStyle w:val="22"/>
      </w:pPr>
      <w:r>
        <w:t>списки числовых, порядковых и номинальных признаков;</w:t>
      </w:r>
    </w:p>
    <w:p w14:paraId="605441A8">
      <w:pPr>
        <w:pStyle w:val="22"/>
      </w:pPr>
      <w:r>
        <w:t>допустимые категории для элементов формы;</w:t>
      </w:r>
    </w:p>
    <w:p w14:paraId="2E92E896">
      <w:pPr>
        <w:pStyle w:val="22"/>
      </w:pPr>
      <w:r>
        <w:t>медианы площади;</w:t>
      </w:r>
    </w:p>
    <w:p w14:paraId="795A95FE">
      <w:pPr>
        <w:pStyle w:val="22"/>
      </w:pPr>
      <w:r>
        <w:t>статистику кодирования районов;</w:t>
      </w:r>
    </w:p>
    <w:p w14:paraId="2D4F5BDC">
      <w:pPr>
        <w:pStyle w:val="22"/>
      </w:pPr>
      <w:r>
        <w:t>метрики тестовой выборки;</w:t>
      </w:r>
    </w:p>
    <w:p w14:paraId="28B6B2B1">
      <w:pPr>
        <w:pStyle w:val="22"/>
      </w:pPr>
      <w:r>
        <w:t>MAE для формирования ориентировочного диапазона прогноза.</w:t>
      </w:r>
    </w:p>
    <w:p w14:paraId="16ED716D">
      <w:r>
        <w:t xml:space="preserve">Модель загружается </w:t>
      </w:r>
      <w:r>
        <w:rPr>
          <w:b/>
        </w:rPr>
        <w:t>один раз при запуске приложения</w:t>
      </w:r>
      <w:r>
        <w:t>, а не при каждом нажатии кнопки «Рассчитать».</w:t>
      </w:r>
    </w:p>
    <w:p w14:paraId="7E464D55">
      <w:r>
        <w:t>Для категориальных признаков используются:</w:t>
      </w:r>
    </w:p>
    <w:p w14:paraId="3779DBFF">
      <w:pPr>
        <w:pStyle w:val="22"/>
      </w:pPr>
      <w:r>
        <w:rPr>
          <w:b/>
        </w:rPr>
        <w:t>Ordinal Encoding</w:t>
      </w:r>
      <w:r>
        <w:t xml:space="preserve"> — для признаков с естественным порядком;</w:t>
      </w:r>
    </w:p>
    <w:p w14:paraId="34AB4158">
      <w:pPr>
        <w:pStyle w:val="22"/>
      </w:pPr>
      <w:r>
        <w:rPr>
          <w:b/>
        </w:rPr>
        <w:t>One-Hot Encoding</w:t>
      </w:r>
      <w:r>
        <w:t xml:space="preserve"> — для номинальных категорий;</w:t>
      </w:r>
    </w:p>
    <w:p w14:paraId="434E6F74">
      <w:pPr>
        <w:pStyle w:val="22"/>
      </w:pPr>
      <w:r>
        <w:t>сглаженное кодирование средней ценой — для районов с большим количеством уникальных значений.</w:t>
      </w:r>
    </w:p>
    <w:p w14:paraId="18E9B24B">
      <w:r>
        <w:t xml:space="preserve">Числовые признаки масштабируются с помощью </w:t>
      </w:r>
      <w:r>
        <w:rPr>
          <w:b/>
        </w:rPr>
        <w:t>StandardScaler</w:t>
      </w:r>
      <w:r>
        <w:t>.</w:t>
      </w:r>
    </w:p>
    <w:p w14:paraId="15F8BC29">
      <w:r>
        <w:rPr>
          <w:b/>
          <w:sz w:val="28"/>
        </w:rPr>
        <w:t>11. Авторство и версия</w:t>
      </w:r>
    </w:p>
    <w:p w14:paraId="64F491FA">
      <w:r>
        <w:rPr>
          <w:b/>
        </w:rPr>
        <w:t>Проект:</w:t>
      </w:r>
      <w:r>
        <w:t xml:space="preserve"> учебный проект по прогнозированию стоимости недвижимости  </w:t>
      </w:r>
    </w:p>
    <w:p w14:paraId="4E0F060E">
      <w:r>
        <w:rPr>
          <w:b/>
        </w:rPr>
        <w:t>Приложение:</w:t>
      </w:r>
      <w:r>
        <w:t xml:space="preserve"> «Оценка стоимости недвижимости»  </w:t>
      </w:r>
    </w:p>
    <w:p w14:paraId="3945C51D">
      <w:r>
        <w:rPr>
          <w:b/>
        </w:rPr>
        <w:t>Версия:</w:t>
      </w:r>
      <w:r>
        <w:t xml:space="preserve"> 1.0</w:t>
      </w:r>
    </w:p>
    <w:p w14:paraId="489607F3">
      <w:pPr>
        <w:rPr>
          <w:rFonts w:hint="default"/>
          <w:lang w:val="ru-RU"/>
        </w:rPr>
      </w:pPr>
      <w:r>
        <w:rPr>
          <w:b/>
        </w:rPr>
        <w:t>Автор: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 w:val="0"/>
          <w:bCs/>
          <w:lang w:val="ru-RU"/>
        </w:rPr>
        <w:t>Павлова Снежана, Валиуллин Тимур</w:t>
      </w:r>
    </w:p>
    <w:p w14:paraId="4BC06880">
      <w:pPr>
        <w:rPr>
          <w:rFonts w:hint="default"/>
          <w:b w:val="0"/>
          <w:bCs/>
          <w:lang w:val="en-US"/>
        </w:rPr>
      </w:pPr>
      <w:r>
        <w:rPr>
          <w:b/>
        </w:rPr>
        <w:t>Контакт:</w:t>
      </w:r>
      <w:r>
        <w:rPr>
          <w:rFonts w:hint="default"/>
          <w:b w:val="0"/>
          <w:bCs/>
          <w:lang w:val="en-US"/>
        </w:rPr>
        <w:t>snezanapavlova52@gmail.com, timurvaliullin544@gmail.com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409D9">
    <w:pPr>
      <w:pStyle w:val="2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3E1CD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6A07E8"/>
    <w:rsid w:val="7B8D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2026-09-16T05:27:36Z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1DB9CBBCD5D1457983C649B307DEBCFA_12</vt:lpwstr>
  </property>
</Properties>
</file>