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160"/>
      </w:pPr>
      <w:r>
        <w:rPr>
          <w:rFonts w:ascii="맑은 고딕" w:cs="맑은 고딕" w:eastAsia="맑은 고딕" w:hAnsi="맑은 고딕"/>
          <w:b/>
          <w:bCs/>
          <w:color w:val="1A6FCC"/>
          <w:sz w:val="20"/>
          <w:szCs w:val="20"/>
        </w:rPr>
        <w:t xml:space="preserve">#법인전환시기</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#주류업법인</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#개인사업자법인전환</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#법인세종합소득세비교</w:t>
      </w:r>
      <w:r>
        <w:rPr>
          <w:rFonts w:ascii="맑은 고딕" w:cs="맑은 고딕" w:eastAsia="맑은 고딕" w:hAnsi="맑은 고딕"/>
          <w:sz w:val="20"/>
          <w:szCs w:val="20"/>
        </w:rPr>
        <w:t xml:space="preserve">  </w:t>
      </w:r>
      <w:r>
        <w:rPr>
          <w:rFonts w:ascii="맑은 고딕" w:cs="맑은 고딕" w:eastAsia="맑은 고딕" w:hAnsi="맑은 고딕"/>
          <w:b/>
          <w:bCs/>
          <w:color w:val="1A6FCC"/>
          <w:sz w:val="20"/>
          <w:szCs w:val="20"/>
        </w:rPr>
        <w:t xml:space="preserve">#주류도매법인</w:t>
      </w:r>
      <w:r>
        <w:rPr>
          <w:rFonts w:ascii="맑은 고딕" w:cs="맑은 고딕" w:eastAsia="맑은 고딕" w:hAnsi="맑은 고딕"/>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4"/>
              <w:left w:val="single" w:color="4A90D9" w:sz="4"/>
              <w:bottom w:val="single" w:color="4A90D9" w:sz="4"/>
              <w:right w:val="single" w:color="4A90D9" w:sz="4"/>
            </w:tcBorders>
            <w:shd w:fill="F6F8FA" w:val="clear"/>
            <w:tcMar>
              <w:top w:type="dxa" w:w="160"/>
              <w:left w:type="dxa" w:w="200"/>
              <w:bottom w:type="dxa" w:w="160"/>
              <w:right w:type="dxa" w:w="200"/>
            </w:tcMar>
          </w:tcPr>
          <w:p>
            <w:pPr>
              <w:spacing w:before="0" w:after="0"/>
            </w:pPr>
            <w:r>
              <w:rPr>
                <w:rFonts w:ascii="맑은 고딕" w:cs="맑은 고딕" w:eastAsia="맑은 고딕" w:hAnsi="맑은 고딕"/>
                <w:b w:val="false"/>
                <w:bCs w:val="false"/>
                <w:color w:val="444444"/>
                <w:sz w:val="20"/>
                <w:szCs w:val="20"/>
              </w:rPr>
              <w:t xml:space="preserve">"매출이 많은데 왜 세금을 이렇게 내야 하나요?"</w:t>
            </w:r>
          </w:p>
          <w:p>
            <w:pPr>
              <w:spacing w:before="60" w:after="0"/>
            </w:pPr>
            <w:r>
              <w:rPr>
                <w:rFonts w:ascii="맑은 고딕" w:cs="맑은 고딕" w:eastAsia="맑은 고딕" w:hAnsi="맑은 고딕"/>
                <w:b w:val="false"/>
                <w:bCs w:val="false"/>
                <w:color w:val="444444"/>
                <w:sz w:val="20"/>
                <w:szCs w:val="20"/>
              </w:rPr>
              <w:t xml:space="preserve">이 질문이 나오는 순간이 바로 법인 전환을 진지하게 검토해야 할 신호입니다. 개인사업자는 소득이 늘수록 세율이 급격히 높아지는 구조입니다. 주류업처럼 거래 규모가 큰 업종일수록 이 차이는 더 커집니다. 언제, 왜, 어떻게 법인으로 전환하는 것이 유리한지 정리해 드립니다.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① 핵심은 세율 차이입니다 — 개인 vs 법인</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법인 전환을 고려하는 가장 큰 이유는 세율 구조의 차이입니다. 개인사업자는 소득이 늘수록 최대 45%까지 세율이 올라가는 반면, 법인세율은 훨씬 낮은 구간에서 시작합니다.</w:t>
      </w:r>
    </w:p>
    <w:p>
      <w:pPr>
        <w:spacing w:before="60" w:after="60"/>
      </w:pPr>
      <w:r>
        <w:rPr>
          <w:sz w:val="22"/>
          <w:szCs w:val="22"/>
        </w:rPr>
        <w:t xml:space="preserve"/>
      </w:r>
    </w:p>
    <w:p>
      <w:pPr>
        <w:spacing w:before="180" w:after="80"/>
      </w:pPr>
      <w:r>
        <w:rPr>
          <w:rFonts w:ascii="맑은 고딕" w:cs="맑은 고딕" w:eastAsia="맑은 고딕" w:hAnsi="맑은 고딕"/>
          <w:b/>
          <w:bCs/>
          <w:color w:val="111111"/>
          <w:sz w:val="24"/>
          <w:szCs w:val="24"/>
        </w:rPr>
        <w:t xml:space="preserve">2025년 기준 종합소득세율 (개인사업자)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과세표준 (사업소득금액 기준)</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세율</w:t>
            </w:r>
          </w:p>
        </w:tc>
      </w:tr>
      <w:tr>
        <w:tc>
          <w:tcPr>
            <w:tcW w:type="dxa" w:w="5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1,400만 원 이하</w:t>
            </w:r>
          </w:p>
        </w:tc>
        <w:tc>
          <w:tcPr>
            <w:tcW w:type="dxa" w:w="4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6%</w:t>
            </w:r>
          </w:p>
        </w:tc>
      </w:tr>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1,400만 원 초과 ~ 5,000만 원 이하</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15%</w:t>
            </w:r>
          </w:p>
        </w:tc>
      </w:tr>
      <w:tr>
        <w:tc>
          <w:tcPr>
            <w:tcW w:type="dxa" w:w="5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5,000만 원 초과 ~ 8,800만 원 이하</w:t>
            </w:r>
          </w:p>
        </w:tc>
        <w:tc>
          <w:tcPr>
            <w:tcW w:type="dxa" w:w="4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24%</w:t>
            </w:r>
          </w:p>
        </w:tc>
      </w:tr>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8,800만 원 초과 ~ 1억 5,000만 원 이하</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35%</w:t>
            </w:r>
          </w:p>
        </w:tc>
      </w:tr>
      <w:tr>
        <w:tc>
          <w:tcPr>
            <w:tcW w:type="dxa" w:w="5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1억 5,000만 원 초과 ~ 3억 원 이하</w:t>
            </w:r>
          </w:p>
        </w:tc>
        <w:tc>
          <w:tcPr>
            <w:tcW w:type="dxa" w:w="4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38%</w:t>
            </w:r>
          </w:p>
        </w:tc>
      </w:tr>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3억 원 초과 ~ 5억 원 이하</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40%</w:t>
            </w:r>
          </w:p>
        </w:tc>
      </w:tr>
      <w:tr>
        <w:tc>
          <w:tcPr>
            <w:tcW w:type="dxa" w:w="5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5억 원 초과 ~ 10억 원 이하</w:t>
            </w:r>
          </w:p>
        </w:tc>
        <w:tc>
          <w:tcPr>
            <w:tcW w:type="dxa" w:w="4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42%</w:t>
            </w:r>
          </w:p>
        </w:tc>
      </w:tr>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10억 원 초과</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45%</w:t>
            </w:r>
          </w:p>
        </w:tc>
      </w:tr>
    </w:tbl>
    <w:p>
      <w:pPr>
        <w:spacing w:before="60" w:after="60"/>
      </w:pPr>
      <w:r>
        <w:rPr>
          <w:sz w:val="22"/>
          <w:szCs w:val="22"/>
        </w:rPr>
        <w:t xml:space="preserve"/>
      </w:r>
    </w:p>
    <w:p>
      <w:pPr>
        <w:spacing w:before="180" w:after="80"/>
      </w:pPr>
      <w:r>
        <w:rPr>
          <w:rFonts w:ascii="맑은 고딕" w:cs="맑은 고딕" w:eastAsia="맑은 고딕" w:hAnsi="맑은 고딕"/>
          <w:b/>
          <w:bCs/>
          <w:color w:val="111111"/>
          <w:sz w:val="24"/>
          <w:szCs w:val="24"/>
        </w:rPr>
        <w:t xml:space="preserve">2026년부터 적용 법인세율 (2025년 12월 국회 통과)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과세표준 (법인 기준)</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세율 (지방소득세 포함 실질 세율)</w:t>
            </w:r>
          </w:p>
        </w:tc>
      </w:tr>
      <w:tr>
        <w:tc>
          <w:tcPr>
            <w:tcW w:type="dxa" w:w="5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2억 원 이하</w:t>
            </w:r>
          </w:p>
        </w:tc>
        <w:tc>
          <w:tcPr>
            <w:tcW w:type="dxa" w:w="4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11% (지방소득세 포함 12.1%)</w:t>
            </w:r>
          </w:p>
        </w:tc>
      </w:tr>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2억 원 초과 ~ 200억 원 이하</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22% (지방소득세 포함 24.2%)</w:t>
            </w:r>
          </w:p>
        </w:tc>
      </w:tr>
      <w:tr>
        <w:tc>
          <w:tcPr>
            <w:tcW w:type="dxa" w:w="5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200억 원 초과 ~ 3,000억 원 이하</w:t>
            </w:r>
          </w:p>
        </w:tc>
        <w:tc>
          <w:tcPr>
            <w:tcW w:type="dxa" w:w="4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24% (지방소득세 포함 26.4%)</w:t>
            </w:r>
          </w:p>
        </w:tc>
      </w:tr>
      <w:tr>
        <w:tc>
          <w:tcPr>
            <w:tcW w:type="dxa" w:w="5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3,000억 원 초과</w:t>
            </w:r>
          </w:p>
        </w:tc>
        <w:tc>
          <w:tcPr>
            <w:tcW w:type="dxa" w:w="4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27% (지방소득세 포함 29.7%)</w:t>
            </w:r>
          </w:p>
        </w:tc>
      </w:tr>
    </w:tbl>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A90D9" w:sz="4"/>
              <w:left w:val="single" w:color="4A90D9" w:sz="4"/>
              <w:bottom w:val="single" w:color="4A90D9" w:sz="4"/>
              <w:right w:val="single" w:color="4A90D9" w:sz="4"/>
            </w:tcBorders>
            <w:shd w:fill="EBF4FF" w:val="clear"/>
            <w:tcMar>
              <w:top w:type="dxa" w:w="160"/>
              <w:left w:type="dxa" w:w="200"/>
              <w:bottom w:type="dxa" w:w="160"/>
              <w:right w:type="dxa" w:w="200"/>
            </w:tcMar>
          </w:tcPr>
          <w:p>
            <w:pPr>
              <w:spacing w:before="0" w:after="0"/>
            </w:pPr>
            <w:r>
              <w:rPr>
                <w:rFonts w:ascii="맑은 고딕" w:cs="맑은 고딕" w:eastAsia="맑은 고딕" w:hAnsi="맑은 고딕"/>
                <w:b/>
                <w:bCs/>
                <w:color w:val="1A4F8A"/>
                <w:sz w:val="20"/>
                <w:szCs w:val="20"/>
              </w:rPr>
              <w:t xml:space="preserve">세율 차이 실감 예시</w:t>
            </w:r>
          </w:p>
          <w:p>
            <w:pPr>
              <w:spacing w:before="60" w:after="0"/>
            </w:pPr>
            <w:r>
              <w:rPr>
                <w:rFonts w:ascii="맑은 고딕" w:cs="맑은 고딕" w:eastAsia="맑은 고딕" w:hAnsi="맑은 고딕"/>
                <w:b w:val="false"/>
                <w:bCs w:val="false"/>
                <w:color w:val="1A4F8A"/>
                <w:sz w:val="20"/>
                <w:szCs w:val="20"/>
              </w:rPr>
              <w:t xml:space="preserve">순이익 1억 원인 주류도매업 사장님의 경우</w:t>
            </w:r>
          </w:p>
          <w:p>
            <w:pPr>
              <w:spacing w:before="60" w:after="0"/>
            </w:pPr>
            <w:r>
              <w:rPr>
                <w:rFonts w:ascii="맑은 고딕" w:cs="맑은 고딕" w:eastAsia="맑은 고딕" w:hAnsi="맑은 고딕"/>
                <w:b w:val="false"/>
                <w:bCs w:val="false"/>
                <w:color w:val="1A4F8A"/>
                <w:sz w:val="20"/>
                <w:szCs w:val="20"/>
              </w:rPr>
              <w:t xml:space="preserve">→ 개인사업자 : 과세표준 구조상 실효세율 약 30~35% 수준 → 납부세액 약 3,000~3,500만 원</w:t>
            </w:r>
          </w:p>
          <w:p>
            <w:pPr>
              <w:spacing w:before="60" w:after="0"/>
            </w:pPr>
            <w:r>
              <w:rPr>
                <w:rFonts w:ascii="맑은 고딕" w:cs="맑은 고딕" w:eastAsia="맑은 고딕" w:hAnsi="맑은 고딕"/>
                <w:b w:val="false"/>
                <w:bCs w:val="false"/>
                <w:color w:val="1A4F8A"/>
                <w:sz w:val="20"/>
                <w:szCs w:val="20"/>
              </w:rPr>
              <w:t xml:space="preserve">→ 법인 전환 후 : 법인세율 11~22% 적용 → 법인세 약 1,500~2,000만 원 수준</w:t>
            </w:r>
          </w:p>
          <w:p>
            <w:pPr>
              <w:spacing w:before="60" w:after="0"/>
            </w:pPr>
            <w:r>
              <w:rPr>
                <w:rFonts w:ascii="맑은 고딕" w:cs="맑은 고딕" w:eastAsia="맑은 고딕" w:hAnsi="맑은 고딕"/>
                <w:b w:val="false"/>
                <w:bCs w:val="false"/>
                <w:color w:val="1A4F8A"/>
                <w:sz w:val="20"/>
                <w:szCs w:val="20"/>
              </w:rPr>
              <w:t xml:space="preserve">→ 절세 효과 : 연간 1,000만 원 이상 차이 발생 가능 (개인 급여·배당 구조에 따라 달라짐)</w:t>
            </w:r>
          </w:p>
          <w:p>
            <w:pPr>
              <w:spacing w:before="60" w:after="0"/>
            </w:pPr>
            <w:r>
              <w:rPr>
                <w:rFonts w:ascii="맑은 고딕" w:cs="맑은 고딕" w:eastAsia="맑은 고딕" w:hAnsi="맑은 고딕"/>
                <w:b w:val="false"/>
                <w:bCs w:val="false"/>
                <w:color w:val="1A4F8A"/>
                <w:sz w:val="20"/>
                <w:szCs w:val="20"/>
              </w:rPr>
              <w:t xml:space="preserve">※ 위 수치는 단순 비교 예시이며, 실제 절세액은 소득공제·경비 구조·대표 급여 설정에 따라 달라집니다.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② 세금 외에도 달라지는 것들</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법인 전환은 세율 절감 외에도 여러 실질적인 혜택이 있습니다. 주류업처럼 거래 규모가 크고 장기 운영을 목표로 하는 업종에서는 특히 아래 항목들이 중요합니다.</w:t>
      </w:r>
    </w:p>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항목</w:t>
            </w:r>
          </w:p>
        </w:tc>
        <w:tc>
          <w:tcPr>
            <w:tcW w:type="dxa" w:w="5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법인 전환 후 달라지는 점</w:t>
            </w:r>
          </w:p>
        </w:tc>
      </w:tr>
      <w:tr>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대표자 급여 처리</w:t>
            </w:r>
          </w:p>
        </w:tc>
        <w:tc>
          <w:tcPr>
            <w:tcW w:type="dxa" w:w="55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법인에서 대표 급여를 지급하면 법인 비용으로 인정 → 법인세 절감 효과 (개인사업자는 본인 급여 경비 불인정)</w:t>
            </w:r>
          </w:p>
        </w:tc>
      </w:tr>
      <w:tr>
        <w:tc>
          <w:tcPr>
            <w:tcW w:type="dxa" w:w="3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건강보험료</w:t>
            </w:r>
          </w:p>
        </w:tc>
        <w:tc>
          <w:tcPr>
            <w:tcW w:type="dxa" w:w="5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법인 대표는 '직장가입자'로 전환 → 지역가입자 대비 건강보험료 절감 가능 (재산·소득 연동 지역가입료 부담 해소)</w:t>
            </w:r>
          </w:p>
        </w:tc>
      </w:tr>
      <w:tr>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대외 신용도</w:t>
            </w:r>
          </w:p>
        </w:tc>
        <w:tc>
          <w:tcPr>
            <w:tcW w:type="dxa" w:w="55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법인은 개인사업자보다 금융 신용도가 높아 대출·투자 유치에 유리</w:t>
            </w:r>
          </w:p>
        </w:tc>
      </w:tr>
      <w:tr>
        <w:tc>
          <w:tcPr>
            <w:tcW w:type="dxa" w:w="3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상속·증여 절세</w:t>
            </w:r>
          </w:p>
        </w:tc>
        <w:tc>
          <w:tcPr>
            <w:tcW w:type="dxa" w:w="5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자녀를 주주로 참여시키면 지분 증여 방식으로 상속세 부담 분산 가능</w:t>
            </w:r>
          </w:p>
        </w:tc>
      </w:tr>
      <w:tr>
        <w:tc>
          <w:tcPr>
            <w:tcW w:type="dxa" w:w="35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결손금 이월 공제</w:t>
            </w:r>
          </w:p>
        </w:tc>
        <w:tc>
          <w:tcPr>
            <w:tcW w:type="dxa" w:w="55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법인은 결손금을 최대 15년간 이월해 미래 소득에서 공제 가능</w:t>
            </w:r>
          </w:p>
        </w:tc>
      </w:tr>
      <w:tr>
        <w:tc>
          <w:tcPr>
            <w:tcW w:type="dxa" w:w="35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퇴직금 비용처리</w:t>
            </w:r>
          </w:p>
        </w:tc>
        <w:tc>
          <w:tcPr>
            <w:tcW w:type="dxa" w:w="55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법인 대표 퇴직금을 정관으로 설정하면 법인 비용으로 인정 → 절세 + 노후 대비 동시 가능</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③ 언제 전환하는 게 유리할까? — 3가지 신호</w:t>
      </w:r>
    </w:p>
    <w:p>
      <w:pPr>
        <w:spacing w:before="40" w:after="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1  순이익이 연 5,000만 원을 넘기 시작했다</w:t>
            </w:r>
          </w:p>
          <w:p>
            <w:pPr>
              <w:spacing w:before="60" w:after="0"/>
            </w:pPr>
            <w:r>
              <w:rPr>
                <w:rFonts w:ascii="맑은 고딕" w:cs="맑은 고딕" w:eastAsia="맑은 고딕" w:hAnsi="맑은 고딕"/>
                <w:b w:val="false"/>
                <w:bCs w:val="false"/>
                <w:color w:val="7A5200"/>
                <w:sz w:val="20"/>
                <w:szCs w:val="20"/>
              </w:rPr>
              <w:t xml:space="preserve">일반적으로 순이익(세전 사업소득) 기준 5,000만 원을 넘으면 종합소득세율이 24% 구간에 진입합니다. 이 시점부터 법인세율(11~22%)과의 차이가 본격적으로 벌어지기 시작합니다. 순이익 1~2억 원 수준이면 법인 전환 효과가 가장 큰 시기입니다.</w:t>
            </w:r>
          </w:p>
        </w:tc>
      </w:tr>
    </w:tbl>
    <w:p>
      <w:pPr>
        <w:spacing w:before="50" w:after="5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2  성실신고확인 대상 기준에 근접하고 있다</w:t>
            </w:r>
          </w:p>
          <w:p>
            <w:pPr>
              <w:spacing w:before="60" w:after="0"/>
            </w:pPr>
            <w:r>
              <w:rPr>
                <w:rFonts w:ascii="맑은 고딕" w:cs="맑은 고딕" w:eastAsia="맑은 고딕" w:hAnsi="맑은 고딕"/>
                <w:b w:val="false"/>
                <w:bCs w:val="false"/>
                <w:color w:val="7A5200"/>
                <w:sz w:val="20"/>
                <w:szCs w:val="20"/>
              </w:rPr>
              <w:t xml:space="preserve">도매·소매업의 성실신고확인 대상 기준은 연 수입 15억 원입니다. 이 기준에 근접하면 세무 부담이 크게 늘어납니다. 주의할 점은, 성실신고확인 대상이 된 상태에서 법인으로 전환하면 법인 전환 후에도 3년간 성실신고 의무가 유지됩니다. 따라서 성실신고확인 대상이 되기 전에 전환하는 것이 유리합니다.</w:t>
            </w:r>
          </w:p>
        </w:tc>
      </w:tr>
    </w:tbl>
    <w:p>
      <w:pPr>
        <w:spacing w:before="50" w:after="5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신호 3  사업 규모 확장, 직원 채용, 외부 투자를 고려 중이다</w:t>
            </w:r>
          </w:p>
          <w:p>
            <w:pPr>
              <w:spacing w:before="60" w:after="0"/>
            </w:pPr>
            <w:r>
              <w:rPr>
                <w:rFonts w:ascii="맑은 고딕" w:cs="맑은 고딕" w:eastAsia="맑은 고딕" w:hAnsi="맑은 고딕"/>
                <w:b w:val="false"/>
                <w:bCs w:val="false"/>
                <w:color w:val="7A5200"/>
                <w:sz w:val="20"/>
                <w:szCs w:val="20"/>
              </w:rPr>
              <w:t xml:space="preserve">법인은 외부 투자자로부터 자금을 조달하거나 금융권 대출을 받기 훨씬 용이합니다. 직원이 늘어나고 사업이 커질수록 법인 형태의 경영 구조가 적합해집니다. 세금 절감뿐 아니라 사업의 '구조화' 차원에서도 법인 전환을 검토할 시점입니다.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④ 법인 전환 방법 — 4가지 중 상황에 맞게 선택</w:t>
      </w:r>
    </w:p>
    <w:p>
      <w:pPr>
        <w:spacing w:before="40" w:after="40"/>
      </w:pPr>
      <w:r>
        <w:rPr>
          <w:sz w:val="22"/>
          <w:szCs w:val="22"/>
        </w:rPr>
        <w:t xml:space="preserve"/>
      </w:r>
    </w:p>
    <w:p>
      <w:pPr>
        <w:spacing w:before="80" w:after="80"/>
      </w:pPr>
      <w:r>
        <w:rPr>
          <w:rFonts w:ascii="맑은 고딕" w:cs="맑은 고딕" w:eastAsia="맑은 고딕" w:hAnsi="맑은 고딕"/>
          <w:color w:val="222222"/>
          <w:sz w:val="22"/>
          <w:szCs w:val="22"/>
        </w:rPr>
        <w:t xml:space="preserve">법인 전환 방법은 사업 규모와 자산 구조에 따라 달라집니다. 각 방법의 특징을 간단히 정리합니다.</w:t>
      </w:r>
    </w:p>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방법</w:t>
            </w:r>
          </w:p>
        </w:tc>
        <w:tc>
          <w:tcPr>
            <w:tcW w:type="dxa" w:w="6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특징 및 적합 상황</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① 단순 폐업 후 법인 설립</w:t>
            </w:r>
          </w:p>
        </w:tc>
        <w:tc>
          <w:tcPr>
            <w:tcW w:type="dxa" w:w="6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가장 간단한 방법. 자산 규모가 작거나 영업권 가치가 낮을 때 적합. 기존 거래처·계약 승계에 별도 절차 필요</w:t>
            </w:r>
          </w:p>
        </w:tc>
      </w:tr>
      <w:tr>
        <w:tc>
          <w:tcPr>
            <w:tcW w:type="dxa" w:w="3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② 사업 양수도 (포괄양수도)</w:t>
            </w:r>
          </w:p>
        </w:tc>
        <w:tc>
          <w:tcPr>
            <w:tcW w:type="dxa" w:w="6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개인사업자 폐업 없이 법인이 사업 전체를 인수. 주류 면허, 거래처 계약 승계에 유리. 부가세 면세 혜택 가능</w:t>
            </w:r>
          </w:p>
        </w:tc>
      </w:tr>
      <w:tr>
        <w:tc>
          <w:tcPr>
            <w:tcW w:type="dxa" w:w="3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③ 현물출자</w:t>
            </w:r>
          </w:p>
        </w:tc>
        <w:tc>
          <w:tcPr>
            <w:tcW w:type="dxa" w:w="6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개인사업자의 자산을 법인 출자금으로 전환. 절세 효과 크지만 절차 복잡. 세무사·법무사 협력 필수</w:t>
            </w:r>
          </w:p>
        </w:tc>
      </w:tr>
      <w:tr>
        <w:tc>
          <w:tcPr>
            <w:tcW w:type="dxa" w:w="3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④ 중소기업 통합</w:t>
            </w:r>
          </w:p>
        </w:tc>
        <w:tc>
          <w:tcPr>
            <w:tcW w:type="dxa" w:w="6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개인기업과 법인기업을 합병하는 방식. 규모가 큰 경우 검토. 절차가 가장 복잡</w:t>
            </w:r>
          </w:p>
        </w:tc>
      </w:tr>
    </w:tbl>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3333" w:sz="4"/>
              <w:left w:val="single" w:color="CC3333" w:sz="4"/>
              <w:bottom w:val="single" w:color="CC3333" w:sz="4"/>
              <w:right w:val="single" w:color="CC3333" w:sz="4"/>
            </w:tcBorders>
            <w:shd w:fill="FFF0F0" w:val="clear"/>
            <w:tcMar>
              <w:top w:type="dxa" w:w="160"/>
              <w:left w:type="dxa" w:w="200"/>
              <w:bottom w:type="dxa" w:w="160"/>
              <w:right w:type="dxa" w:w="200"/>
            </w:tcMar>
          </w:tcPr>
          <w:p>
            <w:pPr>
              <w:spacing w:before="0" w:after="0"/>
            </w:pPr>
            <w:r>
              <w:rPr>
                <w:rFonts w:ascii="맑은 고딕" w:cs="맑은 고딕" w:eastAsia="맑은 고딕" w:hAnsi="맑은 고딕"/>
                <w:b/>
                <w:bCs/>
                <w:color w:val="8B1A1A"/>
                <w:sz w:val="20"/>
                <w:szCs w:val="20"/>
              </w:rPr>
              <w:t xml:space="preserve">주류업 사장님께 가장 실용적인 방법은?</w:t>
            </w:r>
          </w:p>
          <w:p>
            <w:pPr>
              <w:spacing w:before="60" w:after="0"/>
            </w:pPr>
            <w:r>
              <w:rPr>
                <w:rFonts w:ascii="맑은 고딕" w:cs="맑은 고딕" w:eastAsia="맑은 고딕" w:hAnsi="맑은 고딕"/>
                <w:b w:val="false"/>
                <w:bCs w:val="false"/>
                <w:color w:val="8B1A1A"/>
                <w:sz w:val="20"/>
                <w:szCs w:val="20"/>
              </w:rPr>
              <w:t xml:space="preserve">주류도매업의 경우 주류 면허가 핵심 자산입니다. 단순 폐업 후 신규 법인을 설립하면 면허를 새로 신청해야 하는 번거로움이 있습니다. 포괄양수도 방식을 활용하면 기존 면허와 거래처 관계를 법인으로 승계할 가능성이 높아집니다. 단, 주류 면허의 법인 승계 가능 여부는 관할 세무서와 사전에 반드시 확인해야 합니다.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⑤ 전환 시기도 전략입니다 — 언제 하느냐가 세금을 바꿉니다</w:t>
      </w:r>
    </w:p>
    <w:p>
      <w:pPr>
        <w:spacing w:before="40" w:after="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전환 시기 전략</w:t>
            </w:r>
          </w:p>
        </w:tc>
        <w:tc>
          <w:tcPr>
            <w:tcW w:type="dxa" w:w="5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b/>
                <w:bCs/>
                <w:color w:val="555555"/>
                <w:sz w:val="20"/>
                <w:szCs w:val="20"/>
              </w:rPr>
              <w:t xml:space="preserve">이유</w:t>
            </w:r>
          </w:p>
        </w:tc>
      </w:tr>
      <w:tr>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연도 중반(6~7월)에 전환</w:t>
            </w:r>
          </w:p>
        </w:tc>
        <w:tc>
          <w:tcPr>
            <w:tcW w:type="dxa" w:w="5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개인소득 6개월 + 법인소득 6개월로 분산 → 종합소득세 세율 구간 낮춤 효과</w:t>
            </w:r>
          </w:p>
        </w:tc>
      </w:tr>
      <w:tr>
        <w:tc>
          <w:tcPr>
            <w:tcW w:type="dxa" w:w="4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성실신고확인 기준 도달 전에 전환</w:t>
            </w:r>
          </w:p>
        </w:tc>
        <w:tc>
          <w:tcPr>
            <w:tcW w:type="dxa" w:w="5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전환 후 3년간 성실신고 의무 적용되는 패널티 회피</w:t>
            </w:r>
          </w:p>
        </w:tc>
      </w:tr>
      <w:tr>
        <w:tc>
          <w:tcPr>
            <w:tcW w:type="dxa" w:w="4000"/>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부가세 신고 기간에 맞춰 전환</w:t>
            </w:r>
          </w:p>
        </w:tc>
        <w:tc>
          <w:tcPr>
            <w:tcW w:type="dxa" w:w="5026"/>
            <w:tcBorders>
              <w:top w:val="single" w:color="DDDDDD" w:sz="4"/>
              <w:left w:val="single" w:color="DDDDDD" w:sz="4"/>
              <w:bottom w:val="single" w:color="DDDDDD" w:sz="4"/>
              <w:right w:val="single" w:color="DDDDDD" w:sz="4"/>
            </w:tcBorders>
            <w:shd w:fill="FFFFFF"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개인 폐업 부가세 확정신고를 법인 설립과 동시에 처리 → 행정 간소화</w:t>
            </w:r>
          </w:p>
        </w:tc>
      </w:tr>
      <w:tr>
        <w:tc>
          <w:tcPr>
            <w:tcW w:type="dxa" w:w="4000"/>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재고가 적을 때 전환</w:t>
            </w:r>
          </w:p>
        </w:tc>
        <w:tc>
          <w:tcPr>
            <w:tcW w:type="dxa" w:w="5026"/>
            <w:tcBorders>
              <w:top w:val="single" w:color="DDDDDD" w:sz="4"/>
              <w:left w:val="single" w:color="DDDDDD" w:sz="4"/>
              <w:bottom w:val="single" w:color="DDDDDD" w:sz="4"/>
              <w:right w:val="single" w:color="DDDDDD" w:sz="4"/>
            </w:tcBorders>
            <w:shd w:fill="F6F8FA" w:val="clear"/>
            <w:tcMar>
              <w:top w:type="dxa" w:w="100"/>
              <w:left w:type="dxa" w:w="140"/>
              <w:bottom w:type="dxa" w:w="100"/>
              <w:right w:type="dxa" w:w="140"/>
            </w:tcMar>
          </w:tcPr>
          <w:p>
            <w:r>
              <w:rPr>
                <w:rFonts w:ascii="맑은 고딕" w:cs="맑은 고딕" w:eastAsia="맑은 고딕" w:hAnsi="맑은 고딕"/>
                <w:color w:val="222222"/>
                <w:sz w:val="20"/>
                <w:szCs w:val="20"/>
              </w:rPr>
              <w:t xml:space="preserve">개인사업자 폐업 시 잔존재화 부가세 최소화</w:t>
            </w:r>
          </w:p>
        </w:tc>
      </w:tr>
    </w:tbl>
    <w:p>
      <w:pPr>
        <w:spacing w:before="60" w:after="6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A020" w:sz="4"/>
              <w:left w:val="single" w:color="E8A020" w:sz="4"/>
              <w:bottom w:val="single" w:color="E8A020" w:sz="4"/>
              <w:right w:val="single" w:color="E8A020" w:sz="4"/>
            </w:tcBorders>
            <w:shd w:fill="FFFBF0" w:val="clear"/>
            <w:tcMar>
              <w:top w:type="dxa" w:w="160"/>
              <w:left w:type="dxa" w:w="200"/>
              <w:bottom w:type="dxa" w:w="160"/>
              <w:right w:type="dxa" w:w="200"/>
            </w:tcMar>
          </w:tcPr>
          <w:p>
            <w:pPr>
              <w:spacing w:before="0" w:after="0"/>
            </w:pPr>
            <w:r>
              <w:rPr>
                <w:rFonts w:ascii="맑은 고딕" w:cs="맑은 고딕" w:eastAsia="맑은 고딕" w:hAnsi="맑은 고딕"/>
                <w:b/>
                <w:bCs/>
                <w:color w:val="7A5200"/>
                <w:sz w:val="20"/>
                <w:szCs w:val="20"/>
              </w:rPr>
              <w:t xml:space="preserve">주의 — 법인 전환이 항상 유리한 건 아닙니다</w:t>
            </w:r>
          </w:p>
          <w:p>
            <w:pPr>
              <w:spacing w:before="60" w:after="0"/>
            </w:pPr>
            <w:r>
              <w:rPr>
                <w:rFonts w:ascii="맑은 고딕" w:cs="맑은 고딕" w:eastAsia="맑은 고딕" w:hAnsi="맑은 고딕"/>
                <w:b w:val="false"/>
                <w:bCs w:val="false"/>
                <w:color w:val="7A5200"/>
                <w:sz w:val="20"/>
                <w:szCs w:val="20"/>
              </w:rPr>
              <w:t xml:space="preserve">소득이 적은 초기 단계에서는 법인 전환이 오히려 불리할 수 있습니다. 법인은 개인보다 세무·회계 관리 비용(기장료, 법인세 신고 비용 등)이 높고, 법인 자금을 개인적으로 사용하면 가지급금 문제가 발생합니다. 순이익이 안정적으로 5,000만 원 이상 유지되는 시점이 전환을 진지하게 검토할 기준입니다.</w:t>
            </w:r>
          </w:p>
        </w:tc>
      </w:tr>
    </w:tbl>
    <w:p>
      <w:pPr>
        <w:pBdr>
          <w:bottom w:val="single" w:color="DDDDDD" w:sz="4"/>
        </w:pBdr>
        <w:spacing w:before="200" w:after="200"/>
      </w:pPr>
      <w:r>
        <w:t xml:space="preserve"/>
      </w:r>
    </w:p>
    <w:p>
      <w:pPr>
        <w:pBdr>
          <w:bottom w:val="single" w:color="DDDDDD" w:sz="8"/>
        </w:pBdr>
        <w:spacing w:before="260" w:after="120"/>
      </w:pPr>
      <w:r>
        <w:rPr>
          <w:rFonts w:ascii="맑은 고딕" w:cs="맑은 고딕" w:eastAsia="맑은 고딕" w:hAnsi="맑은 고딕"/>
          <w:b/>
          <w:bCs/>
          <w:color w:val="111111"/>
          <w:sz w:val="32"/>
          <w:szCs w:val="32"/>
        </w:rPr>
        <w:t xml:space="preserve">법인 전환 검토 체크리스트</w:t>
      </w:r>
    </w:p>
    <w:p>
      <w:pPr>
        <w:spacing w:before="40" w:after="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
        <w:gridCol w:w="8606"/>
      </w:tblGrid>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순이익이 연 5,000만 원 이상 안정적으로 발생하고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종합소득세 세율이 24% 이상 구간에 진입했는가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성실신고확인 기준 수입(15억 원)에 근접하고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사업 확장, 직원 채용, 외부 투자 계획이 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주류 면허의 법인 승계 가능 여부를 관할 세무서에 확인했는가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법인 전환 방법(단순 폐업/포괄양수도/현물출자)을 세무사와 검토했는가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single" w:color="DDDDDD" w:sz="4"/>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전환 후 대표 급여·배당 구조를 사전에 설계했는가</w:t>
            </w:r>
          </w:p>
        </w:tc>
      </w:tr>
      <w:tr>
        <w:tc>
          <w:tcPr>
            <w:tcW w:type="dxa" w:w="420"/>
            <w:tcBorders>
              <w:top w:val="none" w:color="FFFFFF" w:sz="0"/>
              <w:left w:val="none" w:color="FFFFFF" w:sz="0"/>
              <w:bottom w:val="single" w:color="DDDDDD" w:sz="4"/>
              <w:right w:val="none" w:color="FFFFFF" w:sz="0"/>
            </w:tcBorders>
            <w:tcMar>
              <w:top w:type="dxa" w:w="80"/>
              <w:left w:type="dxa" w:w="40"/>
              <w:bottom w:type="dxa" w:w="80"/>
              <w:right w:type="dxa" w:w="80"/>
            </w:tcMar>
          </w:tcPr>
          <w:p>
            <w:r>
              <w:rPr>
                <w:rFonts w:ascii="맑은 고딕" w:cs="맑은 고딕" w:eastAsia="맑은 고딕" w:hAnsi="맑은 고딕"/>
                <w:color w:val="222222"/>
                <w:sz w:val="20"/>
                <w:szCs w:val="20"/>
              </w:rPr>
              <w:t xml:space="preserve">☐</w:t>
            </w:r>
          </w:p>
        </w:tc>
        <w:tc>
          <w:tcPr>
            <w:tcW w:type="dxa" w:w="8606"/>
            <w:tcBorders>
              <w:top w:val="none" w:color="FFFFFF" w:sz="0"/>
              <w:left w:val="none" w:color="FFFFFF" w:sz="0"/>
              <w:bottom w:val="none" w:color="FFFFFF" w:sz="0"/>
              <w:right w:val="none" w:color="FFFFFF" w:sz="0"/>
            </w:tcBorders>
            <w:tcMar>
              <w:top w:type="dxa" w:w="80"/>
              <w:left w:type="dxa" w:w="40"/>
              <w:bottom w:type="dxa" w:w="80"/>
              <w:right w:type="dxa" w:w="40"/>
            </w:tcMar>
          </w:tcPr>
          <w:p>
            <w:r>
              <w:rPr>
                <w:rFonts w:ascii="맑은 고딕" w:cs="맑은 고딕" w:eastAsia="맑은 고딕" w:hAnsi="맑은 고딕"/>
                <w:color w:val="222222"/>
                <w:sz w:val="20"/>
                <w:szCs w:val="20"/>
              </w:rPr>
              <w:t xml:space="preserve">법인 설립 후 최소 5년간 유지 계획이 있는가 (취득세 추징 기준)</w:t>
            </w:r>
          </w:p>
        </w:tc>
      </w:tr>
    </w:tbl>
    <w:p>
      <w:pPr>
        <w:spacing w:before="80" w:after="8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7AE60" w:sz="4"/>
              <w:left w:val="single" w:color="27AE60" w:sz="4"/>
              <w:bottom w:val="single" w:color="27AE60" w:sz="4"/>
              <w:right w:val="single" w:color="27AE60" w:sz="4"/>
            </w:tcBorders>
            <w:shd w:fill="F0FFF4" w:val="clear"/>
            <w:tcMar>
              <w:top w:type="dxa" w:w="160"/>
              <w:left w:type="dxa" w:w="200"/>
              <w:bottom w:type="dxa" w:w="160"/>
              <w:right w:type="dxa" w:w="200"/>
            </w:tcMar>
          </w:tcPr>
          <w:p>
            <w:pPr>
              <w:spacing w:before="0" w:after="0"/>
            </w:pPr>
            <w:r>
              <w:rPr>
                <w:rFonts w:ascii="맑은 고딕" w:cs="맑은 고딕" w:eastAsia="맑은 고딕" w:hAnsi="맑은 고딕"/>
                <w:b/>
                <w:bCs/>
                <w:color w:val="1A5C35"/>
                <w:sz w:val="20"/>
                <w:szCs w:val="20"/>
              </w:rPr>
              <w:t xml:space="preserve">법인 전환은 결정 전 반드시 세무 전문가와 시뮬레이션을 진행하세요.</w:t>
            </w:r>
          </w:p>
          <w:p>
            <w:pPr>
              <w:spacing w:before="60" w:after="0"/>
            </w:pPr>
            <w:r>
              <w:rPr>
                <w:rFonts w:ascii="맑은 고딕" w:cs="맑은 고딕" w:eastAsia="맑은 고딕" w:hAnsi="맑은 고딕"/>
                <w:b w:val="false"/>
                <w:bCs w:val="false"/>
                <w:color w:val="1A5C35"/>
                <w:sz w:val="20"/>
                <w:szCs w:val="20"/>
              </w:rPr>
              <w:t xml:space="preserve">순이익 규모, 자산 현황, 주류 면허 승계 가능 여부, 가족 관계 등 개인 상황에 따라 최적의 전환 방법과 시기가 달라집니다. 잘못된 시점에 잘못된 방법으로 전환하면 오히려 세금이 늘거나 주류 면허 문제가 발생할 수 있습니다.</w:t>
            </w:r>
          </w:p>
        </w:tc>
      </w:tr>
    </w:tbl>
    <w:p>
      <w:pPr>
        <w:spacing w:before="120" w:after="12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DDDDD" w:sz="4"/>
              <w:left w:val="single" w:color="DDDDDD" w:sz="4"/>
              <w:bottom w:val="single" w:color="DDDDDD" w:sz="4"/>
              <w:right w:val="single" w:color="DDDDDD" w:sz="4"/>
            </w:tcBorders>
            <w:shd w:fill="F6F8FA" w:val="clear"/>
            <w:tcMar>
              <w:top w:type="dxa" w:w="200"/>
              <w:left w:type="dxa" w:w="280"/>
              <w:bottom w:type="dxa" w:w="200"/>
              <w:right w:type="dxa" w:w="280"/>
            </w:tcMar>
          </w:tcPr>
          <w:p>
            <w:pPr>
              <w:spacing w:before="60" w:after="60"/>
              <w:jc w:val="center"/>
            </w:pPr>
            <w:r>
              <w:rPr>
                <w:rFonts w:ascii="맑은 고딕" w:cs="맑은 고딕" w:eastAsia="맑은 고딕" w:hAnsi="맑은 고딕"/>
                <w:b/>
                <w:bCs/>
                <w:color w:val="111111"/>
                <w:sz w:val="26"/>
                <w:szCs w:val="26"/>
              </w:rPr>
              <w:t xml:space="preserve">주류업 세무, 처음부터 제대로 시작하고 싶으시다면</w:t>
            </w:r>
          </w:p>
          <w:p>
            <w:pPr>
              <w:spacing w:before="60" w:after="60"/>
              <w:jc w:val="center"/>
            </w:pPr>
            <w:r>
              <w:rPr>
                <w:rFonts w:ascii="맑은 고딕" w:cs="맑은 고딕" w:eastAsia="맑은 고딕" w:hAnsi="맑은 고딕"/>
                <w:b w:val="false"/>
                <w:bCs w:val="false"/>
                <w:color w:val="555555"/>
                <w:sz w:val="20"/>
                <w:szCs w:val="20"/>
              </w:rPr>
              <w:t xml:space="preserve">기장 서비스 및 법인 전환 상담을 제공하고 있습니다.</w:t>
            </w:r>
          </w:p>
          <w:p>
            <w:pPr>
              <w:spacing w:before="60" w:after="60"/>
              <w:jc w:val="center"/>
            </w:pPr>
            <w:r>
              <w:rPr>
                <w:rFonts w:ascii="맑은 고딕" w:cs="맑은 고딕" w:eastAsia="맑은 고딕" w:hAnsi="맑은 고딕"/>
                <w:b w:val="false"/>
                <w:bCs w:val="false"/>
                <w:color w:val="555555"/>
                <w:sz w:val="20"/>
                <w:szCs w:val="20"/>
              </w:rPr>
              <w:t xml:space="preserve">아래 연락처로 편하게 문의해 주세요. 빠르게 답변드리겠습니다.</w:t>
            </w:r>
          </w:p>
          <w:p>
            <w:pPr>
              <w:spacing w:before="60" w:after="60"/>
              <w:jc w:val="center"/>
            </w:pPr>
            <w:r>
              <w:rPr>
                <w:rFonts w:ascii="맑은 고딕" w:cs="맑은 고딕" w:eastAsia="맑은 고딕" w:hAnsi="맑은 고딕"/>
                <w:b w:val="false"/>
                <w:bCs w:val="false"/>
                <w:color w:val="222222"/>
                <w:sz w:val="20"/>
                <w:szCs w:val="20"/>
              </w:rPr>
              <w:t xml:space="preserve"/>
            </w:r>
          </w:p>
          <w:p>
            <w:pPr>
              <w:spacing w:before="60" w:after="60"/>
              <w:jc w:val="center"/>
            </w:pPr>
            <w:r>
              <w:rPr>
                <w:rFonts w:ascii="맑은 고딕" w:cs="맑은 고딕" w:eastAsia="맑은 고딕" w:hAnsi="맑은 고딕"/>
                <w:b/>
                <w:bCs/>
                <w:color w:val="222222"/>
                <w:sz w:val="20"/>
                <w:szCs w:val="20"/>
              </w:rPr>
              <w:t xml:space="preserve">📞  전화 : 010-7170-9363</w:t>
            </w:r>
          </w:p>
          <w:p>
            <w:pPr>
              <w:spacing w:before="60" w:after="60"/>
              <w:jc w:val="center"/>
            </w:pPr>
            <w:r>
              <w:rPr>
                <w:rFonts w:ascii="맑은 고딕" w:cs="맑은 고딕" w:eastAsia="맑은 고딕" w:hAnsi="맑은 고딕"/>
                <w:b/>
                <w:bCs/>
                <w:color w:val="222222"/>
                <w:sz w:val="20"/>
                <w:szCs w:val="20"/>
              </w:rPr>
              <w:t xml:space="preserve">📧  이메일 : joyneru@gmail.com</w:t>
            </w:r>
          </w:p>
        </w:tc>
      </w:tr>
    </w:tbl>
    <w:p>
      <w:pPr>
        <w:spacing w:before="120" w:after="120"/>
      </w:pPr>
      <w:r>
        <w:rPr>
          <w:sz w:val="22"/>
          <w:szCs w:val="22"/>
        </w:rPr>
        <w:t xml:space="preserve"/>
      </w:r>
    </w:p>
    <w:p>
      <w:pPr>
        <w:pBdr>
          <w:top w:val="single" w:color="DDDDDD" w:sz="4"/>
        </w:pBdr>
        <w:spacing w:before="80" w:after="80"/>
      </w:pPr>
      <w:r>
        <w:rPr>
          <w:rFonts w:ascii="맑은 고딕" w:cs="맑은 고딕" w:eastAsia="맑은 고딕" w:hAnsi="맑은 고딕"/>
          <w:color w:val="888888"/>
          <w:sz w:val="18"/>
          <w:szCs w:val="18"/>
        </w:rPr>
        <w:t xml:space="preserve">※ 본 포스팅은 일반적인 세무 정보 제공을 목적으로 작성되었으며, 개별 사업자의 상황에 따라 적용 내용이 달라질 수 있습니다. 구체적인 사항은 세무 전문가와 상담하시기 바랍니다.</w:t>
      </w:r>
    </w:p>
    <w:p>
      <w:pPr>
        <w:spacing w:before="80" w:after="80"/>
      </w:pPr>
      <w:r>
        <w:rPr>
          <w:rFonts w:ascii="맑은 고딕" w:cs="맑은 고딕" w:eastAsia="맑은 고딕" w:hAnsi="맑은 고딕"/>
          <w:b w:val="false"/>
          <w:bCs w:val="false"/>
          <w:color w:val="888888"/>
          <w:sz w:val="18"/>
          <w:szCs w:val="18"/>
        </w:rPr>
        <w:t xml:space="preserve">참고 법령 : 법인세법 제55조(세율), 소득세법 제55조(세율), 조세특례제한법 제32조(중소기업 통합에 대한 양도소득세의 이월과세), 주류 면허 등에 관한 법률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2026-03-25T03:15:24.453Z</dcterms:created>
  <dcterms:modified xsi:type="dcterms:W3CDTF">2026-03-25T03:15:24.453Z</dcterms:modified>
</cp:coreProperties>
</file>

<file path=docProps/custom.xml><?xml version="1.0" encoding="utf-8"?>
<Properties xmlns="http://schemas.openxmlformats.org/officeDocument/2006/custom-properties" xmlns:vt="http://schemas.openxmlformats.org/officeDocument/2006/docPropsVTypes"/>
</file>