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160"/>
      </w:pPr>
      <w:r>
        <w:rPr>
          <w:rFonts w:ascii="맑은 고딕" w:cs="맑은 고딕" w:eastAsia="맑은 고딕" w:hAnsi="맑은 고딕"/>
          <w:b/>
          <w:bCs/>
          <w:color w:val="1A6FCC"/>
          <w:sz w:val="20"/>
          <w:szCs w:val="20"/>
        </w:rPr>
        <w:t xml:space="preserve">#주류업세무조사</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#주류도매세무</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#무자료거래</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#부가가치율</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#세무조사대비</w:t>
      </w:r>
      <w:r>
        <w:rPr>
          <w:rFonts w:ascii="맑은 고딕" w:cs="맑은 고딕" w:eastAsia="맑은 고딕" w:hAnsi="맑은 고딕"/>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4"/>
              <w:left w:val="single" w:color="4A90D9" w:sz="4"/>
              <w:bottom w:val="single" w:color="4A90D9" w:sz="4"/>
              <w:right w:val="single" w:color="4A90D9" w:sz="4"/>
            </w:tcBorders>
            <w:shd w:fill="F6F8FA" w:val="clear"/>
            <w:tcMar>
              <w:top w:type="dxa" w:w="160"/>
              <w:left w:type="dxa" w:w="200"/>
              <w:bottom w:type="dxa" w:w="160"/>
              <w:right w:type="dxa" w:w="200"/>
            </w:tcMar>
          </w:tcPr>
          <w:p>
            <w:pPr>
              <w:spacing w:before="0" w:after="0"/>
            </w:pPr>
            <w:r>
              <w:rPr>
                <w:rFonts w:ascii="맑은 고딕" w:cs="맑은 고딕" w:eastAsia="맑은 고딕" w:hAnsi="맑은 고딕"/>
                <w:b w:val="false"/>
                <w:bCs w:val="false"/>
                <w:color w:val="444444"/>
                <w:sz w:val="20"/>
                <w:szCs w:val="20"/>
              </w:rPr>
              <w:t xml:space="preserve">"우리 세무조사 받을 일 없겠지?"</w:t>
            </w:r>
            <w:r>
              <w:rPr>
                <w:rFonts w:ascii="맑은 고딕" w:cs="맑은 고딕" w:eastAsia="맑은 고딕" w:hAnsi="맑은 고딕"/>
                <w:b/>
                <w:bCs/>
                <w:color w:val="444444"/>
                <w:sz w:val="20"/>
                <w:szCs w:val="20"/>
              </w:rPr>
              <w:t xml:space="preserve"> — 이렇게 생각하는 사장님이 가장 위험합니다.</w:t>
            </w:r>
          </w:p>
          <w:p>
            <w:pPr>
              <w:spacing w:before="60" w:after="0"/>
            </w:pPr>
            <w:r>
              <w:rPr>
                <w:rFonts w:ascii="맑은 고딕" w:cs="맑은 고딕" w:eastAsia="맑은 고딕" w:hAnsi="맑은 고딕"/>
                <w:b w:val="false"/>
                <w:bCs w:val="false"/>
                <w:color w:val="444444"/>
                <w:sz w:val="20"/>
                <w:szCs w:val="20"/>
              </w:rPr>
              <w:t xml:space="preserve">주류업은 거래 규모가 크고 유통 흐름이 복잡해, 국세청이 집중 관리하는 업종 중 하나입니다. 세무조사는 '나쁜 사람'만 받는 게 아닙니다. 어떤 경우에 선정되는지를 알면, 사전에 충분히 대비할 수 있습니다.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① 세무조사는 어떤 경우에 나오나요?</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세무조사 선정은 크게 '정기선정'과 '비정기선정' 두 가지로 나뉩니다. 주류업 사장님이 특히 주의해야 할 것은 비정기선정입니다.</w:t>
      </w:r>
    </w:p>
    <w:p>
      <w:pPr>
        <w:spacing w:before="60" w:after="60"/>
      </w:pPr>
      <w:r>
        <w:rPr>
          <w:sz w:val="22"/>
          <w:szCs w:val="22"/>
        </w:rPr>
        <w:t xml:space="preserve"/>
      </w:r>
    </w:p>
    <w:p>
      <w:pPr>
        <w:spacing w:before="180" w:after="80"/>
      </w:pPr>
      <w:r>
        <w:rPr>
          <w:rFonts w:ascii="맑은 고딕" w:cs="맑은 고딕" w:eastAsia="맑은 고딕" w:hAnsi="맑은 고딕"/>
          <w:b/>
          <w:bCs/>
          <w:color w:val="111111"/>
          <w:sz w:val="24"/>
          <w:szCs w:val="24"/>
        </w:rPr>
        <w:t xml:space="preserve">정기선정 — 누구나 해당될 수 있는 순환 조사</w:t>
      </w:r>
    </w:p>
    <w:p>
      <w:pPr>
        <w:spacing w:before="80" w:after="80"/>
      </w:pPr>
      <w:r>
        <w:rPr>
          <w:rFonts w:ascii="맑은 고딕" w:cs="맑은 고딕" w:eastAsia="맑은 고딕" w:hAnsi="맑은 고딕"/>
          <w:color w:val="222222"/>
          <w:sz w:val="22"/>
          <w:szCs w:val="22"/>
        </w:rPr>
        <w:t xml:space="preserve">국세기본법 제81조의6에 따라, 국세청은 신고 내용의 성실도를 분석해 불성실 혐의가 있다고 인정되거나, 최근 4과세기간 이상 같은 세목의 세무조사를 받지 않은 납세자를 정기적으로 선정할 수 있습니다. 규모가 작아도 오래 조사를 받지 않았다면 대상이 될 수 있습니다.</w:t>
      </w:r>
    </w:p>
    <w:p>
      <w:pPr>
        <w:spacing w:before="60" w:after="60"/>
      </w:pPr>
      <w:r>
        <w:rPr>
          <w:sz w:val="22"/>
          <w:szCs w:val="22"/>
        </w:rPr>
        <w:t xml:space="preserve"/>
      </w:r>
    </w:p>
    <w:p>
      <w:pPr>
        <w:spacing w:before="180" w:after="80"/>
      </w:pPr>
      <w:r>
        <w:rPr>
          <w:rFonts w:ascii="맑은 고딕" w:cs="맑은 고딕" w:eastAsia="맑은 고딕" w:hAnsi="맑은 고딕"/>
          <w:b/>
          <w:bCs/>
          <w:color w:val="111111"/>
          <w:sz w:val="24"/>
          <w:szCs w:val="24"/>
        </w:rPr>
        <w:t xml:space="preserve">비정기선정 — 주류업에서 특히 위험한 유형</w:t>
      </w:r>
    </w:p>
    <w:p>
      <w:pPr>
        <w:spacing w:before="80" w:after="80"/>
      </w:pPr>
      <w:r>
        <w:rPr>
          <w:rFonts w:ascii="맑은 고딕" w:cs="맑은 고딕" w:eastAsia="맑은 고딕" w:hAnsi="맑은 고딕"/>
          <w:color w:val="222222"/>
          <w:sz w:val="22"/>
          <w:szCs w:val="22"/>
        </w:rPr>
        <w:t xml:space="preserve">다음 중 하나라도 해당되면 언제든지 세무조사 대상이 될 수 있습니다.</w:t>
      </w:r>
    </w:p>
    <w:p>
      <w:pPr>
        <w:spacing w:before="40" w:after="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선정 사유</w:t>
            </w:r>
          </w:p>
        </w:tc>
        <w:tc>
          <w:tcPr>
            <w:tcW w:type="dxa" w:w="52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주류업 관련 예시</w:t>
            </w:r>
          </w:p>
        </w:tc>
      </w:tr>
      <w:tr>
        <w:tc>
          <w:tcPr>
            <w:tcW w:type="dxa" w:w="3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납세협력의무 불이행</w:t>
            </w:r>
          </w:p>
        </w:tc>
        <w:tc>
          <w:tcPr>
            <w:tcW w:type="dxa" w:w="52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세금계산서 미발급, 주류 매출 합계표 미제출</w:t>
            </w:r>
          </w:p>
        </w:tc>
      </w:tr>
      <w:tr>
        <w:tc>
          <w:tcPr>
            <w:tcW w:type="dxa" w:w="38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무자료거래·위장·가공거래 혐의</w:t>
            </w:r>
          </w:p>
        </w:tc>
        <w:tc>
          <w:tcPr>
            <w:tcW w:type="dxa" w:w="52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세금계산서 없이 주류를 공급하거나 공급받은 경우</w:t>
            </w:r>
          </w:p>
        </w:tc>
      </w:tr>
      <w:tr>
        <w:tc>
          <w:tcPr>
            <w:tcW w:type="dxa" w:w="3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구체적인 탈세 제보</w:t>
            </w:r>
          </w:p>
        </w:tc>
        <w:tc>
          <w:tcPr>
            <w:tcW w:type="dxa" w:w="52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거래처·직원·경쟁업체의 신고</w:t>
            </w:r>
          </w:p>
        </w:tc>
      </w:tr>
      <w:tr>
        <w:tc>
          <w:tcPr>
            <w:tcW w:type="dxa" w:w="38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탈루 혐의 자료 확보</w:t>
            </w:r>
          </w:p>
        </w:tc>
        <w:tc>
          <w:tcPr>
            <w:tcW w:type="dxa" w:w="52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매입 대비 매출이 현저히 낮은 경우, 부가가치율 이상 징후</w:t>
            </w:r>
          </w:p>
        </w:tc>
      </w:tr>
    </w:tbl>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3333" w:sz="4"/>
              <w:left w:val="single" w:color="CC3333" w:sz="4"/>
              <w:bottom w:val="single" w:color="CC3333" w:sz="4"/>
              <w:right w:val="single" w:color="CC3333" w:sz="4"/>
            </w:tcBorders>
            <w:shd w:fill="FFF0F0" w:val="clear"/>
            <w:tcMar>
              <w:top w:type="dxa" w:w="160"/>
              <w:left w:type="dxa" w:w="200"/>
              <w:bottom w:type="dxa" w:w="160"/>
              <w:right w:type="dxa" w:w="200"/>
            </w:tcMar>
          </w:tcPr>
          <w:p>
            <w:pPr>
              <w:spacing w:before="0" w:after="0"/>
            </w:pPr>
            <w:r>
              <w:rPr>
                <w:rFonts w:ascii="맑은 고딕" w:cs="맑은 고딕" w:eastAsia="맑은 고딕" w:hAnsi="맑은 고딕"/>
                <w:b/>
                <w:bCs/>
                <w:color w:val="8B1A1A"/>
                <w:sz w:val="20"/>
                <w:szCs w:val="20"/>
              </w:rPr>
              <w:t xml:space="preserve">주류업에서 무자료거래란?</w:t>
            </w:r>
          </w:p>
          <w:p>
            <w:pPr>
              <w:spacing w:before="60" w:after="0"/>
            </w:pPr>
            <w:r>
              <w:rPr>
                <w:rFonts w:ascii="맑은 고딕" w:cs="맑은 고딕" w:eastAsia="맑은 고딕" w:hAnsi="맑은 고딕"/>
                <w:b w:val="false"/>
                <w:bCs w:val="false"/>
                <w:color w:val="8B1A1A"/>
                <w:sz w:val="20"/>
                <w:szCs w:val="20"/>
              </w:rPr>
              <w:t xml:space="preserve">세금계산서를 발급하지 않고 주류를 거래하는 행위입니다. 공급자는 매출을 숨기고, 수령자는 매입 증빙 없이 원가를 처리하는 구조입니다. 주류 면허 등에 관한 법률 시행령에 따르면 이러한 무자료·불공정거래는 면허 취소 사유이기도 하며, 국세청의 우선 조사 대상입니다.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② 국세청이 주류업에서 주목하는 신호 5가지</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국세청의 세무조사 대상 선정에는 전산 분석이 광범위하게 활용됩니다. 다음은 주류업 사업자에게 실제로 적용되는 주요 이상 신호입니다.</w:t>
      </w:r>
    </w:p>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1  부가가치율이 동종 업계 평균보다 현저히 낮다</w:t>
            </w:r>
          </w:p>
          <w:p>
            <w:pPr>
              <w:spacing w:before="60" w:after="0"/>
            </w:pPr>
            <w:r>
              <w:rPr>
                <w:rFonts w:ascii="맑은 고딕" w:cs="맑은 고딕" w:eastAsia="맑은 고딕" w:hAnsi="맑은 고딕"/>
                <w:b w:val="false"/>
                <w:bCs w:val="false"/>
                <w:color w:val="7A5200"/>
                <w:sz w:val="20"/>
                <w:szCs w:val="20"/>
              </w:rPr>
              <w:t xml:space="preserve">부가가치율(매출 대비 부가가치 비율)은 국세청이 신고 성실도를 판단하는 핵심 지표입니다. 주류도매업은 거래 규모 대비 마진이 낮은 업종이지만, 그 평균값 자체는 업종 내 표준으로 관리됩니다. 동일 업종·규모 사업자 대비 부가가치율이 지속적으로 낮으면 불성실 신고 혐의가 생깁니다.</w:t>
            </w:r>
          </w:p>
        </w:tc>
      </w:tr>
    </w:tbl>
    <w:p>
      <w:pPr>
        <w:spacing w:before="50" w:after="5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2  매입은 많은데 매출이 적다 (매입 대비 매출 역전)</w:t>
            </w:r>
          </w:p>
          <w:p>
            <w:pPr>
              <w:spacing w:before="60" w:after="0"/>
            </w:pPr>
            <w:r>
              <w:rPr>
                <w:rFonts w:ascii="맑은 고딕" w:cs="맑은 고딕" w:eastAsia="맑은 고딕" w:hAnsi="맑은 고딕"/>
                <w:b w:val="false"/>
                <w:bCs w:val="false"/>
                <w:color w:val="7A5200"/>
                <w:sz w:val="20"/>
                <w:szCs w:val="20"/>
              </w:rPr>
              <w:t xml:space="preserve">주류를 매입한 내역은 세금계산서로 국세청에 고스란히 노출됩니다. 그런데 그에 비해 매출 신고가 현저히 낮다면, '매입은 했는데 어디로 팔았는가?'라는 질문이 생깁니다. 이 역차이가 클수록 매출 누락 혐의로 이어집니다.</w:t>
            </w:r>
          </w:p>
        </w:tc>
      </w:tr>
    </w:tbl>
    <w:p>
      <w:pPr>
        <w:spacing w:before="50" w:after="5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3  거래처 중 폐업·불량 사업자가 있다</w:t>
            </w:r>
          </w:p>
          <w:p>
            <w:pPr>
              <w:spacing w:before="60" w:after="0"/>
            </w:pPr>
            <w:r>
              <w:rPr>
                <w:rFonts w:ascii="맑은 고딕" w:cs="맑은 고딕" w:eastAsia="맑은 고딕" w:hAnsi="맑은 고딕"/>
                <w:b w:val="false"/>
                <w:bCs w:val="false"/>
                <w:color w:val="7A5200"/>
                <w:sz w:val="20"/>
                <w:szCs w:val="20"/>
              </w:rPr>
              <w:t xml:space="preserve">거래처가 세무조사를 받거나 폐업 처리되면, 그 거래 상대방에 대한 파생 조사로 이어질 수 있습니다. 특히 폐업 예정 업체 또는 간이과세자와의 거래는 세금계산서의 유효성에 문제가 생깁니다. 거래처 상태를 정기적으로 확인하지 않으면 모르는 사이에 위험에 노출될 수 있습니다.</w:t>
            </w:r>
          </w:p>
        </w:tc>
      </w:tr>
    </w:tbl>
    <w:p>
      <w:pPr>
        <w:spacing w:before="50" w:after="5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4  신고 소득과 실제 생활 수준이 맞지 않는다</w:t>
            </w:r>
          </w:p>
          <w:p>
            <w:pPr>
              <w:spacing w:before="60" w:after="0"/>
            </w:pPr>
            <w:r>
              <w:rPr>
                <w:rFonts w:ascii="맑은 고딕" w:cs="맑은 고딕" w:eastAsia="맑은 고딕" w:hAnsi="맑은 고딕"/>
                <w:b w:val="false"/>
                <w:bCs w:val="false"/>
                <w:color w:val="7A5200"/>
                <w:sz w:val="20"/>
                <w:szCs w:val="20"/>
              </w:rPr>
              <w:t xml:space="preserve">국세청 전산망은 부동산 취득, 고가 차량 구매, 금융자산 급증 등의 정보와 신고 소득을 교차 분석합니다. 신고 소득이 낮은데 부동산을 매입하거나 가족에게 고액을 증여한 경우, 자금출처조사로 연결될 수 있습니다.</w:t>
            </w:r>
          </w:p>
        </w:tc>
      </w:tr>
    </w:tbl>
    <w:p>
      <w:pPr>
        <w:spacing w:before="50" w:after="5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5  탈세 제보 (가장 예측하기 어려운 경로)</w:t>
            </w:r>
          </w:p>
          <w:p>
            <w:pPr>
              <w:spacing w:before="60" w:after="0"/>
            </w:pPr>
            <w:r>
              <w:rPr>
                <w:rFonts w:ascii="맑은 고딕" w:cs="맑은 고딕" w:eastAsia="맑은 고딕" w:hAnsi="맑은 고딕"/>
                <w:b w:val="false"/>
                <w:bCs w:val="false"/>
                <w:color w:val="7A5200"/>
                <w:sz w:val="20"/>
                <w:szCs w:val="20"/>
              </w:rPr>
              <w:t xml:space="preserve">전·현직 직원, 거래처, 경쟁업체 등 누구든 국세청에 탈세를 제보할 수 있습니다. 제보가 구체적이면 즉각 조사로 이어질 수 있으며, 이 경우 사전 통지 없이 조사가 시작될 수도 있습니다. 내부 리스크 관리가 중요한 이유입니다.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③ 세무조사 시 주류업에서 주로 검토하는 항목</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주류업 세무조사는 일반 도소매업과 달리 주류 면허 관련 규정과 연결된 항목까지 동시에 검토됩니다.</w:t>
      </w:r>
    </w:p>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검토 항목</w:t>
            </w:r>
          </w:p>
        </w:tc>
        <w:tc>
          <w:tcPr>
            <w:tcW w:type="dxa" w:w="52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주요 내용</w:t>
            </w:r>
          </w:p>
        </w:tc>
      </w:tr>
      <w:tr>
        <w:tc>
          <w:tcPr>
            <w:tcW w:type="dxa" w:w="3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매출 누락 여부</w:t>
            </w:r>
          </w:p>
        </w:tc>
        <w:tc>
          <w:tcPr>
            <w:tcW w:type="dxa" w:w="52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세금계산서 발급 매출과 실제 출고량 비교 분석</w:t>
            </w:r>
          </w:p>
        </w:tc>
      </w:tr>
      <w:tr>
        <w:tc>
          <w:tcPr>
            <w:tcW w:type="dxa" w:w="38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주류 매출 세금계산서 합계표</w:t>
            </w:r>
          </w:p>
        </w:tc>
        <w:tc>
          <w:tcPr>
            <w:tcW w:type="dxa" w:w="52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별도 제출 의무 이행 여부 확인</w:t>
            </w:r>
          </w:p>
        </w:tc>
      </w:tr>
      <w:tr>
        <w:tc>
          <w:tcPr>
            <w:tcW w:type="dxa" w:w="3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무자료·가공 거래 여부</w:t>
            </w:r>
          </w:p>
        </w:tc>
        <w:tc>
          <w:tcPr>
            <w:tcW w:type="dxa" w:w="52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세금계산서와 실제 입출금 내역 일치 여부</w:t>
            </w:r>
          </w:p>
        </w:tc>
      </w:tr>
      <w:tr>
        <w:tc>
          <w:tcPr>
            <w:tcW w:type="dxa" w:w="38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인건비 신고 적정성</w:t>
            </w:r>
          </w:p>
        </w:tc>
        <w:tc>
          <w:tcPr>
            <w:tcW w:type="dxa" w:w="52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신고된 인건비와 실제 지급 내역 비교</w:t>
            </w:r>
          </w:p>
        </w:tc>
      </w:tr>
      <w:tr>
        <w:tc>
          <w:tcPr>
            <w:tcW w:type="dxa" w:w="3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가공 경비 여부</w:t>
            </w:r>
          </w:p>
        </w:tc>
        <w:tc>
          <w:tcPr>
            <w:tcW w:type="dxa" w:w="52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실재하지 않는 비용을 경비로 처리했는지 검토</w:t>
            </w:r>
          </w:p>
        </w:tc>
      </w:tr>
      <w:tr>
        <w:tc>
          <w:tcPr>
            <w:tcW w:type="dxa" w:w="38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주류 면허 준수 여부</w:t>
            </w:r>
          </w:p>
        </w:tc>
        <w:tc>
          <w:tcPr>
            <w:tcW w:type="dxa" w:w="52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허가 범위 외 거래, 불공정거래(장려금 과다 제공 등) 확인</w:t>
            </w:r>
          </w:p>
        </w:tc>
      </w:tr>
    </w:tbl>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3333" w:sz="4"/>
              <w:left w:val="single" w:color="CC3333" w:sz="4"/>
              <w:bottom w:val="single" w:color="CC3333" w:sz="4"/>
              <w:right w:val="single" w:color="CC3333" w:sz="4"/>
            </w:tcBorders>
            <w:shd w:fill="FFF0F0" w:val="clear"/>
            <w:tcMar>
              <w:top w:type="dxa" w:w="160"/>
              <w:left w:type="dxa" w:w="200"/>
              <w:bottom w:type="dxa" w:w="160"/>
              <w:right w:type="dxa" w:w="200"/>
            </w:tcMar>
          </w:tcPr>
          <w:p>
            <w:pPr>
              <w:spacing w:before="0" w:after="0"/>
            </w:pPr>
            <w:r>
              <w:rPr>
                <w:rFonts w:ascii="맑은 고딕" w:cs="맑은 고딕" w:eastAsia="맑은 고딕" w:hAnsi="맑은 고딕"/>
                <w:b/>
                <w:bCs/>
                <w:color w:val="8B1A1A"/>
                <w:sz w:val="20"/>
                <w:szCs w:val="20"/>
              </w:rPr>
              <w:t xml:space="preserve">세무조사 통지는 조사 개시 15일 전 사전 통지가 원칙입니다.</w:t>
            </w:r>
          </w:p>
          <w:p>
            <w:pPr>
              <w:spacing w:before="60" w:after="0"/>
            </w:pPr>
            <w:r>
              <w:rPr>
                <w:rFonts w:ascii="맑은 고딕" w:cs="맑은 고딕" w:eastAsia="맑은 고딕" w:hAnsi="맑은 고딕"/>
                <w:b w:val="false"/>
                <w:bCs w:val="false"/>
                <w:color w:val="8B1A1A"/>
                <w:sz w:val="20"/>
                <w:szCs w:val="20"/>
              </w:rPr>
              <w:t xml:space="preserve">단, 무자료거래·거짓 세금계산서 수수 등 유통질서 문란 혐의가 있는 경우에는 사전 통지 없이 즉시 조사가 시작될 수 있습니다 (국세기본법 제81조의7). 주류업은 이 예외 적용 가능성이 다른 업종보다 높습니다.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④ 세무조사 추징 시 가산세 구조</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세무조사에서 탈루 사실이 확인되면 본세 외에 다음과 같은 가산세가 함께 부과됩니다. 특히 '부정행위'로 판단되면 가산세율이 두 배로 높아집니다.</w:t>
      </w:r>
    </w:p>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가산세 종류</w:t>
            </w:r>
          </w:p>
        </w:tc>
        <w:tc>
          <w:tcPr>
            <w:tcW w:type="dxa" w:w="45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부과 기준</w:t>
            </w:r>
          </w:p>
        </w:tc>
      </w:tr>
      <w:tr>
        <w:tc>
          <w:tcPr>
            <w:tcW w:type="dxa" w:w="4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신고불성실가산세 (일반 무신고)</w:t>
            </w:r>
          </w:p>
        </w:tc>
        <w:tc>
          <w:tcPr>
            <w:tcW w:type="dxa" w:w="45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납부세액 × 20%</w:t>
            </w:r>
          </w:p>
        </w:tc>
      </w:tr>
      <w:tr>
        <w:tc>
          <w:tcPr>
            <w:tcW w:type="dxa" w:w="45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신고불성실가산세 (부정행위 인정 시)</w:t>
            </w:r>
          </w:p>
        </w:tc>
        <w:tc>
          <w:tcPr>
            <w:tcW w:type="dxa" w:w="45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납부세액 × 40%</w:t>
            </w:r>
          </w:p>
        </w:tc>
      </w:tr>
      <w:tr>
        <w:tc>
          <w:tcPr>
            <w:tcW w:type="dxa" w:w="4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납부지연가산세</w:t>
            </w:r>
          </w:p>
        </w:tc>
        <w:tc>
          <w:tcPr>
            <w:tcW w:type="dxa" w:w="45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미납세액 × 일수 × 0.022% (연 환산 약 8%)</w:t>
            </w:r>
          </w:p>
        </w:tc>
      </w:tr>
      <w:tr>
        <w:tc>
          <w:tcPr>
            <w:tcW w:type="dxa" w:w="45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세금계산서 미발급 가산세</w:t>
            </w:r>
          </w:p>
        </w:tc>
        <w:tc>
          <w:tcPr>
            <w:tcW w:type="dxa" w:w="45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공급가액 × 2%</w:t>
            </w:r>
          </w:p>
        </w:tc>
      </w:tr>
      <w:tr>
        <w:tc>
          <w:tcPr>
            <w:tcW w:type="dxa" w:w="4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무기장 가산세 (복식부기 의무자)</w:t>
            </w:r>
          </w:p>
        </w:tc>
        <w:tc>
          <w:tcPr>
            <w:tcW w:type="dxa" w:w="45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산출세액 × 20%</w:t>
            </w:r>
          </w:p>
        </w:tc>
      </w:tr>
    </w:tbl>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3333" w:sz="4"/>
              <w:left w:val="single" w:color="CC3333" w:sz="4"/>
              <w:bottom w:val="single" w:color="CC3333" w:sz="4"/>
              <w:right w:val="single" w:color="CC3333" w:sz="4"/>
            </w:tcBorders>
            <w:shd w:fill="FFF0F0" w:val="clear"/>
            <w:tcMar>
              <w:top w:type="dxa" w:w="160"/>
              <w:left w:type="dxa" w:w="200"/>
              <w:bottom w:type="dxa" w:w="160"/>
              <w:right w:type="dxa" w:w="200"/>
            </w:tcMar>
          </w:tcPr>
          <w:p>
            <w:pPr>
              <w:spacing w:before="0" w:after="0"/>
            </w:pPr>
            <w:r>
              <w:rPr>
                <w:rFonts w:ascii="맑은 고딕" w:cs="맑은 고딕" w:eastAsia="맑은 고딕" w:hAnsi="맑은 고딕"/>
                <w:b/>
                <w:bCs/>
                <w:color w:val="8B1A1A"/>
                <w:sz w:val="20"/>
                <w:szCs w:val="20"/>
              </w:rPr>
              <w:t xml:space="preserve">실제 부담 규모 예시</w:t>
            </w:r>
          </w:p>
          <w:p>
            <w:pPr>
              <w:spacing w:before="60" w:after="0"/>
            </w:pPr>
            <w:r>
              <w:rPr>
                <w:rFonts w:ascii="맑은 고딕" w:cs="맑은 고딕" w:eastAsia="맑은 고딕" w:hAnsi="맑은 고딕"/>
                <w:b w:val="false"/>
                <w:bCs w:val="false"/>
                <w:color w:val="8B1A1A"/>
                <w:sz w:val="20"/>
                <w:szCs w:val="20"/>
              </w:rPr>
              <w:t xml:space="preserve">5년간 매출 누락 1억 원이 적발된 경우 → 본세(부가세·종소세) + 부정행위 가산세 40% + 납부지연가산세까지 더하면 실제 납부액이 누락 금액의 2배를 초과하는 경우가 발생합니다. 조세범처벌법에 의한 형사처벌로 이어질 수도 있습니다.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⑤ 세무조사 대비 — 지금 당장 할 수 있는 것들</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세무조사는 '걸리면 대응'이 아니라 '평소 관리'로 리스크를 낮추는 것이 핵심입니다. 아래 항목들을 점검하세요.</w:t>
      </w:r>
    </w:p>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모든 주류 거래에 세금계산서를 빠짐없이 발급하고 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주류 매출 세금계산서 합계표를 부가세 신고 시 별도 제출하고 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거래처의 사업자 상태(폐업·간이과세 여부)를 정기적으로 홈택스에서 확인하는가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매입과 매출의 비율이 동종 업계 평균과 크게 벗어나지 않는가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인건비를 원천세 신고하고, 급여를 계좌 이체로 지급하고 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복식부기 의무자라면 장부를 성실하게 기장하고 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none" w:color="FFFFFF" w:sz="0"/>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사업 외 재산 증가(부동산, 차량 등)에 대한 자금 출처를 설명할 수 있는가</w:t>
            </w:r>
          </w:p>
        </w:tc>
      </w:tr>
    </w:tbl>
    <w:p>
      <w:pPr>
        <w:spacing w:before="80"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4"/>
              <w:left w:val="single" w:color="27AE60" w:sz="4"/>
              <w:bottom w:val="single" w:color="27AE60" w:sz="4"/>
              <w:right w:val="single" w:color="27AE60" w:sz="4"/>
            </w:tcBorders>
            <w:shd w:fill="F0FFF4" w:val="clear"/>
            <w:tcMar>
              <w:top w:type="dxa" w:w="160"/>
              <w:left w:type="dxa" w:w="200"/>
              <w:bottom w:type="dxa" w:w="160"/>
              <w:right w:type="dxa" w:w="200"/>
            </w:tcMar>
          </w:tcPr>
          <w:p>
            <w:pPr>
              <w:spacing w:before="0" w:after="0"/>
            </w:pPr>
            <w:r>
              <w:rPr>
                <w:rFonts w:ascii="맑은 고딕" w:cs="맑은 고딕" w:eastAsia="맑은 고딕" w:hAnsi="맑은 고딕"/>
                <w:b/>
                <w:bCs/>
                <w:color w:val="1A5C35"/>
                <w:sz w:val="20"/>
                <w:szCs w:val="20"/>
              </w:rPr>
              <w:t xml:space="preserve">수정신고를 활용하세요</w:t>
            </w:r>
          </w:p>
          <w:p>
            <w:pPr>
              <w:spacing w:before="60" w:after="0"/>
            </w:pPr>
            <w:r>
              <w:rPr>
                <w:rFonts w:ascii="맑은 고딕" w:cs="맑은 고딕" w:eastAsia="맑은 고딕" w:hAnsi="맑은 고딕"/>
                <w:b w:val="false"/>
                <w:bCs w:val="false"/>
                <w:color w:val="1A5C35"/>
                <w:sz w:val="20"/>
                <w:szCs w:val="20"/>
              </w:rPr>
              <w:t xml:space="preserve">과거 신고 내용에 오류나 누락이 있다면, 세무조사 통지 전에 자진 수정신고를 하는 것이 훨씬 유리합니다. 수정신고를 하면 가산세 감면이 가능하고, 부정행위 인정 가능성도 낮아집니다. 세무조사 통지 이후에는 이 혜택이 사라집니다.</w:t>
            </w:r>
          </w:p>
        </w:tc>
      </w:tr>
    </w:tbl>
    <w:p>
      <w:pPr>
        <w:spacing w:before="120"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6F8FA" w:val="clear"/>
            <w:tcMar>
              <w:top w:type="dxa" w:w="200"/>
              <w:left w:type="dxa" w:w="280"/>
              <w:bottom w:type="dxa" w:w="200"/>
              <w:right w:type="dxa" w:w="280"/>
            </w:tcMar>
          </w:tcPr>
          <w:p>
            <w:pPr>
              <w:spacing w:before="60" w:after="60"/>
              <w:jc w:val="center"/>
            </w:pPr>
            <w:r>
              <w:rPr>
                <w:rFonts w:ascii="맑은 고딕" w:cs="맑은 고딕" w:eastAsia="맑은 고딕" w:hAnsi="맑은 고딕"/>
                <w:b/>
                <w:bCs/>
                <w:color w:val="111111"/>
                <w:sz w:val="26"/>
                <w:szCs w:val="26"/>
              </w:rPr>
              <w:t xml:space="preserve">주류업 세무, 처음부터 제대로 시작하고 싶으시다면</w:t>
            </w:r>
          </w:p>
          <w:p>
            <w:pPr>
              <w:spacing w:before="60" w:after="60"/>
              <w:jc w:val="center"/>
            </w:pPr>
            <w:r>
              <w:rPr>
                <w:rFonts w:ascii="맑은 고딕" w:cs="맑은 고딕" w:eastAsia="맑은 고딕" w:hAnsi="맑은 고딕"/>
                <w:b w:val="false"/>
                <w:bCs w:val="false"/>
                <w:color w:val="555555"/>
                <w:sz w:val="20"/>
                <w:szCs w:val="20"/>
              </w:rPr>
              <w:t xml:space="preserve">기장 서비스 문의 및 무료 세무 상담을 제공하고 있습니다.</w:t>
            </w:r>
          </w:p>
          <w:p>
            <w:pPr>
              <w:spacing w:before="60" w:after="60"/>
              <w:jc w:val="center"/>
            </w:pPr>
            <w:r>
              <w:rPr>
                <w:rFonts w:ascii="맑은 고딕" w:cs="맑은 고딕" w:eastAsia="맑은 고딕" w:hAnsi="맑은 고딕"/>
                <w:b w:val="false"/>
                <w:bCs w:val="false"/>
                <w:color w:val="555555"/>
                <w:sz w:val="20"/>
                <w:szCs w:val="20"/>
              </w:rPr>
              <w:t xml:space="preserve">아래 연락처로 편하게 문의해 주세요. 빠르게 답변드리겠습니다.</w:t>
            </w:r>
          </w:p>
          <w:p>
            <w:pPr>
              <w:spacing w:before="60" w:after="60"/>
              <w:jc w:val="center"/>
            </w:pPr>
            <w:r>
              <w:rPr>
                <w:rFonts w:ascii="맑은 고딕" w:cs="맑은 고딕" w:eastAsia="맑은 고딕" w:hAnsi="맑은 고딕"/>
                <w:b w:val="false"/>
                <w:bCs w:val="false"/>
                <w:color w:val="222222"/>
                <w:sz w:val="20"/>
                <w:szCs w:val="20"/>
              </w:rPr>
              <w:t xml:space="preserve"/>
            </w:r>
          </w:p>
          <w:p>
            <w:pPr>
              <w:spacing w:before="60" w:after="60"/>
              <w:jc w:val="center"/>
            </w:pPr>
            <w:r>
              <w:rPr>
                <w:rFonts w:ascii="맑은 고딕" w:cs="맑은 고딕" w:eastAsia="맑은 고딕" w:hAnsi="맑은 고딕"/>
                <w:b/>
                <w:bCs/>
                <w:color w:val="222222"/>
                <w:sz w:val="20"/>
                <w:szCs w:val="20"/>
              </w:rPr>
              <w:t xml:space="preserve">📞  전화 : 010-7170-9363</w:t>
            </w:r>
          </w:p>
          <w:p>
            <w:pPr>
              <w:spacing w:before="60" w:after="60"/>
              <w:jc w:val="center"/>
            </w:pPr>
            <w:r>
              <w:rPr>
                <w:rFonts w:ascii="맑은 고딕" w:cs="맑은 고딕" w:eastAsia="맑은 고딕" w:hAnsi="맑은 고딕"/>
                <w:b/>
                <w:bCs/>
                <w:color w:val="222222"/>
                <w:sz w:val="20"/>
                <w:szCs w:val="20"/>
              </w:rPr>
              <w:t xml:space="preserve">📧  이메일 : joyneru@gmail.com</w:t>
            </w:r>
          </w:p>
          <w:p>
            <w:pPr>
              <w:spacing w:before="60" w:after="60"/>
              <w:jc w:val="center"/>
            </w:pPr>
            <w:r>
              <w:rPr>
                <w:rFonts w:ascii="맑은 고딕" w:cs="맑은 고딕" w:eastAsia="맑은 고딕" w:hAnsi="맑은 고딕"/>
                <w:b w:val="false"/>
                <w:bCs w:val="false"/>
                <w:color w:val="222222"/>
                <w:sz w:val="20"/>
                <w:szCs w:val="20"/>
              </w:rPr>
              <w:t xml:space="preserve"/>
            </w:r>
          </w:p>
          <w:p>
            <w:pPr>
              <w:spacing w:before="60" w:after="60"/>
              <w:jc w:val="center"/>
            </w:pPr>
            <w:r>
              <w:rPr>
                <w:rFonts w:ascii="맑은 고딕" w:cs="맑은 고딕" w:eastAsia="맑은 고딕" w:hAnsi="맑은 고딕"/>
                <w:b w:val="false"/>
                <w:bCs w:val="false"/>
                <w:color w:val="888888"/>
                <w:sz w:val="18"/>
                <w:szCs w:val="18"/>
              </w:rPr>
              <w:t xml:space="preserve">📌 다음 포스팅 예고 — 주류업 폐업 시 세금 정산, 반드시 알아야 할 것들</w:t>
            </w:r>
          </w:p>
        </w:tc>
      </w:tr>
    </w:tbl>
    <w:p>
      <w:pPr>
        <w:spacing w:before="120" w:after="120"/>
      </w:pPr>
      <w:r>
        <w:rPr>
          <w:sz w:val="22"/>
          <w:szCs w:val="22"/>
        </w:rPr>
        <w:t xml:space="preserve"/>
      </w:r>
    </w:p>
    <w:p>
      <w:pPr>
        <w:pBdr>
          <w:top w:val="single" w:color="DDDDDD" w:sz="4"/>
        </w:pBdr>
        <w:spacing w:before="80" w:after="80"/>
      </w:pPr>
      <w:r>
        <w:rPr>
          <w:rFonts w:ascii="맑은 고딕" w:cs="맑은 고딕" w:eastAsia="맑은 고딕" w:hAnsi="맑은 고딕"/>
          <w:color w:val="888888"/>
          <w:sz w:val="18"/>
          <w:szCs w:val="18"/>
        </w:rPr>
        <w:t xml:space="preserve">※ 본 포스팅은 일반적인 세무 정보 제공을 목적으로 작성되었으며, 개별 사업자의 상황에 따라 적용 내용이 달라질 수 있습니다. 구체적인 사항은 세무 전문가와 상담하시기 바랍니다.</w:t>
      </w:r>
    </w:p>
    <w:p>
      <w:pPr>
        <w:spacing w:before="80" w:after="80"/>
      </w:pPr>
      <w:r>
        <w:rPr>
          <w:rFonts w:ascii="맑은 고딕" w:cs="맑은 고딕" w:eastAsia="맑은 고딕" w:hAnsi="맑은 고딕"/>
          <w:b w:val="false"/>
          <w:bCs w:val="false"/>
          <w:color w:val="888888"/>
          <w:sz w:val="18"/>
          <w:szCs w:val="18"/>
        </w:rPr>
        <w:t xml:space="preserve">참고 법령 : 국세기본법 제81조의6(세무조사 대상자 선정), 제81조의7(세무조사 사전 통지), 주류 면허 등에 관한 법률 시행령 제37조의2, 조세범처벌법</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2026-03-25T03:06:36.969Z</dcterms:created>
  <dcterms:modified xsi:type="dcterms:W3CDTF">2026-03-25T03:06:36.969Z</dcterms:modified>
</cp:coreProperties>
</file>

<file path=docProps/custom.xml><?xml version="1.0" encoding="utf-8"?>
<Properties xmlns="http://schemas.openxmlformats.org/officeDocument/2006/custom-properties" xmlns:vt="http://schemas.openxmlformats.org/officeDocument/2006/docPropsVTypes"/>
</file>