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96C" w:rsidRDefault="006A496C">
      <w:r>
        <w:t>Discussion – EnochianHendersonWaters6</w:t>
      </w:r>
    </w:p>
    <w:p w:rsidR="0096177D" w:rsidRDefault="0096177D">
      <w:r>
        <w:t>Based on our graph</w:t>
      </w:r>
      <w:r w:rsidR="006A496C">
        <w:t>s</w:t>
      </w:r>
      <w:r>
        <w:t>, we can conclude that the separate chaining collision resolution method is the ideal method. It uses the least amount of comparisons (on average). The second most efficient method is quadratic probing, and the least efficient is double hashing. Double hashing is least efficient because it is dependent on the prime number determined for q (when trying to resolve collisions). Altering that value will alter the value of h</w:t>
      </w:r>
      <w:r w:rsidRPr="0096177D">
        <w:rPr>
          <w:vertAlign w:val="subscript"/>
        </w:rPr>
        <w:t>2</w:t>
      </w:r>
      <w:r>
        <w:t xml:space="preserve"> and then that, in turn, will alter the value of the location we are looking at in the bucket array. Quadratic probing is not as efficient as the separate chaining because it runs in O(n</w:t>
      </w:r>
      <w:r>
        <w:rPr>
          <w:vertAlign w:val="superscript"/>
        </w:rPr>
        <w:t>2</w:t>
      </w:r>
      <w:r>
        <w:t>)</w:t>
      </w:r>
      <w:r w:rsidR="006A496C">
        <w:t xml:space="preserve"> time, while the separate chaining does not. The separate chaining method seems to be the most efficient because rather than trying to find an empty bucket, the key is simply inserted into the next slot of the list that is pointed to by the bucket. This (in our implementation) runs in O(1) time because we are using push_back. O(1) is faster than O(n</w:t>
      </w:r>
      <w:r w:rsidR="006A496C" w:rsidRPr="006A496C">
        <w:rPr>
          <w:vertAlign w:val="superscript"/>
        </w:rPr>
        <w:t>2</w:t>
      </w:r>
      <w:r w:rsidR="006A496C">
        <w:t>). Because of all the nested if/else statements and for loops, the double hashing is therefore slower (less efficient) than the other two methods. For the smaller N, there will always be less comparisons than a larger N because there are less keys to be entered in fewer bucket slots than with the larger N.</w:t>
      </w:r>
      <w:bookmarkStart w:id="0" w:name="_GoBack"/>
      <w:bookmarkEnd w:id="0"/>
    </w:p>
    <w:p w:rsidR="00C6336E" w:rsidRDefault="00C6336E"/>
    <w:p w:rsidR="00C6336E" w:rsidRDefault="00C6336E">
      <w:r>
        <w:rPr>
          <w:noProof/>
        </w:rPr>
        <w:drawing>
          <wp:inline distT="0" distB="0" distL="0" distR="0" wp14:anchorId="4D77A34E" wp14:editId="069BAC6D">
            <wp:extent cx="5923973" cy="4836391"/>
            <wp:effectExtent l="0" t="0" r="635"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6336E" w:rsidRDefault="00C6336E"/>
    <w:p w:rsidR="00C6336E" w:rsidRDefault="00C6336E">
      <w:r>
        <w:rPr>
          <w:noProof/>
        </w:rPr>
        <w:lastRenderedPageBreak/>
        <w:drawing>
          <wp:inline distT="0" distB="0" distL="0" distR="0" wp14:anchorId="25E2C59C" wp14:editId="01E38043">
            <wp:extent cx="5943600" cy="4274820"/>
            <wp:effectExtent l="0" t="0" r="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C63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7D"/>
    <w:rsid w:val="00005724"/>
    <w:rsid w:val="00010D82"/>
    <w:rsid w:val="00010E36"/>
    <w:rsid w:val="0001410C"/>
    <w:rsid w:val="000144F9"/>
    <w:rsid w:val="00026452"/>
    <w:rsid w:val="00031BD8"/>
    <w:rsid w:val="00035E3B"/>
    <w:rsid w:val="00043706"/>
    <w:rsid w:val="000466B9"/>
    <w:rsid w:val="00047C47"/>
    <w:rsid w:val="0005289A"/>
    <w:rsid w:val="00053F20"/>
    <w:rsid w:val="00054C40"/>
    <w:rsid w:val="00054E10"/>
    <w:rsid w:val="00066501"/>
    <w:rsid w:val="000705B2"/>
    <w:rsid w:val="000809A4"/>
    <w:rsid w:val="00082B18"/>
    <w:rsid w:val="000902EB"/>
    <w:rsid w:val="0009154E"/>
    <w:rsid w:val="00093F16"/>
    <w:rsid w:val="000A19BB"/>
    <w:rsid w:val="000A2B5E"/>
    <w:rsid w:val="000A2FF2"/>
    <w:rsid w:val="000A5B37"/>
    <w:rsid w:val="000B5307"/>
    <w:rsid w:val="000C4953"/>
    <w:rsid w:val="000D6669"/>
    <w:rsid w:val="000E2B6B"/>
    <w:rsid w:val="000E7912"/>
    <w:rsid w:val="000F2126"/>
    <w:rsid w:val="000F6F68"/>
    <w:rsid w:val="00103C4E"/>
    <w:rsid w:val="001053BB"/>
    <w:rsid w:val="00111365"/>
    <w:rsid w:val="00116A7D"/>
    <w:rsid w:val="00133620"/>
    <w:rsid w:val="001409F3"/>
    <w:rsid w:val="0014172D"/>
    <w:rsid w:val="00141A12"/>
    <w:rsid w:val="00142156"/>
    <w:rsid w:val="00160E0E"/>
    <w:rsid w:val="00175DF3"/>
    <w:rsid w:val="001822A1"/>
    <w:rsid w:val="001B0521"/>
    <w:rsid w:val="001B539F"/>
    <w:rsid w:val="001B6649"/>
    <w:rsid w:val="001C0383"/>
    <w:rsid w:val="001C160F"/>
    <w:rsid w:val="001D7D1E"/>
    <w:rsid w:val="001F1F7D"/>
    <w:rsid w:val="001F5B8C"/>
    <w:rsid w:val="001F612D"/>
    <w:rsid w:val="001F7DD4"/>
    <w:rsid w:val="00202895"/>
    <w:rsid w:val="0020610F"/>
    <w:rsid w:val="00206139"/>
    <w:rsid w:val="00211D5C"/>
    <w:rsid w:val="002134CC"/>
    <w:rsid w:val="00213EE1"/>
    <w:rsid w:val="00215DC1"/>
    <w:rsid w:val="002240CC"/>
    <w:rsid w:val="00226110"/>
    <w:rsid w:val="00227496"/>
    <w:rsid w:val="00227DAC"/>
    <w:rsid w:val="00231CB5"/>
    <w:rsid w:val="002338CF"/>
    <w:rsid w:val="0023642A"/>
    <w:rsid w:val="002402D4"/>
    <w:rsid w:val="002446B5"/>
    <w:rsid w:val="00245D11"/>
    <w:rsid w:val="0025382D"/>
    <w:rsid w:val="00271CB7"/>
    <w:rsid w:val="0028106D"/>
    <w:rsid w:val="002813B7"/>
    <w:rsid w:val="0028613F"/>
    <w:rsid w:val="00287C98"/>
    <w:rsid w:val="00293705"/>
    <w:rsid w:val="002B459C"/>
    <w:rsid w:val="002C3ED5"/>
    <w:rsid w:val="002C423A"/>
    <w:rsid w:val="002C567D"/>
    <w:rsid w:val="002C74A6"/>
    <w:rsid w:val="002D10F1"/>
    <w:rsid w:val="002D137E"/>
    <w:rsid w:val="002E7AEE"/>
    <w:rsid w:val="002E7D2F"/>
    <w:rsid w:val="002F48D2"/>
    <w:rsid w:val="00302767"/>
    <w:rsid w:val="00316803"/>
    <w:rsid w:val="00316CC7"/>
    <w:rsid w:val="00320519"/>
    <w:rsid w:val="0032276F"/>
    <w:rsid w:val="00337777"/>
    <w:rsid w:val="0034419F"/>
    <w:rsid w:val="00352A8A"/>
    <w:rsid w:val="00371AD8"/>
    <w:rsid w:val="00373FF4"/>
    <w:rsid w:val="0038230E"/>
    <w:rsid w:val="0039387D"/>
    <w:rsid w:val="003A6B41"/>
    <w:rsid w:val="003C212C"/>
    <w:rsid w:val="003C614C"/>
    <w:rsid w:val="003D276E"/>
    <w:rsid w:val="003D3F56"/>
    <w:rsid w:val="003D72F9"/>
    <w:rsid w:val="003D7847"/>
    <w:rsid w:val="003F578B"/>
    <w:rsid w:val="00413604"/>
    <w:rsid w:val="00437171"/>
    <w:rsid w:val="004512F8"/>
    <w:rsid w:val="004908BE"/>
    <w:rsid w:val="0049093E"/>
    <w:rsid w:val="00493843"/>
    <w:rsid w:val="004B0E1C"/>
    <w:rsid w:val="004B13F9"/>
    <w:rsid w:val="004C1B54"/>
    <w:rsid w:val="004C2250"/>
    <w:rsid w:val="004C4BD5"/>
    <w:rsid w:val="004C7D1C"/>
    <w:rsid w:val="004D5EE1"/>
    <w:rsid w:val="004F4350"/>
    <w:rsid w:val="00502E1A"/>
    <w:rsid w:val="00505AFC"/>
    <w:rsid w:val="00511266"/>
    <w:rsid w:val="005150C0"/>
    <w:rsid w:val="00524372"/>
    <w:rsid w:val="0052686B"/>
    <w:rsid w:val="00532BE1"/>
    <w:rsid w:val="00540076"/>
    <w:rsid w:val="0054333E"/>
    <w:rsid w:val="005506DA"/>
    <w:rsid w:val="00552A24"/>
    <w:rsid w:val="0056190B"/>
    <w:rsid w:val="00577A88"/>
    <w:rsid w:val="00583C4B"/>
    <w:rsid w:val="00592820"/>
    <w:rsid w:val="005A0545"/>
    <w:rsid w:val="005A09D3"/>
    <w:rsid w:val="005A20D9"/>
    <w:rsid w:val="005A6CBE"/>
    <w:rsid w:val="005B0C61"/>
    <w:rsid w:val="005B1BC0"/>
    <w:rsid w:val="005B7E62"/>
    <w:rsid w:val="005C4643"/>
    <w:rsid w:val="005D5083"/>
    <w:rsid w:val="005E4401"/>
    <w:rsid w:val="005F1D1D"/>
    <w:rsid w:val="005F7F09"/>
    <w:rsid w:val="00605676"/>
    <w:rsid w:val="00617433"/>
    <w:rsid w:val="00642EF5"/>
    <w:rsid w:val="00644224"/>
    <w:rsid w:val="00654A4E"/>
    <w:rsid w:val="00660DAA"/>
    <w:rsid w:val="00661B33"/>
    <w:rsid w:val="00665A2E"/>
    <w:rsid w:val="0067633A"/>
    <w:rsid w:val="00681D0A"/>
    <w:rsid w:val="00683025"/>
    <w:rsid w:val="00691474"/>
    <w:rsid w:val="00691BC9"/>
    <w:rsid w:val="006960A6"/>
    <w:rsid w:val="006A2F40"/>
    <w:rsid w:val="006A496C"/>
    <w:rsid w:val="006A6109"/>
    <w:rsid w:val="006B363A"/>
    <w:rsid w:val="006C119C"/>
    <w:rsid w:val="006C6124"/>
    <w:rsid w:val="006E1F43"/>
    <w:rsid w:val="006E47B6"/>
    <w:rsid w:val="006E6126"/>
    <w:rsid w:val="00712C8D"/>
    <w:rsid w:val="0071405A"/>
    <w:rsid w:val="0071687A"/>
    <w:rsid w:val="00720C35"/>
    <w:rsid w:val="0072456C"/>
    <w:rsid w:val="007300BB"/>
    <w:rsid w:val="00733628"/>
    <w:rsid w:val="00743CD6"/>
    <w:rsid w:val="007473A6"/>
    <w:rsid w:val="0074791B"/>
    <w:rsid w:val="00747AC6"/>
    <w:rsid w:val="00753766"/>
    <w:rsid w:val="0077405F"/>
    <w:rsid w:val="00787B24"/>
    <w:rsid w:val="007956AC"/>
    <w:rsid w:val="007B2D49"/>
    <w:rsid w:val="007C2365"/>
    <w:rsid w:val="007C62D9"/>
    <w:rsid w:val="007E1C9A"/>
    <w:rsid w:val="007F0121"/>
    <w:rsid w:val="007F5393"/>
    <w:rsid w:val="007F672E"/>
    <w:rsid w:val="00823AC9"/>
    <w:rsid w:val="0082443A"/>
    <w:rsid w:val="008247B8"/>
    <w:rsid w:val="008256A7"/>
    <w:rsid w:val="00827CFD"/>
    <w:rsid w:val="00833508"/>
    <w:rsid w:val="00836773"/>
    <w:rsid w:val="0084011F"/>
    <w:rsid w:val="00841DEA"/>
    <w:rsid w:val="00846FDB"/>
    <w:rsid w:val="0085522D"/>
    <w:rsid w:val="00855C37"/>
    <w:rsid w:val="00864BF2"/>
    <w:rsid w:val="00867153"/>
    <w:rsid w:val="008709CB"/>
    <w:rsid w:val="00871B98"/>
    <w:rsid w:val="008816CB"/>
    <w:rsid w:val="00885989"/>
    <w:rsid w:val="00894DCB"/>
    <w:rsid w:val="0089656F"/>
    <w:rsid w:val="008A24B9"/>
    <w:rsid w:val="008B0824"/>
    <w:rsid w:val="008C4A0C"/>
    <w:rsid w:val="008C4EF1"/>
    <w:rsid w:val="008D400B"/>
    <w:rsid w:val="008D552E"/>
    <w:rsid w:val="008E3D44"/>
    <w:rsid w:val="008E734A"/>
    <w:rsid w:val="008F7C6D"/>
    <w:rsid w:val="009236D3"/>
    <w:rsid w:val="00923E89"/>
    <w:rsid w:val="00924090"/>
    <w:rsid w:val="00933FDC"/>
    <w:rsid w:val="00944BF2"/>
    <w:rsid w:val="009523E4"/>
    <w:rsid w:val="0096177D"/>
    <w:rsid w:val="00995AB5"/>
    <w:rsid w:val="00997607"/>
    <w:rsid w:val="009A1931"/>
    <w:rsid w:val="009A6688"/>
    <w:rsid w:val="009B6095"/>
    <w:rsid w:val="009D6CDB"/>
    <w:rsid w:val="009E3A01"/>
    <w:rsid w:val="009E78E2"/>
    <w:rsid w:val="009E7EEF"/>
    <w:rsid w:val="009F04F3"/>
    <w:rsid w:val="009F1DFC"/>
    <w:rsid w:val="00A05107"/>
    <w:rsid w:val="00A14230"/>
    <w:rsid w:val="00A2469F"/>
    <w:rsid w:val="00A31DCF"/>
    <w:rsid w:val="00A3459D"/>
    <w:rsid w:val="00A37C71"/>
    <w:rsid w:val="00A40920"/>
    <w:rsid w:val="00A461A9"/>
    <w:rsid w:val="00A46FD5"/>
    <w:rsid w:val="00A6578B"/>
    <w:rsid w:val="00A72181"/>
    <w:rsid w:val="00A735D3"/>
    <w:rsid w:val="00A84054"/>
    <w:rsid w:val="00A86680"/>
    <w:rsid w:val="00A93F2A"/>
    <w:rsid w:val="00A961C8"/>
    <w:rsid w:val="00AA0486"/>
    <w:rsid w:val="00AC50DB"/>
    <w:rsid w:val="00AC5368"/>
    <w:rsid w:val="00AC5E42"/>
    <w:rsid w:val="00AE5792"/>
    <w:rsid w:val="00AF0E08"/>
    <w:rsid w:val="00AF159B"/>
    <w:rsid w:val="00AF3FD0"/>
    <w:rsid w:val="00AF5272"/>
    <w:rsid w:val="00AF5C3F"/>
    <w:rsid w:val="00B00F74"/>
    <w:rsid w:val="00B01918"/>
    <w:rsid w:val="00B04F39"/>
    <w:rsid w:val="00B21435"/>
    <w:rsid w:val="00B42E95"/>
    <w:rsid w:val="00B525C9"/>
    <w:rsid w:val="00B6048C"/>
    <w:rsid w:val="00B62F70"/>
    <w:rsid w:val="00B66383"/>
    <w:rsid w:val="00B71652"/>
    <w:rsid w:val="00B75C43"/>
    <w:rsid w:val="00B80AC4"/>
    <w:rsid w:val="00B823FE"/>
    <w:rsid w:val="00B93D67"/>
    <w:rsid w:val="00B94332"/>
    <w:rsid w:val="00BA0C69"/>
    <w:rsid w:val="00BA745F"/>
    <w:rsid w:val="00BB1F72"/>
    <w:rsid w:val="00BC61B8"/>
    <w:rsid w:val="00BD5F7F"/>
    <w:rsid w:val="00BE7487"/>
    <w:rsid w:val="00BE7D9D"/>
    <w:rsid w:val="00BF1A73"/>
    <w:rsid w:val="00C117E5"/>
    <w:rsid w:val="00C1263E"/>
    <w:rsid w:val="00C262E2"/>
    <w:rsid w:val="00C27952"/>
    <w:rsid w:val="00C33E9D"/>
    <w:rsid w:val="00C45C95"/>
    <w:rsid w:val="00C57C07"/>
    <w:rsid w:val="00C61D5C"/>
    <w:rsid w:val="00C6336E"/>
    <w:rsid w:val="00C64423"/>
    <w:rsid w:val="00C707D7"/>
    <w:rsid w:val="00C8333B"/>
    <w:rsid w:val="00C836AA"/>
    <w:rsid w:val="00C916DF"/>
    <w:rsid w:val="00C96EB4"/>
    <w:rsid w:val="00CA18F2"/>
    <w:rsid w:val="00CB14FF"/>
    <w:rsid w:val="00CD22DB"/>
    <w:rsid w:val="00CE5CA7"/>
    <w:rsid w:val="00CF58FF"/>
    <w:rsid w:val="00CF5EAF"/>
    <w:rsid w:val="00CF6442"/>
    <w:rsid w:val="00D03CAB"/>
    <w:rsid w:val="00D050D3"/>
    <w:rsid w:val="00D058E5"/>
    <w:rsid w:val="00D109CA"/>
    <w:rsid w:val="00D10B1C"/>
    <w:rsid w:val="00D16A68"/>
    <w:rsid w:val="00D20ED9"/>
    <w:rsid w:val="00D25507"/>
    <w:rsid w:val="00D27898"/>
    <w:rsid w:val="00D31711"/>
    <w:rsid w:val="00D36BF1"/>
    <w:rsid w:val="00D43F63"/>
    <w:rsid w:val="00D70D6E"/>
    <w:rsid w:val="00D7124E"/>
    <w:rsid w:val="00D7718E"/>
    <w:rsid w:val="00D826EA"/>
    <w:rsid w:val="00D86BC5"/>
    <w:rsid w:val="00D93018"/>
    <w:rsid w:val="00DA7728"/>
    <w:rsid w:val="00DB0DC6"/>
    <w:rsid w:val="00DB4DF2"/>
    <w:rsid w:val="00DC01E6"/>
    <w:rsid w:val="00DC0D00"/>
    <w:rsid w:val="00DC73D1"/>
    <w:rsid w:val="00DD17A3"/>
    <w:rsid w:val="00DD7298"/>
    <w:rsid w:val="00DE2105"/>
    <w:rsid w:val="00DE3FEB"/>
    <w:rsid w:val="00DE7F5A"/>
    <w:rsid w:val="00DF0230"/>
    <w:rsid w:val="00DF2610"/>
    <w:rsid w:val="00E133C3"/>
    <w:rsid w:val="00E33C82"/>
    <w:rsid w:val="00E40FEE"/>
    <w:rsid w:val="00E43A8D"/>
    <w:rsid w:val="00E5642C"/>
    <w:rsid w:val="00E6122E"/>
    <w:rsid w:val="00E7257C"/>
    <w:rsid w:val="00E75218"/>
    <w:rsid w:val="00E80FE4"/>
    <w:rsid w:val="00E82D45"/>
    <w:rsid w:val="00E92CEC"/>
    <w:rsid w:val="00E941F3"/>
    <w:rsid w:val="00EA2BE6"/>
    <w:rsid w:val="00EA6F0C"/>
    <w:rsid w:val="00EB2332"/>
    <w:rsid w:val="00EB29FD"/>
    <w:rsid w:val="00EB51E4"/>
    <w:rsid w:val="00EB6A56"/>
    <w:rsid w:val="00EC257E"/>
    <w:rsid w:val="00ED0F33"/>
    <w:rsid w:val="00F02E63"/>
    <w:rsid w:val="00F03828"/>
    <w:rsid w:val="00F11C4F"/>
    <w:rsid w:val="00F11FE9"/>
    <w:rsid w:val="00F138E0"/>
    <w:rsid w:val="00F147AF"/>
    <w:rsid w:val="00F15A62"/>
    <w:rsid w:val="00F204A7"/>
    <w:rsid w:val="00F41084"/>
    <w:rsid w:val="00F418DF"/>
    <w:rsid w:val="00F465FB"/>
    <w:rsid w:val="00F51869"/>
    <w:rsid w:val="00F6448D"/>
    <w:rsid w:val="00F65AEB"/>
    <w:rsid w:val="00F70FF7"/>
    <w:rsid w:val="00F81D36"/>
    <w:rsid w:val="00F823F6"/>
    <w:rsid w:val="00F829D4"/>
    <w:rsid w:val="00F96900"/>
    <w:rsid w:val="00FA2859"/>
    <w:rsid w:val="00FB43A4"/>
    <w:rsid w:val="00FB6BEC"/>
    <w:rsid w:val="00FC3F32"/>
    <w:rsid w:val="00FC4759"/>
    <w:rsid w:val="00FD6C37"/>
    <w:rsid w:val="00FE6590"/>
    <w:rsid w:val="00FE7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87C37-244D-49A4-A052-DA127547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itlyn%20Waters\Documents\KDubSESH\HW6\HW6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itlyn%20Waters\Documents\KDubSESH\HW6\HW6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Comparisons for N=1009</a:t>
            </a:r>
          </a:p>
        </c:rich>
      </c:tx>
      <c:overlay val="0"/>
    </c:title>
    <c:autoTitleDeleted val="0"/>
    <c:plotArea>
      <c:layout/>
      <c:scatterChart>
        <c:scatterStyle val="smoothMarker"/>
        <c:varyColors val="0"/>
        <c:ser>
          <c:idx val="0"/>
          <c:order val="0"/>
          <c:tx>
            <c:strRef>
              <c:f>Sheet1!$J$2</c:f>
              <c:strCache>
                <c:ptCount val="1"/>
                <c:pt idx="0">
                  <c:v>Double Hashing</c:v>
                </c:pt>
              </c:strCache>
            </c:strRef>
          </c:tx>
          <c:marker>
            <c:symbol val="none"/>
          </c:marker>
          <c:xVal>
            <c:numRef>
              <c:f>Sheet1!$I$3:$I$18</c:f>
              <c:numCache>
                <c:formatCode>General</c:formatCode>
                <c:ptCount val="16"/>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numCache>
            </c:numRef>
          </c:xVal>
          <c:yVal>
            <c:numRef>
              <c:f>Sheet1!$J$3:$J$18</c:f>
              <c:numCache>
                <c:formatCode>General</c:formatCode>
                <c:ptCount val="16"/>
                <c:pt idx="0">
                  <c:v>1.0065999999999999</c:v>
                </c:pt>
                <c:pt idx="1">
                  <c:v>1.03728</c:v>
                </c:pt>
                <c:pt idx="2">
                  <c:v>1.0547233333333332</c:v>
                </c:pt>
                <c:pt idx="3">
                  <c:v>1.1093533333333334</c:v>
                </c:pt>
                <c:pt idx="4">
                  <c:v>1.1056099999999998</c:v>
                </c:pt>
                <c:pt idx="5">
                  <c:v>1.1233533333333334</c:v>
                </c:pt>
                <c:pt idx="6">
                  <c:v>1.2293733333333334</c:v>
                </c:pt>
                <c:pt idx="7">
                  <c:v>1.2542099999999998</c:v>
                </c:pt>
                <c:pt idx="8">
                  <c:v>1.3683166666666668</c:v>
                </c:pt>
                <c:pt idx="9">
                  <c:v>1.4924900000000001</c:v>
                </c:pt>
                <c:pt idx="10">
                  <c:v>1.6259633333333336</c:v>
                </c:pt>
                <c:pt idx="11">
                  <c:v>1.7144300000000001</c:v>
                </c:pt>
                <c:pt idx="12">
                  <c:v>2.119756666666667</c:v>
                </c:pt>
                <c:pt idx="13">
                  <c:v>2.8872733333333334</c:v>
                </c:pt>
                <c:pt idx="14">
                  <c:v>3.8547833333333337</c:v>
                </c:pt>
                <c:pt idx="15">
                  <c:v>5.4083133333333331</c:v>
                </c:pt>
              </c:numCache>
            </c:numRef>
          </c:yVal>
          <c:smooth val="1"/>
        </c:ser>
        <c:ser>
          <c:idx val="1"/>
          <c:order val="1"/>
          <c:tx>
            <c:strRef>
              <c:f>Sheet1!$K$2</c:f>
              <c:strCache>
                <c:ptCount val="1"/>
                <c:pt idx="0">
                  <c:v>Quadratic Probing</c:v>
                </c:pt>
              </c:strCache>
            </c:strRef>
          </c:tx>
          <c:marker>
            <c:symbol val="none"/>
          </c:marker>
          <c:xVal>
            <c:numRef>
              <c:f>Sheet1!$I$3:$I$18</c:f>
              <c:numCache>
                <c:formatCode>General</c:formatCode>
                <c:ptCount val="16"/>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numCache>
            </c:numRef>
          </c:xVal>
          <c:yVal>
            <c:numRef>
              <c:f>Sheet1!$K$3:$K$18</c:f>
              <c:numCache>
                <c:formatCode>General</c:formatCode>
                <c:ptCount val="16"/>
                <c:pt idx="0">
                  <c:v>1.0231000000000001</c:v>
                </c:pt>
                <c:pt idx="1">
                  <c:v>1.0394766666666666</c:v>
                </c:pt>
                <c:pt idx="2">
                  <c:v>1.0797066666666666</c:v>
                </c:pt>
                <c:pt idx="3">
                  <c:v>1.0830433333333334</c:v>
                </c:pt>
                <c:pt idx="4">
                  <c:v>1.07701</c:v>
                </c:pt>
                <c:pt idx="5">
                  <c:v>1.13842</c:v>
                </c:pt>
                <c:pt idx="6">
                  <c:v>1.1493399999999998</c:v>
                </c:pt>
                <c:pt idx="7">
                  <c:v>1.2183166666666667</c:v>
                </c:pt>
                <c:pt idx="8">
                  <c:v>1.2468666666666666</c:v>
                </c:pt>
                <c:pt idx="9">
                  <c:v>1.4144133333333333</c:v>
                </c:pt>
                <c:pt idx="10">
                  <c:v>1.4636966666666666</c:v>
                </c:pt>
                <c:pt idx="11">
                  <c:v>1.5157533333333335</c:v>
                </c:pt>
                <c:pt idx="12">
                  <c:v>1.8066933333333335</c:v>
                </c:pt>
                <c:pt idx="13">
                  <c:v>2.2060766666666667</c:v>
                </c:pt>
                <c:pt idx="14">
                  <c:v>2.590346666666667</c:v>
                </c:pt>
                <c:pt idx="15">
                  <c:v>3.1787100000000001</c:v>
                </c:pt>
              </c:numCache>
            </c:numRef>
          </c:yVal>
          <c:smooth val="1"/>
        </c:ser>
        <c:ser>
          <c:idx val="2"/>
          <c:order val="2"/>
          <c:tx>
            <c:strRef>
              <c:f>Sheet1!$L$2</c:f>
              <c:strCache>
                <c:ptCount val="1"/>
                <c:pt idx="0">
                  <c:v>Chaining</c:v>
                </c:pt>
              </c:strCache>
            </c:strRef>
          </c:tx>
          <c:marker>
            <c:symbol val="none"/>
          </c:marker>
          <c:xVal>
            <c:numRef>
              <c:f>Sheet1!$I$3:$I$18</c:f>
              <c:numCache>
                <c:formatCode>General</c:formatCode>
                <c:ptCount val="16"/>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numCache>
            </c:numRef>
          </c:xVal>
          <c:yVal>
            <c:numRef>
              <c:f>Sheet1!$L$3:$L$18</c:f>
              <c:numCache>
                <c:formatCode>General</c:formatCode>
                <c:ptCount val="16"/>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numCache>
            </c:numRef>
          </c:yVal>
          <c:smooth val="1"/>
        </c:ser>
        <c:dLbls>
          <c:showLegendKey val="0"/>
          <c:showVal val="0"/>
          <c:showCatName val="0"/>
          <c:showSerName val="0"/>
          <c:showPercent val="0"/>
          <c:showBubbleSize val="0"/>
        </c:dLbls>
        <c:axId val="446383376"/>
        <c:axId val="446373968"/>
      </c:scatterChart>
      <c:valAx>
        <c:axId val="446383376"/>
        <c:scaling>
          <c:orientation val="minMax"/>
        </c:scaling>
        <c:delete val="0"/>
        <c:axPos val="b"/>
        <c:title>
          <c:tx>
            <c:rich>
              <a:bodyPr/>
              <a:lstStyle/>
              <a:p>
                <a:pPr>
                  <a:defRPr/>
                </a:pPr>
                <a:r>
                  <a:rPr lang="en-US"/>
                  <a:t>Load Ratio</a:t>
                </a:r>
              </a:p>
            </c:rich>
          </c:tx>
          <c:overlay val="0"/>
        </c:title>
        <c:numFmt formatCode="General" sourceLinked="1"/>
        <c:majorTickMark val="out"/>
        <c:minorTickMark val="none"/>
        <c:tickLblPos val="nextTo"/>
        <c:crossAx val="446373968"/>
        <c:crosses val="autoZero"/>
        <c:crossBetween val="midCat"/>
      </c:valAx>
      <c:valAx>
        <c:axId val="446373968"/>
        <c:scaling>
          <c:orientation val="minMax"/>
        </c:scaling>
        <c:delete val="0"/>
        <c:axPos val="l"/>
        <c:majorGridlines/>
        <c:title>
          <c:tx>
            <c:rich>
              <a:bodyPr rot="-5400000" vert="horz"/>
              <a:lstStyle/>
              <a:p>
                <a:pPr>
                  <a:defRPr/>
                </a:pPr>
                <a:r>
                  <a:rPr lang="en-US"/>
                  <a:t>Average Comparisons</a:t>
                </a:r>
              </a:p>
            </c:rich>
          </c:tx>
          <c:overlay val="0"/>
        </c:title>
        <c:numFmt formatCode="General" sourceLinked="1"/>
        <c:majorTickMark val="out"/>
        <c:minorTickMark val="none"/>
        <c:tickLblPos val="nextTo"/>
        <c:crossAx val="446383376"/>
        <c:crosses val="autoZero"/>
        <c:crossBetween val="midCat"/>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Comparisons</a:t>
            </a:r>
            <a:r>
              <a:rPr lang="en-US" baseline="0"/>
              <a:t> for N=811</a:t>
            </a:r>
            <a:endParaRPr lang="en-US"/>
          </a:p>
        </c:rich>
      </c:tx>
      <c:overlay val="0"/>
    </c:title>
    <c:autoTitleDeleted val="0"/>
    <c:plotArea>
      <c:layout/>
      <c:scatterChart>
        <c:scatterStyle val="smoothMarker"/>
        <c:varyColors val="0"/>
        <c:ser>
          <c:idx val="0"/>
          <c:order val="0"/>
          <c:tx>
            <c:strRef>
              <c:f>Sheet1!$J$33</c:f>
              <c:strCache>
                <c:ptCount val="1"/>
                <c:pt idx="0">
                  <c:v>Double Hashing</c:v>
                </c:pt>
              </c:strCache>
            </c:strRef>
          </c:tx>
          <c:marker>
            <c:symbol val="none"/>
          </c:marker>
          <c:xVal>
            <c:numRef>
              <c:f>Sheet1!$I$34:$I$49</c:f>
              <c:numCache>
                <c:formatCode>General</c:formatCode>
                <c:ptCount val="16"/>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numCache>
            </c:numRef>
          </c:xVal>
          <c:yVal>
            <c:numRef>
              <c:f>Sheet1!$J$34:$J$49</c:f>
              <c:numCache>
                <c:formatCode>General</c:formatCode>
                <c:ptCount val="16"/>
                <c:pt idx="0">
                  <c:v>1.0203266666666666</c:v>
                </c:pt>
                <c:pt idx="1">
                  <c:v>1.0245899999999999</c:v>
                </c:pt>
                <c:pt idx="2">
                  <c:v>1.0408966666666666</c:v>
                </c:pt>
                <c:pt idx="3">
                  <c:v>1.0656833333333333</c:v>
                </c:pt>
                <c:pt idx="4">
                  <c:v>1.0874333333333335</c:v>
                </c:pt>
                <c:pt idx="5">
                  <c:v>1.1173733333333333</c:v>
                </c:pt>
                <c:pt idx="6">
                  <c:v>1.1774366666666667</c:v>
                </c:pt>
                <c:pt idx="7">
                  <c:v>1.1908666666666667</c:v>
                </c:pt>
                <c:pt idx="8">
                  <c:v>1.2413800000000001</c:v>
                </c:pt>
                <c:pt idx="9">
                  <c:v>1.3467566666666666</c:v>
                </c:pt>
                <c:pt idx="10">
                  <c:v>1.6132799999999998</c:v>
                </c:pt>
                <c:pt idx="11">
                  <c:v>1.8188133333333336</c:v>
                </c:pt>
                <c:pt idx="12">
                  <c:v>1.6936600000000002</c:v>
                </c:pt>
                <c:pt idx="13">
                  <c:v>2.7066233333333329</c:v>
                </c:pt>
                <c:pt idx="14">
                  <c:v>3.3441200000000002</c:v>
                </c:pt>
                <c:pt idx="15">
                  <c:v>4.4758433333333336</c:v>
                </c:pt>
              </c:numCache>
            </c:numRef>
          </c:yVal>
          <c:smooth val="1"/>
        </c:ser>
        <c:ser>
          <c:idx val="1"/>
          <c:order val="1"/>
          <c:tx>
            <c:strRef>
              <c:f>Sheet1!$K$33</c:f>
              <c:strCache>
                <c:ptCount val="1"/>
                <c:pt idx="0">
                  <c:v>Quadratic Probing</c:v>
                </c:pt>
              </c:strCache>
            </c:strRef>
          </c:tx>
          <c:marker>
            <c:symbol val="none"/>
          </c:marker>
          <c:xVal>
            <c:numRef>
              <c:f>Sheet1!$I$34:$I$49</c:f>
              <c:numCache>
                <c:formatCode>General</c:formatCode>
                <c:ptCount val="16"/>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numCache>
            </c:numRef>
          </c:xVal>
          <c:yVal>
            <c:numRef>
              <c:f>Sheet1!$K$34:$K$49</c:f>
              <c:numCache>
                <c:formatCode>General</c:formatCode>
                <c:ptCount val="16"/>
                <c:pt idx="0">
                  <c:v>1.0243933333333333</c:v>
                </c:pt>
                <c:pt idx="1">
                  <c:v>1.0437133333333335</c:v>
                </c:pt>
                <c:pt idx="2">
                  <c:v>1.0347633333333333</c:v>
                </c:pt>
                <c:pt idx="3">
                  <c:v>1.0459766666666666</c:v>
                </c:pt>
                <c:pt idx="4">
                  <c:v>1.1188533333333335</c:v>
                </c:pt>
                <c:pt idx="5">
                  <c:v>1.0974166666666667</c:v>
                </c:pt>
                <c:pt idx="6">
                  <c:v>1.1158966666666668</c:v>
                </c:pt>
                <c:pt idx="7">
                  <c:v>1.1981766666666667</c:v>
                </c:pt>
                <c:pt idx="8">
                  <c:v>1.2290633333333334</c:v>
                </c:pt>
                <c:pt idx="9">
                  <c:v>1.46607</c:v>
                </c:pt>
                <c:pt idx="10">
                  <c:v>1.5551000000000001</c:v>
                </c:pt>
                <c:pt idx="11">
                  <c:v>1.6186866666666664</c:v>
                </c:pt>
                <c:pt idx="12">
                  <c:v>1.83216</c:v>
                </c:pt>
                <c:pt idx="13">
                  <c:v>2.1663933333333332</c:v>
                </c:pt>
                <c:pt idx="14">
                  <c:v>2.4381133333333334</c:v>
                </c:pt>
                <c:pt idx="15">
                  <c:v>3.0275366666666663</c:v>
                </c:pt>
              </c:numCache>
            </c:numRef>
          </c:yVal>
          <c:smooth val="1"/>
        </c:ser>
        <c:ser>
          <c:idx val="2"/>
          <c:order val="2"/>
          <c:tx>
            <c:strRef>
              <c:f>Sheet1!$L$33</c:f>
              <c:strCache>
                <c:ptCount val="1"/>
                <c:pt idx="0">
                  <c:v>Chaining</c:v>
                </c:pt>
              </c:strCache>
            </c:strRef>
          </c:tx>
          <c:marker>
            <c:symbol val="none"/>
          </c:marker>
          <c:xVal>
            <c:numRef>
              <c:f>Sheet1!$I$34:$I$49</c:f>
              <c:numCache>
                <c:formatCode>General</c:formatCode>
                <c:ptCount val="16"/>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numCache>
            </c:numRef>
          </c:xVal>
          <c:yVal>
            <c:numRef>
              <c:f>Sheet1!$L$34:$L$49</c:f>
              <c:numCache>
                <c:formatCode>General</c:formatCode>
                <c:ptCount val="16"/>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numCache>
            </c:numRef>
          </c:yVal>
          <c:smooth val="1"/>
        </c:ser>
        <c:dLbls>
          <c:showLegendKey val="0"/>
          <c:showVal val="0"/>
          <c:showCatName val="0"/>
          <c:showSerName val="0"/>
          <c:showPercent val="0"/>
          <c:showBubbleSize val="0"/>
        </c:dLbls>
        <c:axId val="446382984"/>
        <c:axId val="446383768"/>
      </c:scatterChart>
      <c:valAx>
        <c:axId val="446382984"/>
        <c:scaling>
          <c:orientation val="minMax"/>
        </c:scaling>
        <c:delete val="0"/>
        <c:axPos val="b"/>
        <c:title>
          <c:tx>
            <c:rich>
              <a:bodyPr/>
              <a:lstStyle/>
              <a:p>
                <a:pPr>
                  <a:defRPr/>
                </a:pPr>
                <a:r>
                  <a:rPr lang="en-US"/>
                  <a:t>Load Ratio</a:t>
                </a:r>
              </a:p>
            </c:rich>
          </c:tx>
          <c:overlay val="0"/>
        </c:title>
        <c:numFmt formatCode="General" sourceLinked="1"/>
        <c:majorTickMark val="out"/>
        <c:minorTickMark val="none"/>
        <c:tickLblPos val="nextTo"/>
        <c:crossAx val="446383768"/>
        <c:crosses val="autoZero"/>
        <c:crossBetween val="midCat"/>
      </c:valAx>
      <c:valAx>
        <c:axId val="446383768"/>
        <c:scaling>
          <c:orientation val="minMax"/>
        </c:scaling>
        <c:delete val="0"/>
        <c:axPos val="l"/>
        <c:majorGridlines/>
        <c:title>
          <c:tx>
            <c:rich>
              <a:bodyPr rot="-5400000" vert="horz"/>
              <a:lstStyle/>
              <a:p>
                <a:pPr>
                  <a:defRPr/>
                </a:pPr>
                <a:r>
                  <a:rPr lang="en-US"/>
                  <a:t>Average Comparisons</a:t>
                </a:r>
              </a:p>
            </c:rich>
          </c:tx>
          <c:overlay val="0"/>
        </c:title>
        <c:numFmt formatCode="General" sourceLinked="1"/>
        <c:majorTickMark val="out"/>
        <c:minorTickMark val="none"/>
        <c:tickLblPos val="nextTo"/>
        <c:crossAx val="446382984"/>
        <c:crosses val="autoZero"/>
        <c:crossBetween val="midCat"/>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Kaitlyn (waterskm)</dc:creator>
  <cp:keywords/>
  <dc:description/>
  <cp:lastModifiedBy>Waters, Kaitlyn (waterskm)</cp:lastModifiedBy>
  <cp:revision>7</cp:revision>
  <dcterms:created xsi:type="dcterms:W3CDTF">2015-07-31T19:59:00Z</dcterms:created>
  <dcterms:modified xsi:type="dcterms:W3CDTF">2015-07-31T20:22:00Z</dcterms:modified>
</cp:coreProperties>
</file>