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Vin chaud</w:t>
      </w:r>
    </w:p>
    <w:p>
      <w:r>
        <w:rPr>
          <w:i/>
          <w:color w:val="6B6158"/>
        </w:rPr>
        <w:t>Boissons</w:t>
      </w:r>
    </w:p>
    <w:p>
      <w:r>
        <w:drawing>
          <wp:inline xmlns:a="http://schemas.openxmlformats.org/drawingml/2006/main" xmlns:pic="http://schemas.openxmlformats.org/drawingml/2006/picture">
            <wp:extent cx="4079999" cy="3059999"/>
            <wp:docPr id="1" name="Picture 1"/>
            <wp:cNvGraphicFramePr>
              <a:graphicFrameLocks noChangeAspect="1"/>
            </wp:cNvGraphicFramePr>
            <a:graphic>
              <a:graphicData uri="http://schemas.openxmlformats.org/drawingml/2006/picture">
                <pic:pic>
                  <pic:nvPicPr>
                    <pic:cNvPr id="0" name="vin-chaud-illustration.jpg"/>
                    <pic:cNvPicPr/>
                  </pic:nvPicPr>
                  <pic:blipFill>
                    <a:blip r:embed="rId9"/>
                    <a:stretch>
                      <a:fillRect/>
                    </a:stretch>
                  </pic:blipFill>
                  <pic:spPr>
                    <a:xfrm>
                      <a:off x="0" y="0"/>
                      <a:ext cx="4079999" cy="3059999"/>
                    </a:xfrm>
                    <a:prstGeom prst="rect"/>
                  </pic:spPr>
                </pic:pic>
              </a:graphicData>
            </a:graphic>
          </wp:inline>
        </w:drawing>
      </w:r>
    </w:p>
    <w:p>
      <w:r>
        <w:rPr>
          <w:i/>
          <w:color w:val="6B6158"/>
          <w:sz w:val="16"/>
        </w:rPr>
        <w:t>Photo d’illustration : Angela Huster, CC0, via Wikimedia Commons (https://commons.wikimedia.org/wiki/File:Gl%C3%BChwein-Zubereitung.JPG)</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 chaud</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