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DX9 Volume B Deferred Rendering and ENB Frameworks</w:t>
      </w:r>
    </w:p>
    <w:p>
      <w:pPr>
        <w:pStyle w:val="Heading1"/>
      </w:pPr>
      <w:r>
        <w:t>Part 3: Deferred Rendering Entirely in DX9 SM3.0</w:t>
      </w:r>
    </w:p>
    <w:p>
      <w:r>
        <w:t>Covers MRT layouts, G-buffer packing, stencil light volumes, HDR accumulation, transparency strategies, memory budgets, bandwidth optimization, and DX9-specific deferred lighting architectures.</w:t>
      </w:r>
    </w:p>
    <w:p>
      <w:r>
        <w:t>This volume is intended as the foundation for a future full-length encyclopedia chapter with implementation details, code samples, reverse-engineering notes, diagrams, and production guidance.</w:t>
      </w:r>
    </w:p>
    <w:p>
      <w:pPr>
        <w:pStyle w:val="Heading1"/>
      </w:pPr>
      <w:r>
        <w:t>Part 4: ENB/ReShade Style Framework Architecture</w:t>
      </w:r>
    </w:p>
    <w:p>
      <w:r>
        <w:t>Covers effect chains, buffer management, state restoration, resource lifetimes, HDR, bloom, SSAO, SSR, volumetric fog, color grading, plugin systems, and injector integration.</w:t>
      </w:r>
    </w:p>
    <w:p>
      <w:r>
        <w:t>This volume is intended as the foundation for a future full-length encyclopedia chapter with implementation details, code samples, reverse-engineering notes, diagrams, and production guidance.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