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1F46" w:rsidRDefault="00AE1E57" w14:paraId="4AB17986" w14:textId="77777777">
      <w:pPr>
        <w:pStyle w:val="MdHeading1"/>
      </w:pPr>
      <w:r>
        <w:t>SNISID : Système National Intelligent de Sécurisation des Identités et Documents</w:t>
      </w:r>
    </w:p>
    <w:p w:rsidR="00991F46" w:rsidRDefault="00AE1E57" w14:paraId="4716CC97" w14:textId="77777777">
      <w:pPr>
        <w:pStyle w:val="MdHeading2"/>
      </w:pPr>
      <w:r>
        <w:t>Proposition de Projet Professionnel pour la Direction de l'Immigration et de l'Émigration (DIE) d'Haïti</w:t>
      </w:r>
    </w:p>
    <w:p w:rsidR="00991F46" w:rsidRDefault="00AE1E57" w14:paraId="04F6E4F1" w14:textId="77777777">
      <w:pPr>
        <w:pStyle w:val="MdHeading3"/>
      </w:pPr>
      <w:r>
        <w:t>1. Introduction et Vision Stratégique</w:t>
      </w:r>
    </w:p>
    <w:p w:rsidR="00991F46" w:rsidRDefault="00AE1E57" w14:paraId="4BB1C5A2" w14:textId="77777777">
      <w:pPr>
        <w:pStyle w:val="MdParagraph"/>
      </w:pPr>
      <w:r>
        <w:t xml:space="preserve">La Direction de l'Immigration et de l'Émigration (DIE) d'Haïti fait face à des défis sans précédent liés à la fraude documentaire, à l'usurpation d'identité et à la corruption institutionnelle. Le projet </w:t>
      </w:r>
      <w:r>
        <w:rPr>
          <w:rStyle w:val="MdStrong"/>
        </w:rPr>
        <w:t>SNISID</w:t>
      </w:r>
      <w:r>
        <w:t xml:space="preserve"> (Système National Intelligent de Sécurisation des Identités et Documents) propose une transformation radicale de la gouvernance identitaire en Haïti. </w:t>
      </w:r>
    </w:p>
    <w:p w:rsidR="00991F46" w:rsidRDefault="00991F46" w14:paraId="672A6659" w14:textId="77777777">
      <w:pPr>
        <w:pStyle w:val="MdSpace"/>
        <w:spacing w:after="60"/>
      </w:pPr>
    </w:p>
    <w:p w:rsidR="00991F46" w:rsidRDefault="00AE1E57" w14:paraId="0805F751" w14:textId="77777777">
      <w:pPr>
        <w:pStyle w:val="MdParagraph"/>
      </w:pPr>
      <w:r>
        <w:t xml:space="preserve">L'objectif est de remplacer la "confiance humaine" actuelle par une </w:t>
      </w:r>
      <w:r>
        <w:rPr>
          <w:rStyle w:val="MdStrong"/>
        </w:rPr>
        <w:t>vérification technologique systématique</w:t>
      </w:r>
      <w:r>
        <w:t>, garantissant l'intégrité de chaque passeport et document de voyage délivré.</w:t>
      </w:r>
    </w:p>
    <w:p w:rsidR="00991F46" w:rsidRDefault="00991F46" w14:paraId="0A37501D" w14:textId="77777777">
      <w:pPr>
        <w:pStyle w:val="MdSpace"/>
        <w:spacing w:after="60"/>
      </w:pPr>
    </w:p>
    <w:p w:rsidR="00991F46" w:rsidRDefault="00AE1E57" w14:paraId="759D1A17" w14:textId="77777777">
      <w:pPr>
        <w:pStyle w:val="MdHeading3"/>
      </w:pPr>
      <w:r>
        <w:t>2. Architecture Organisationnelle du SNISID</w:t>
      </w:r>
    </w:p>
    <w:p w:rsidR="00991F46" w:rsidRDefault="00AE1E57" w14:paraId="669AD9F8" w14:textId="77777777">
      <w:pPr>
        <w:pStyle w:val="MdParagraph"/>
      </w:pPr>
      <w:r>
        <w:t>Le SNISID est structuré pour assurer une surveillance à tous les niveaux de l'État :</w:t>
      </w:r>
    </w:p>
    <w:p w:rsidR="00991F46" w:rsidRDefault="00991F46" w14:paraId="5DAB6C7B" w14:textId="77777777">
      <w:pPr>
        <w:pStyle w:val="MdSpace"/>
        <w:spacing w:after="60"/>
      </w:pPr>
    </w:p>
    <w:tbl>
      <w:tblPr>
        <w:tblW w:w="5000" w:type="pct"/>
        <w:tblBorders>
          <w:top w:val="single" w:color="E1E4E8" w:sz="4" w:space="0"/>
          <w:bottom w:val="single" w:color="E1E4E8" w:sz="4" w:space="0"/>
          <w:insideH w:val="single" w:color="E1E4E8" w:sz="2" w:space="0"/>
          <w:insideV w:val="single" w:color="F6F8FA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3144"/>
        <w:gridCol w:w="4486"/>
      </w:tblGrid>
      <w:tr w:rsidR="00991F46" w14:paraId="5ADF7BBA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91F46" w:rsidRDefault="00AE1E57" w14:paraId="50A9890E" w14:textId="77777777">
            <w:pPr>
              <w:pStyle w:val="MdTableHeader"/>
            </w:pPr>
            <w:r>
              <w:t>Niveau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91F46" w:rsidRDefault="00AE1E57" w14:paraId="77B9A834" w14:textId="77777777">
            <w:pPr>
              <w:pStyle w:val="MdTableHeader"/>
            </w:pPr>
            <w:r>
              <w:t>Organe / Institution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91F46" w:rsidRDefault="00AE1E57" w14:paraId="4A634877" w14:textId="77777777">
            <w:pPr>
              <w:pStyle w:val="MdTableHeader"/>
            </w:pPr>
            <w:r>
              <w:t>Rôle Stratégique</w:t>
            </w:r>
          </w:p>
        </w:tc>
      </w:tr>
      <w:tr w:rsidR="00991F46" w14:paraId="6E6B681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1F46" w:rsidRDefault="00AE1E57" w14:paraId="7653534A" w14:textId="77777777">
            <w:pPr>
              <w:pStyle w:val="MdTableCell"/>
            </w:pPr>
            <w:r>
              <w:rPr>
                <w:rStyle w:val="MdStrong"/>
              </w:rPr>
              <w:t>Stratégique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1F46" w:rsidRDefault="00AE1E57" w14:paraId="6700C9E8" w14:textId="77777777">
            <w:pPr>
              <w:pStyle w:val="MdTableCell"/>
            </w:pPr>
            <w:r>
              <w:t>Primature / Comité National SNISID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1F46" w:rsidRDefault="00AE1E57" w14:paraId="1F66ECB0" w14:textId="77777777">
            <w:pPr>
              <w:pStyle w:val="MdTableCell"/>
            </w:pPr>
            <w:r>
              <w:t>Pilotage de haut niveau et coordination ministérielle.</w:t>
            </w:r>
          </w:p>
        </w:tc>
      </w:tr>
      <w:tr w:rsidR="00991F46" w14:paraId="51E3503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1F46" w:rsidRDefault="00AE1E57" w14:paraId="75485C2A" w14:textId="77777777">
            <w:pPr>
              <w:pStyle w:val="MdTableCell"/>
            </w:pPr>
            <w:r>
              <w:rPr>
                <w:rStyle w:val="MdStrong"/>
              </w:rPr>
              <w:t>Opérationnel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1F46" w:rsidRDefault="00AE1E57" w14:paraId="3CFB264F" w14:textId="77777777">
            <w:pPr>
              <w:pStyle w:val="MdTableCell"/>
            </w:pPr>
            <w:r>
              <w:t>Direction Générale SNISID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1F46" w:rsidRDefault="00AE1E57" w14:paraId="682C33A4" w14:textId="77777777">
            <w:pPr>
              <w:pStyle w:val="MdTableCell"/>
            </w:pPr>
            <w:r>
              <w:t>Gestion technique, IT, Cybersécurité et IA.</w:t>
            </w:r>
          </w:p>
        </w:tc>
      </w:tr>
      <w:tr w:rsidR="00991F46" w14:paraId="12B52B6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1F46" w:rsidRDefault="00AE1E57" w14:paraId="2CBAFE7B" w14:textId="77777777">
            <w:pPr>
              <w:pStyle w:val="MdTableCell"/>
            </w:pPr>
            <w:r>
              <w:rPr>
                <w:rStyle w:val="MdStrong"/>
              </w:rPr>
              <w:t>Institutionnel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1F46" w:rsidRDefault="00AE1E57" w14:paraId="57C819D4" w14:textId="77777777">
            <w:pPr>
              <w:pStyle w:val="MdTableCell"/>
            </w:pPr>
            <w:r>
              <w:t>DIE, ONI, ANH, DGI, Consulats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1F46" w:rsidRDefault="00AE1E57" w14:paraId="75A8207A" w14:textId="77777777">
            <w:pPr>
              <w:pStyle w:val="MdTableCell"/>
            </w:pPr>
            <w:r>
              <w:t>Exécution, capture biométrique et vérification croisée.</w:t>
            </w:r>
          </w:p>
        </w:tc>
      </w:tr>
    </w:tbl>
    <w:p w:rsidR="00991F46" w:rsidRDefault="00AE1E57" w14:paraId="5AD09079" w14:textId="77777777">
      <w:pPr>
        <w:pStyle w:val="MdHeading3"/>
      </w:pPr>
      <w:r>
        <w:t>3. Rôles et Responsabilités par Institution</w:t>
      </w:r>
    </w:p>
    <w:p w:rsidR="00991F46" w:rsidRDefault="00AE1E57" w14:paraId="6A7A4E42" w14:textId="77777777">
      <w:pPr>
        <w:pStyle w:val="MdParagraph"/>
      </w:pPr>
      <w:r>
        <w:t>Le système repose sur une interopérabilité en temps réel entre cinq institutions piliers :</w:t>
      </w:r>
    </w:p>
    <w:p w:rsidR="00991F46" w:rsidRDefault="00991F46" w14:paraId="02EB378F" w14:textId="77777777">
      <w:pPr>
        <w:pStyle w:val="MdSpace"/>
        <w:spacing w:after="60"/>
      </w:pPr>
    </w:p>
    <w:p w:rsidR="00991F46" w:rsidRDefault="00AE1E57" w14:paraId="43FF4106" w14:textId="77777777">
      <w:pPr>
        <w:pStyle w:val="MdListItem"/>
        <w:numPr>
          <w:ilvl w:val="0"/>
          <w:numId w:val="2"/>
        </w:numPr>
      </w:pPr>
      <w:r>
        <w:rPr>
          <w:rStyle w:val="MdStrong"/>
        </w:rPr>
        <w:t>DIE (Immigration)</w:t>
      </w:r>
      <w:r>
        <w:t xml:space="preserve"> : Validation des demandes de passeport via le système SNISID, capture biométrique et analyse des alertes de fraude.</w:t>
      </w:r>
    </w:p>
    <w:p w:rsidR="00991F46" w:rsidRDefault="00AE1E57" w14:paraId="748D5F2A" w14:textId="77777777">
      <w:pPr>
        <w:pStyle w:val="MdListItem"/>
        <w:numPr>
          <w:ilvl w:val="0"/>
          <w:numId w:val="2"/>
        </w:numPr>
      </w:pPr>
      <w:r>
        <w:rPr>
          <w:rStyle w:val="MdStrong"/>
        </w:rPr>
        <w:t>ONI (Identification)</w:t>
      </w:r>
      <w:r>
        <w:t xml:space="preserve"> : Garant de l'identité unique via la base biométrique centrale et la détection automatique de doublons.</w:t>
      </w:r>
    </w:p>
    <w:p w:rsidR="00991F46" w:rsidRDefault="00AE1E57" w14:paraId="195C5C43" w14:textId="77777777">
      <w:pPr>
        <w:pStyle w:val="MdListItem"/>
        <w:numPr>
          <w:ilvl w:val="0"/>
          <w:numId w:val="2"/>
        </w:numPr>
      </w:pPr>
      <w:r>
        <w:rPr>
          <w:rStyle w:val="MdStrong"/>
        </w:rPr>
        <w:t>ANH (Archives)</w:t>
      </w:r>
      <w:r>
        <w:t xml:space="preserve"> : Transformation des archives papier en base numérique fiable par OCR et indexation rigoureuse.</w:t>
      </w:r>
    </w:p>
    <w:p w:rsidR="00991F46" w:rsidRDefault="00AE1E57" w14:paraId="1380C7DB" w14:textId="7253751A">
      <w:pPr>
        <w:pStyle w:val="MdListItem"/>
        <w:numPr>
          <w:ilvl w:val="0"/>
          <w:numId w:val="2"/>
        </w:numPr>
        <w:rPr/>
      </w:pPr>
      <w:r w:rsidRPr="124F7DB1" w:rsidR="42C9476E">
        <w:rPr>
          <w:rStyle w:val="MdStrong"/>
          <w:lang w:val="fr-FR"/>
        </w:rPr>
        <w:t>DGI (</w:t>
      </w:r>
      <w:r w:rsidRPr="124F7DB1" w:rsidR="42C9476E">
        <w:rPr>
          <w:rStyle w:val="MdStrong"/>
          <w:lang w:val="fr-FR"/>
        </w:rPr>
        <w:t>Impôts</w:t>
      </w:r>
      <w:r w:rsidRPr="124F7DB1" w:rsidR="42C9476E">
        <w:rPr>
          <w:rStyle w:val="MdStrong"/>
          <w:lang w:val="fr-FR"/>
        </w:rPr>
        <w:t>)</w:t>
      </w:r>
      <w:r w:rsidRPr="124F7DB1" w:rsidR="42C9476E">
        <w:rPr>
          <w:lang w:val="fr-FR"/>
        </w:rPr>
        <w:t>:</w:t>
      </w:r>
      <w:r w:rsidRPr="124F7DB1" w:rsidR="42C9476E">
        <w:rPr>
          <w:lang w:val="fr-FR"/>
        </w:rPr>
        <w:t xml:space="preserve"> Validation de la </w:t>
      </w:r>
      <w:r w:rsidRPr="124F7DB1" w:rsidR="42C9476E">
        <w:rPr>
          <w:lang w:val="fr-FR"/>
        </w:rPr>
        <w:t>cohérence</w:t>
      </w:r>
      <w:r w:rsidRPr="124F7DB1" w:rsidR="42C9476E">
        <w:rPr>
          <w:lang w:val="fr-FR"/>
        </w:rPr>
        <w:t xml:space="preserve"> </w:t>
      </w:r>
      <w:r w:rsidRPr="124F7DB1" w:rsidR="42C9476E">
        <w:rPr>
          <w:lang w:val="fr-FR"/>
        </w:rPr>
        <w:t>fiscale</w:t>
      </w:r>
      <w:r w:rsidRPr="124F7DB1" w:rsidR="42C9476E">
        <w:rPr>
          <w:lang w:val="fr-FR"/>
        </w:rPr>
        <w:t xml:space="preserve"> (NIF) et </w:t>
      </w:r>
      <w:r w:rsidRPr="124F7DB1" w:rsidR="42C9476E">
        <w:rPr>
          <w:lang w:val="fr-FR"/>
        </w:rPr>
        <w:t>contrôle</w:t>
      </w:r>
      <w:r w:rsidRPr="124F7DB1" w:rsidR="42C9476E">
        <w:rPr>
          <w:lang w:val="fr-FR"/>
        </w:rPr>
        <w:t xml:space="preserve"> des </w:t>
      </w:r>
      <w:r w:rsidRPr="124F7DB1" w:rsidR="42C9476E">
        <w:rPr>
          <w:lang w:val="fr-FR"/>
        </w:rPr>
        <w:t>reçus</w:t>
      </w:r>
      <w:r w:rsidRPr="124F7DB1" w:rsidR="42C9476E">
        <w:rPr>
          <w:lang w:val="fr-FR"/>
        </w:rPr>
        <w:t xml:space="preserve"> de </w:t>
      </w:r>
      <w:r w:rsidRPr="124F7DB1" w:rsidR="42C9476E">
        <w:rPr>
          <w:lang w:val="fr-FR"/>
        </w:rPr>
        <w:t>paiement</w:t>
      </w:r>
      <w:r w:rsidRPr="124F7DB1" w:rsidR="42C9476E">
        <w:rPr>
          <w:lang w:val="fr-FR"/>
        </w:rPr>
        <w:t xml:space="preserve"> </w:t>
      </w:r>
      <w:r w:rsidRPr="124F7DB1" w:rsidR="42C9476E">
        <w:rPr>
          <w:lang w:val="fr-FR"/>
        </w:rPr>
        <w:t>officiels</w:t>
      </w:r>
      <w:r w:rsidRPr="124F7DB1" w:rsidR="42C9476E">
        <w:rPr>
          <w:lang w:val="fr-FR"/>
        </w:rPr>
        <w:t>.</w:t>
      </w:r>
    </w:p>
    <w:p w:rsidR="00991F46" w:rsidRDefault="00AE1E57" w14:paraId="31A5060F" w14:textId="77777777">
      <w:pPr>
        <w:pStyle w:val="MdListItem"/>
        <w:numPr>
          <w:ilvl w:val="0"/>
          <w:numId w:val="2"/>
        </w:numPr>
      </w:pPr>
      <w:r>
        <w:rPr>
          <w:rStyle w:val="MdStrong"/>
        </w:rPr>
        <w:t>Consulats</w:t>
      </w:r>
      <w:r>
        <w:t xml:space="preserve"> : Interface pour la diaspora avec capture biométrique et transmission sécurisée en temps réel.</w:t>
      </w:r>
    </w:p>
    <w:p w:rsidR="00991F46" w:rsidRDefault="00991F46" w14:paraId="6A05A809" w14:textId="77777777">
      <w:pPr>
        <w:pStyle w:val="MdSpace"/>
        <w:spacing w:after="60"/>
      </w:pPr>
    </w:p>
    <w:p w:rsidR="00991F46" w:rsidRDefault="00AE1E57" w14:paraId="4811311C" w14:textId="44547622">
      <w:pPr>
        <w:pStyle w:val="MdHeading3"/>
      </w:pPr>
      <w:r w:rsidR="42C9476E">
        <w:rPr/>
        <w:t xml:space="preserve">4. </w:t>
      </w:r>
      <w:r w:rsidR="42C9476E">
        <w:rPr/>
        <w:t>Innovation:</w:t>
      </w:r>
      <w:r w:rsidR="42C9476E">
        <w:rPr/>
        <w:t xml:space="preserve"> "Anti-Corruption by Design"</w:t>
      </w:r>
    </w:p>
    <w:p w:rsidR="00991F46" w:rsidRDefault="00AE1E57" w14:paraId="0AA8E255" w14:textId="77777777">
      <w:pPr>
        <w:pStyle w:val="MdParagraph"/>
      </w:pPr>
      <w:r>
        <w:t>Le SNISID intègre des mécanismes de défense intrinsèques :</w:t>
      </w:r>
    </w:p>
    <w:p w:rsidR="00991F46" w:rsidRDefault="00AE1E57" w14:paraId="312B3D85" w14:textId="77777777">
      <w:pPr>
        <w:pStyle w:val="MdListItem"/>
        <w:numPr>
          <w:ilvl w:val="0"/>
          <w:numId w:val="3"/>
        </w:numPr>
      </w:pPr>
      <w:r>
        <w:rPr>
          <w:rStyle w:val="MdStrong"/>
        </w:rPr>
        <w:t>Logs Immuables</w:t>
      </w:r>
      <w:r>
        <w:t xml:space="preserve"> : Chaque action d'un agent est enregistrée de manière indélébile, rendant tout audit transparent.</w:t>
      </w:r>
    </w:p>
    <w:p w:rsidR="00991F46" w:rsidRDefault="00AE1E57" w14:paraId="3D80F3C7" w14:textId="77777777">
      <w:pPr>
        <w:pStyle w:val="MdListItem"/>
        <w:numPr>
          <w:ilvl w:val="0"/>
          <w:numId w:val="3"/>
        </w:numPr>
      </w:pPr>
      <w:r>
        <w:rPr>
          <w:rStyle w:val="MdStrong"/>
        </w:rPr>
        <w:t>Vérification Automatique</w:t>
      </w:r>
      <w:r>
        <w:t xml:space="preserve"> : Le système interroge directement les bases de données partenaires via des API sécurisées, éliminant le pouvoir discrétionnaire.</w:t>
      </w:r>
    </w:p>
    <w:p w:rsidR="00991F46" w:rsidRDefault="00AE1E57" w14:paraId="75717BF7" w14:textId="77777777">
      <w:pPr>
        <w:pStyle w:val="MdListItem"/>
        <w:numPr>
          <w:ilvl w:val="0"/>
          <w:numId w:val="3"/>
        </w:numPr>
      </w:pPr>
      <w:r>
        <w:rPr>
          <w:rStyle w:val="MdStrong"/>
        </w:rPr>
        <w:t>Alertes en Temps Réel</w:t>
      </w:r>
      <w:r>
        <w:t xml:space="preserve"> : Toute incohérence entre le NIF, l'acte de naissance et la biométrie génère une alerte immédiate bloquant le processus.</w:t>
      </w:r>
    </w:p>
    <w:p w:rsidR="00991F46" w:rsidRDefault="00991F46" w14:paraId="5A39BBE3" w14:textId="77777777">
      <w:pPr>
        <w:pStyle w:val="MdSpace"/>
        <w:spacing w:after="60"/>
      </w:pPr>
    </w:p>
    <w:p w:rsidR="00991F46" w:rsidRDefault="00AE1E57" w14:paraId="60EC388A" w14:textId="77777777">
      <w:pPr>
        <w:pStyle w:val="MdHeading3"/>
      </w:pPr>
      <w:r>
        <w:t>5. Impact Attendu : Une Réforme de l'État</w:t>
      </w:r>
    </w:p>
    <w:p w:rsidR="00991F46" w:rsidRDefault="00AE1E57" w14:paraId="3FA549FE" w14:textId="77777777">
      <w:pPr>
        <w:pStyle w:val="MdParagraph"/>
      </w:pPr>
      <w:r>
        <w:t>L'implémentation du SNISID n'est pas seulement technologique, c'est une nécessité stratégique pour :</w:t>
      </w:r>
    </w:p>
    <w:p w:rsidR="00991F46" w:rsidRDefault="00AE1E57" w14:paraId="3ACCFBCA" w14:textId="77777777">
      <w:pPr>
        <w:pStyle w:val="MdListItem"/>
        <w:numPr>
          <w:ilvl w:val="0"/>
          <w:numId w:val="2"/>
        </w:numPr>
      </w:pPr>
      <w:r>
        <w:rPr>
          <w:rStyle w:val="MdStrong"/>
        </w:rPr>
        <w:t>Éliminer la fraude à grande échelle</w:t>
      </w:r>
      <w:r>
        <w:t xml:space="preserve"> (Objectif : Réduction &gt; 80%).</w:t>
      </w:r>
    </w:p>
    <w:p w:rsidR="00991F46" w:rsidRDefault="00AE1E57" w14:paraId="51560259" w14:textId="77777777">
      <w:pPr>
        <w:pStyle w:val="MdListItem"/>
        <w:numPr>
          <w:ilvl w:val="0"/>
          <w:numId w:val="2"/>
        </w:numPr>
      </w:pPr>
      <w:r>
        <w:rPr>
          <w:rStyle w:val="MdStrong"/>
        </w:rPr>
        <w:t>Restaurer la crédibilité internationale</w:t>
      </w:r>
      <w:r>
        <w:t xml:space="preserve"> des documents haïtiens.</w:t>
      </w:r>
    </w:p>
    <w:p w:rsidR="00991F46" w:rsidRDefault="00AE1E57" w14:paraId="094E3B36" w14:textId="77777777">
      <w:pPr>
        <w:pStyle w:val="MdListItem"/>
        <w:numPr>
          <w:ilvl w:val="0"/>
          <w:numId w:val="2"/>
        </w:numPr>
      </w:pPr>
      <w:r>
        <w:rPr>
          <w:rStyle w:val="MdStrong"/>
        </w:rPr>
        <w:t>Reprendre le contrôle</w:t>
      </w:r>
      <w:r>
        <w:t xml:space="preserve"> de l'identité nationale par l'État.</w:t>
      </w:r>
    </w:p>
    <w:p w:rsidR="00991F46" w:rsidRDefault="00991F46" w14:paraId="41C8F396" w14:textId="77777777">
      <w:pPr>
        <w:pStyle w:val="MdSpace"/>
        <w:spacing w:after="60"/>
      </w:pPr>
    </w:p>
    <w:p w:rsidR="00991F46" w:rsidRDefault="00AE1E57" w14:paraId="70D19C7E" w14:textId="77777777">
      <w:pPr>
        <w:pStyle w:val="MdHeading3"/>
      </w:pPr>
      <w:r>
        <w:t>6. Conclusion : Appel à l'Action</w:t>
      </w:r>
    </w:p>
    <w:p w:rsidR="00991F46" w:rsidRDefault="00AE1E57" w14:paraId="083BDA28" w14:textId="77777777">
      <w:pPr>
        <w:pStyle w:val="MdParagraph"/>
      </w:pPr>
      <w:r>
        <w:t>Monsieur le Ministre, le SNISID offre l'opportunité historique de bâtir un système transparent, sécurisé et moderne. Il est temps de passer d'un système vulnérable à une infrastructure inviolable où l'identité de chaque citoyen haïtien est protégée.</w:t>
      </w:r>
    </w:p>
    <w:p w:rsidR="00991F46" w:rsidP="124F7DB1" w:rsidRDefault="00AE1E57" w14:paraId="7D310324" w14:textId="6E3DCC7D">
      <w:pPr>
        <w:pStyle w:val="MdParagraph"/>
        <w:spacing w:after="60"/>
      </w:pPr>
    </w:p>
    <w:sectPr w:rsidR="00991F46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60c04sTzwrAuxT" int2:id="rDBFLiSc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7AEA"/>
    <w:multiLevelType w:val="multilevel"/>
    <w:tmpl w:val="FED0218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22DD36C4"/>
    <w:multiLevelType w:val="hybridMultilevel"/>
    <w:tmpl w:val="FFFFFFFF"/>
    <w:lvl w:ilvl="0" w:tplc="58B0D57E">
      <w:start w:val="1"/>
      <w:numFmt w:val="bullet"/>
      <w:lvlText w:val="•"/>
      <w:lvlJc w:val="left"/>
      <w:pPr>
        <w:ind w:left="720" w:hanging="360"/>
      </w:pPr>
    </w:lvl>
    <w:lvl w:ilvl="1" w:tplc="B90C8192">
      <w:start w:val="1"/>
      <w:numFmt w:val="bullet"/>
      <w:lvlText w:val="◦"/>
      <w:lvlJc w:val="left"/>
      <w:pPr>
        <w:ind w:left="1440" w:hanging="360"/>
      </w:pPr>
    </w:lvl>
    <w:lvl w:ilvl="2" w:tplc="407C397A">
      <w:start w:val="1"/>
      <w:numFmt w:val="bullet"/>
      <w:lvlText w:val="•"/>
      <w:lvlJc w:val="left"/>
      <w:pPr>
        <w:ind w:left="2160" w:hanging="360"/>
      </w:pPr>
    </w:lvl>
    <w:lvl w:ilvl="3" w:tplc="481609AA">
      <w:start w:val="1"/>
      <w:numFmt w:val="bullet"/>
      <w:lvlText w:val="◦"/>
      <w:lvlJc w:val="left"/>
      <w:pPr>
        <w:ind w:left="2880" w:hanging="360"/>
      </w:pPr>
    </w:lvl>
    <w:lvl w:ilvl="4" w:tplc="FB0467EE">
      <w:start w:val="1"/>
      <w:numFmt w:val="bullet"/>
      <w:lvlText w:val="•"/>
      <w:lvlJc w:val="left"/>
      <w:pPr>
        <w:ind w:left="3600" w:hanging="360"/>
      </w:pPr>
    </w:lvl>
    <w:lvl w:ilvl="5" w:tplc="87A2C452">
      <w:start w:val="1"/>
      <w:numFmt w:val="bullet"/>
      <w:lvlText w:val="◦"/>
      <w:lvlJc w:val="left"/>
      <w:pPr>
        <w:ind w:left="4320" w:hanging="360"/>
      </w:pPr>
    </w:lvl>
    <w:lvl w:ilvl="6" w:tplc="19AE7F78">
      <w:start w:val="1"/>
      <w:numFmt w:val="bullet"/>
      <w:lvlText w:val="•"/>
      <w:lvlJc w:val="left"/>
      <w:pPr>
        <w:ind w:left="5040" w:hanging="360"/>
      </w:pPr>
    </w:lvl>
    <w:lvl w:ilvl="7" w:tplc="97BEB892">
      <w:numFmt w:val="decimal"/>
      <w:lvlText w:val=""/>
      <w:lvlJc w:val="left"/>
    </w:lvl>
    <w:lvl w:ilvl="8" w:tplc="2E8628AA">
      <w:numFmt w:val="decimal"/>
      <w:lvlText w:val=""/>
      <w:lvlJc w:val="left"/>
    </w:lvl>
  </w:abstractNum>
  <w:abstractNum w:abstractNumId="2" w15:restartNumberingAfterBreak="0">
    <w:nsid w:val="2AB10F57"/>
    <w:multiLevelType w:val="hybridMultilevel"/>
    <w:tmpl w:val="FFFFFFFF"/>
    <w:lvl w:ilvl="0" w:tplc="38F2FF1C">
      <w:start w:val="1"/>
      <w:numFmt w:val="bullet"/>
      <w:lvlText w:val="●"/>
      <w:lvlJc w:val="left"/>
      <w:pPr>
        <w:ind w:left="720" w:hanging="360"/>
      </w:pPr>
    </w:lvl>
    <w:lvl w:ilvl="1" w:tplc="670A4572">
      <w:start w:val="1"/>
      <w:numFmt w:val="bullet"/>
      <w:lvlText w:val="○"/>
      <w:lvlJc w:val="left"/>
      <w:pPr>
        <w:ind w:left="1440" w:hanging="360"/>
      </w:pPr>
    </w:lvl>
    <w:lvl w:ilvl="2" w:tplc="95C4F944">
      <w:start w:val="1"/>
      <w:numFmt w:val="bullet"/>
      <w:lvlText w:val="■"/>
      <w:lvlJc w:val="left"/>
      <w:pPr>
        <w:ind w:left="2160" w:hanging="360"/>
      </w:pPr>
    </w:lvl>
    <w:lvl w:ilvl="3" w:tplc="5972EF92">
      <w:start w:val="1"/>
      <w:numFmt w:val="bullet"/>
      <w:lvlText w:val="●"/>
      <w:lvlJc w:val="left"/>
      <w:pPr>
        <w:ind w:left="2880" w:hanging="360"/>
      </w:pPr>
    </w:lvl>
    <w:lvl w:ilvl="4" w:tplc="709A32EE">
      <w:start w:val="1"/>
      <w:numFmt w:val="bullet"/>
      <w:lvlText w:val="○"/>
      <w:lvlJc w:val="left"/>
      <w:pPr>
        <w:ind w:left="3600" w:hanging="360"/>
      </w:pPr>
    </w:lvl>
    <w:lvl w:ilvl="5" w:tplc="25ACBCAE">
      <w:start w:val="1"/>
      <w:numFmt w:val="bullet"/>
      <w:lvlText w:val="■"/>
      <w:lvlJc w:val="left"/>
      <w:pPr>
        <w:ind w:left="4320" w:hanging="360"/>
      </w:pPr>
    </w:lvl>
    <w:lvl w:ilvl="6" w:tplc="F59275CC">
      <w:start w:val="1"/>
      <w:numFmt w:val="bullet"/>
      <w:lvlText w:val="●"/>
      <w:lvlJc w:val="left"/>
      <w:pPr>
        <w:ind w:left="5040" w:hanging="360"/>
      </w:pPr>
    </w:lvl>
    <w:lvl w:ilvl="7" w:tplc="8DB035E6">
      <w:start w:val="1"/>
      <w:numFmt w:val="bullet"/>
      <w:lvlText w:val="●"/>
      <w:lvlJc w:val="left"/>
      <w:pPr>
        <w:ind w:left="5760" w:hanging="360"/>
      </w:pPr>
    </w:lvl>
    <w:lvl w:ilvl="8" w:tplc="3788EA46">
      <w:start w:val="1"/>
      <w:numFmt w:val="bullet"/>
      <w:lvlText w:val="●"/>
      <w:lvlJc w:val="left"/>
      <w:pPr>
        <w:ind w:left="6480" w:hanging="360"/>
      </w:pPr>
    </w:lvl>
  </w:abstractNum>
  <w:num w:numId="1" w16cid:durableId="2116443807">
    <w:abstractNumId w:val="2"/>
    <w:lvlOverride w:ilvl="0">
      <w:startOverride w:val="1"/>
    </w:lvlOverride>
  </w:num>
  <w:num w:numId="2" w16cid:durableId="1069351390">
    <w:abstractNumId w:val="1"/>
    <w:lvlOverride w:ilvl="0">
      <w:startOverride w:val="1"/>
    </w:lvlOverride>
  </w:num>
  <w:num w:numId="3" w16cid:durableId="17855422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F46"/>
    <w:rsid w:val="00991F46"/>
    <w:rsid w:val="00A147CD"/>
    <w:rsid w:val="00AE1E57"/>
    <w:rsid w:val="124F7DB1"/>
    <w:rsid w:val="167699B1"/>
    <w:rsid w:val="42C9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F65592"/>
  <w15:docId w15:val="{7F324D36-7250-4A97-899C-DEF281654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MdSpace" w:customStyle="1">
    <w:name w:val="MdSpace"/>
    <w:qFormat/>
    <w:rPr>
      <w:sz w:val="12"/>
      <w:szCs w:val="12"/>
    </w:rPr>
  </w:style>
  <w:style w:type="paragraph" w:styleId="MdCode" w:customStyle="1">
    <w:name w:val="MdCode"/>
    <w:qFormat/>
    <w:pPr>
      <w:pBdr>
        <w:top w:val="single" w:color="A5A5A5" w:sz="1" w:space="8"/>
        <w:left w:val="single" w:color="A5A5A5" w:sz="1" w:space="8"/>
        <w:bottom w:val="single" w:color="A5A5A5" w:sz="1" w:space="8"/>
        <w:right w:val="single" w:color="A5A5A5" w:sz="1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</w:rPr>
  </w:style>
  <w:style w:type="paragraph" w:styleId="MdHr" w:customStyle="1">
    <w:name w:val="MdHr"/>
    <w:qFormat/>
    <w:pPr>
      <w:pBdr>
        <w:bottom w:val="single" w:color="A5A5A5" w:sz="1" w:space="1"/>
      </w:pBdr>
      <w:spacing w:before="240" w:after="240"/>
    </w:pPr>
  </w:style>
  <w:style w:type="paragraph" w:styleId="MdBlockquote" w:customStyle="1">
    <w:name w:val="MdBlockquote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 w:customStyle="1">
    <w:name w:val="MdHtml"/>
    <w:qFormat/>
    <w:rPr>
      <w:rFonts w:ascii="Courier New" w:hAnsi="Courier New" w:eastAsia="Courier New" w:cs="Courier New"/>
      <w:color w:val="ED7D31"/>
    </w:rPr>
  </w:style>
  <w:style w:type="paragraph" w:styleId="MdDef" w:customStyle="1">
    <w:name w:val="MdDef"/>
    <w:qFormat/>
    <w:pPr>
      <w:ind w:left="720" w:hanging="360"/>
    </w:pPr>
  </w:style>
  <w:style w:type="paragraph" w:styleId="MdParagraph" w:customStyle="1">
    <w:name w:val="MdParagraph"/>
    <w:qFormat/>
    <w:pPr>
      <w:spacing w:before="120" w:after="120"/>
    </w:pPr>
  </w:style>
  <w:style w:type="paragraph" w:styleId="MdText" w:customStyle="1">
    <w:name w:val="MdText"/>
    <w:qFormat/>
  </w:style>
  <w:style w:type="paragraph" w:styleId="MdFootnote" w:customStyle="1">
    <w:name w:val="MdFootnote"/>
    <w:qFormat/>
    <w:rPr>
      <w:vertAlign w:val="superscript"/>
    </w:rPr>
  </w:style>
  <w:style w:type="paragraph" w:styleId="MdListItem" w:customStyle="1">
    <w:name w:val="MdListItem"/>
    <w:qFormat/>
    <w:pPr>
      <w:spacing w:before="60" w:after="60"/>
      <w:ind w:left="720" w:hanging="360"/>
    </w:pPr>
  </w:style>
  <w:style w:type="paragraph" w:styleId="MdTable" w:customStyle="1">
    <w:name w:val="MdTable"/>
    <w:qFormat/>
    <w:pPr>
      <w:spacing w:before="60" w:after="60"/>
    </w:pPr>
  </w:style>
  <w:style w:type="paragraph" w:styleId="MdTableHeader" w:customStyle="1">
    <w:name w:val="MdTableHeader"/>
    <w:qFormat/>
    <w:pPr>
      <w:spacing w:before="60" w:after="60"/>
    </w:pPr>
    <w:rPr>
      <w:b/>
      <w:bCs/>
      <w:sz w:val="22"/>
      <w:szCs w:val="22"/>
    </w:rPr>
  </w:style>
  <w:style w:type="paragraph" w:styleId="MdTableCell" w:customStyle="1">
    <w:name w:val="MdTableCell"/>
    <w:qFormat/>
    <w:pPr>
      <w:spacing w:before="40" w:after="40"/>
    </w:pPr>
    <w:rPr>
      <w:sz w:val="20"/>
      <w:szCs w:val="20"/>
    </w:rPr>
  </w:style>
  <w:style w:type="paragraph" w:styleId="MdHeading1" w:customStyle="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 w:customStyle="1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 w:customStyle="1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 w:customStyle="1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 w:customStyle="1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styleId="MdHeading6" w:customStyle="1">
    <w:name w:val="MdHeading6"/>
    <w:qFormat/>
    <w:pPr>
      <w:keepNext/>
      <w:spacing w:before="240" w:after="120"/>
      <w:outlineLvl w:val="5"/>
    </w:pPr>
    <w:rPr>
      <w:i/>
      <w:iCs/>
    </w:rPr>
  </w:style>
  <w:style w:type="character" w:styleId="MdTag" w:customStyle="1">
    <w:name w:val="MdTag"/>
    <w:uiPriority w:val="99"/>
    <w:unhideWhenUsed/>
    <w:qFormat/>
    <w:rPr>
      <w:rFonts w:ascii="Courier New" w:hAnsi="Courier New" w:eastAsia="Courier New" w:cs="Courier New"/>
      <w:color w:val="ED7D31"/>
    </w:rPr>
  </w:style>
  <w:style w:type="character" w:styleId="MdLink" w:customStyle="1">
    <w:name w:val="MdLink"/>
    <w:uiPriority w:val="99"/>
    <w:unhideWhenUsed/>
    <w:qFormat/>
    <w:rPr>
      <w:color w:val="0563C1"/>
      <w:u w:val="single"/>
    </w:rPr>
  </w:style>
  <w:style w:type="character" w:styleId="MdStrong" w:customStyle="1">
    <w:name w:val="MdStrong"/>
    <w:uiPriority w:val="99"/>
    <w:unhideWhenUsed/>
    <w:qFormat/>
    <w:rPr>
      <w:b/>
      <w:bCs/>
    </w:rPr>
  </w:style>
  <w:style w:type="character" w:styleId="MdEm" w:customStyle="1">
    <w:name w:val="MdEm"/>
    <w:uiPriority w:val="99"/>
    <w:unhideWhenUsed/>
    <w:qFormat/>
    <w:rPr>
      <w:i/>
      <w:iCs/>
    </w:rPr>
  </w:style>
  <w:style w:type="character" w:styleId="MdCodespan" w:customStyle="1">
    <w:name w:val="MdCodespan"/>
    <w:uiPriority w:val="99"/>
    <w:unhideWhenUsed/>
    <w:qFormat/>
    <w:rPr>
      <w:rFonts w:ascii="Courier New" w:hAnsi="Courier New" w:eastAsia="Courier New" w:cs="Courier New"/>
      <w:color w:val="70AD47"/>
    </w:rPr>
  </w:style>
  <w:style w:type="character" w:styleId="MdDel" w:customStyle="1">
    <w:name w:val="MdDel"/>
    <w:uiPriority w:val="99"/>
    <w:unhideWhenUsed/>
    <w:qFormat/>
    <w:rPr>
      <w:strike/>
    </w:rPr>
  </w:style>
  <w:style w:type="character" w:styleId="MdBr" w:customStyle="1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84c3e4df46b44e2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Converted Document</dc:title>
  <dc:creator>md2docx converter</dc:creator>
  <dc:description>Converted from Markdown</dc:description>
  <lastModifiedBy>Lulu Hathor</lastModifiedBy>
  <revision>2</revision>
  <dcterms:created xsi:type="dcterms:W3CDTF">2026-03-30T20:49:00.0000000Z</dcterms:created>
  <dcterms:modified xsi:type="dcterms:W3CDTF">2026-03-30T20:51:08.9212855Z</dcterms:modified>
</coreProperties>
</file>