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details the "Global Trust Engine," a Machine Learning for Development Integrity (ML4DI) model designed as an early warning "financial smoke detector" to identify high-risk environments for corruption. The goal is to flag issues before catastrophic financial diversion occurs, safeguarding development funds. Our model's theoretical framework is based on insights from major scandals, including the 1MDB affair in Malaysia and the "Hidden Debts" crisis in Mozambique. These cases revealed common quantitative precursors, such as the degradation of governance indicators. Our objective is to use these recurring patterns to build a predictive model that detects these shifts and provides actionable risk assessments.</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and Methodological Framework</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construct a robust predictive model, comprehensive and reliable data are paramount. Our primary data source is the World Bank's Public API, providing a wealth of governance and economic indicators across numerous countries and years. Data spanning from 2010 to 2023 were meticulously collected for two categories of indicators: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World Governance Indicators (WGI) were selected as the core for our corruption risk labeling strategy, given their direct correlation with institutional strength and transparency – factors demonstrably compromised in our case studies. These include:</w:t>
      </w:r>
    </w:p>
    <w:p w:rsidR="00000000" w:rsidDel="00000000" w:rsidP="00000000" w:rsidRDefault="00000000" w:rsidRPr="00000000" w14:paraId="00000009">
      <w:pPr>
        <w:numPr>
          <w:ilvl w:val="0"/>
          <w:numId w:val="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and Accountability</w:t>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Stability and Absence of Violence/Terrorism</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Effectiveness</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Quality</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of Law</w:t>
      </w:r>
    </w:p>
    <w:p w:rsidR="00000000" w:rsidDel="00000000" w:rsidP="00000000" w:rsidRDefault="00000000" w:rsidRPr="00000000" w14:paraId="0000000E">
      <w:pPr>
        <w:numPr>
          <w:ilvl w:val="0"/>
          <w:numId w:val="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of Corruption</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additional economic indicators were collected to serve as potential predictive features in the subsequent model training phase. Crucially, these were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used in the initial labeling process to avoid circularity. These include metrics such as External Debt as a percentage of GNI and GDP Growth.</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Establishing the Baseline Model and Labeling Strategy</w:t>
      </w: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step involved loading a baseline dataset (corruption_data_baseline.csv) comprising our three foundational countries: Malaysia and Mozambique (representing high-risk scenarios), and Canada (serving as a stable, low-risk control). Data for the period 2010-2023 were cleaned, with particular attention to handling missing values for economic indicators using a forward-fill method, a reasonable approach given the annual nature of these metrics.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innovation of this project is the creation of a binary corruption_risk label (1 for high risk, 0 for low risk). Since "corruption" is not a directly measurable statistic, we devised a rules-based flagging system utilizing the WGI scores:</w:t>
      </w:r>
    </w:p>
    <w:p w:rsidR="00000000" w:rsidDel="00000000" w:rsidP="00000000" w:rsidRDefault="00000000" w:rsidRPr="00000000" w14:paraId="00000017">
      <w:pPr>
        <w:numPr>
          <w:ilvl w:val="0"/>
          <w:numId w:val="4"/>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country-year is flagged if its Political Stability score falls below 0.50, or if any of the other five WGI indicators drop below 1.15.</w:t>
      </w:r>
    </w:p>
    <w:p w:rsidR="00000000" w:rsidDel="00000000" w:rsidP="00000000" w:rsidRDefault="00000000" w:rsidRPr="00000000" w14:paraId="00000018">
      <w:pPr>
        <w:numPr>
          <w:ilvl w:val="0"/>
          <w:numId w:val="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corruption_risk label is assigned as High Risk (1) if a country-year triggers four or more of these six flags. Otherwise, it is designated Low Risk (0).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labeling strategy was rigorously validated against the qualitative insights from the case studies:</w:t>
      </w:r>
    </w:p>
    <w:p w:rsidR="00000000" w:rsidDel="00000000" w:rsidP="00000000" w:rsidRDefault="00000000" w:rsidRPr="00000000" w14:paraId="0000001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Canada</w:t>
      </w:r>
      <w:r w:rsidDel="00000000" w:rsidR="00000000" w:rsidRPr="00000000">
        <w:rPr>
          <w:rFonts w:ascii="Times New Roman" w:cs="Times New Roman" w:eastAsia="Times New Roman" w:hAnsi="Times New Roman"/>
          <w:sz w:val="24"/>
          <w:szCs w:val="24"/>
          <w:rtl w:val="0"/>
        </w:rPr>
        <w:t xml:space="preserve">: Consistently labeled as Low Risk (0) across all 14 years, reaffirming its status as a stable, low-corruption environment.</w:t>
      </w:r>
    </w:p>
    <w:p w:rsidR="00000000" w:rsidDel="00000000" w:rsidP="00000000" w:rsidRDefault="00000000" w:rsidRPr="00000000" w14:paraId="0000001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Malaysia</w:t>
      </w:r>
      <w:r w:rsidDel="00000000" w:rsidR="00000000" w:rsidRPr="00000000">
        <w:rPr>
          <w:rFonts w:ascii="Times New Roman" w:cs="Times New Roman" w:eastAsia="Times New Roman" w:hAnsi="Times New Roman"/>
          <w:sz w:val="24"/>
          <w:szCs w:val="24"/>
          <w:rtl w:val="0"/>
        </w:rPr>
        <w:t xml:space="preserve">: Accurately flagged as High Risk (1) during the peak of the 1MDB scandal (2013-2015).</w:t>
      </w:r>
    </w:p>
    <w:p w:rsidR="00000000" w:rsidDel="00000000" w:rsidP="00000000" w:rsidRDefault="00000000" w:rsidRPr="00000000" w14:paraId="0000001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Mozambique</w:t>
      </w:r>
      <w:r w:rsidDel="00000000" w:rsidR="00000000" w:rsidRPr="00000000">
        <w:rPr>
          <w:rFonts w:ascii="Times New Roman" w:cs="Times New Roman" w:eastAsia="Times New Roman" w:hAnsi="Times New Roman"/>
          <w:sz w:val="24"/>
          <w:szCs w:val="24"/>
          <w:rtl w:val="0"/>
        </w:rPr>
        <w:t xml:space="preserve">: Similarly, correctly identified as High Risk (1) during the "Hidden Debts" crisis (2013-2016).</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validation confirmed that our quantitative rule could effectively capture the periods of heightened corruption risk identified through qualitative historical analysis, thereby establishing a robust foundation for the model.</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1</w:t>
      </w:r>
      <w:r w:rsidDel="00000000" w:rsidR="00000000" w:rsidRPr="00000000">
        <w:rPr>
          <w:rFonts w:ascii="Times New Roman" w:cs="Times New Roman" w:eastAsia="Times New Roman" w:hAnsi="Times New Roman"/>
          <w:sz w:val="18"/>
          <w:szCs w:val="18"/>
          <w:rtl w:val="0"/>
        </w:rPr>
        <w:t xml:space="preserve">: Governance Indicators Over Time by Country. This six-panel chart tracks the governance indicators for our baseline countries. It visually validates our hypothesis by showing Canada's scores (blue) remaining stable, while Malaysia's (orange) and </w:t>
      </w:r>
      <w:r w:rsidDel="00000000" w:rsidR="00000000" w:rsidRPr="00000000">
        <w:rPr>
          <w:rFonts w:ascii="Times New Roman" w:cs="Times New Roman" w:eastAsia="Times New Roman" w:hAnsi="Times New Roman"/>
          <w:sz w:val="18"/>
          <w:szCs w:val="18"/>
        </w:rPr>
        <w:drawing>
          <wp:anchor allowOverlap="1" behindDoc="0" distB="0" distT="0" distL="114300" distR="114300" hidden="0" layoutInCell="1" locked="0" relativeHeight="0" simplePos="0">
            <wp:simplePos x="0" y="0"/>
            <wp:positionH relativeFrom="margin">
              <wp:posOffset>511810</wp:posOffset>
            </wp:positionH>
            <wp:positionV relativeFrom="margin">
              <wp:posOffset>-553537</wp:posOffset>
            </wp:positionV>
            <wp:extent cx="4716145" cy="3246755"/>
            <wp:effectExtent b="0" l="0" r="0" t="0"/>
            <wp:wrapSquare wrapText="bothSides" distB="0" distT="0" distL="114300" distR="114300"/>
            <wp:docPr descr="A graph of different colored lines&#10;&#10;AI-generated content may be incorrect." id="2" name="image7.png"/>
            <a:graphic>
              <a:graphicData uri="http://schemas.openxmlformats.org/drawingml/2006/picture">
                <pic:pic>
                  <pic:nvPicPr>
                    <pic:cNvPr descr="A graph of different colored lines&#10;&#10;AI-generated content may be incorrect." id="0" name="image7.png"/>
                    <pic:cNvPicPr preferRelativeResize="0"/>
                  </pic:nvPicPr>
                  <pic:blipFill>
                    <a:blip r:embed="rId6"/>
                    <a:srcRect b="0" l="0" r="0" t="0"/>
                    <a:stretch>
                      <a:fillRect/>
                    </a:stretch>
                  </pic:blipFill>
                  <pic:spPr>
                    <a:xfrm>
                      <a:off x="0" y="0"/>
                      <a:ext cx="4716145" cy="3246755"/>
                    </a:xfrm>
                    <a:prstGeom prst="rect"/>
                    <a:ln/>
                  </pic:spPr>
                </pic:pic>
              </a:graphicData>
            </a:graphic>
          </wp:anchor>
        </w:drawing>
      </w:r>
      <w:r w:rsidDel="00000000" w:rsidR="00000000" w:rsidRPr="00000000">
        <w:rPr>
          <w:rFonts w:ascii="Times New Roman" w:cs="Times New Roman" w:eastAsia="Times New Roman" w:hAnsi="Times New Roman"/>
          <w:sz w:val="18"/>
          <w:szCs w:val="18"/>
          <w:rtl w:val="0"/>
        </w:rPr>
        <w:t xml:space="preserve">Mozambique's (green) scores clearly deteriorate during the documented scandal periods (shaded areas), often crossing the risk </w:t>
      </w:r>
      <w:r w:rsidDel="00000000" w:rsidR="00000000" w:rsidRPr="00000000">
        <w:rPr>
          <w:rFonts w:ascii="Times New Roman" w:cs="Times New Roman" w:eastAsia="Times New Roman" w:hAnsi="Times New Roman"/>
          <w:sz w:val="18"/>
          <w:szCs w:val="18"/>
        </w:rPr>
        <w:drawing>
          <wp:anchor allowOverlap="1" behindDoc="0" distB="0" distT="0" distL="114300" distR="114300" hidden="0" layoutInCell="1" locked="0" relativeHeight="0" simplePos="0">
            <wp:simplePos x="0" y="0"/>
            <wp:positionH relativeFrom="margin">
              <wp:posOffset>792480</wp:posOffset>
            </wp:positionH>
            <wp:positionV relativeFrom="margin">
              <wp:posOffset>3792039</wp:posOffset>
            </wp:positionV>
            <wp:extent cx="4192905" cy="3587115"/>
            <wp:effectExtent b="0" l="0" r="0" t="0"/>
            <wp:wrapSquare wrapText="bothSides" distB="0" distT="0" distL="114300" distR="114300"/>
            <wp:docPr descr="A screenshot of a graph&#10;&#10;AI-generated content may be incorrect." id="7" name="image5.png"/>
            <a:graphic>
              <a:graphicData uri="http://schemas.openxmlformats.org/drawingml/2006/picture">
                <pic:pic>
                  <pic:nvPicPr>
                    <pic:cNvPr descr="A screenshot of a graph&#10;&#10;AI-generated content may be incorrect." id="0" name="image5.png"/>
                    <pic:cNvPicPr preferRelativeResize="0"/>
                  </pic:nvPicPr>
                  <pic:blipFill>
                    <a:blip r:embed="rId7"/>
                    <a:srcRect b="0" l="0" r="0" t="0"/>
                    <a:stretch>
                      <a:fillRect/>
                    </a:stretch>
                  </pic:blipFill>
                  <pic:spPr>
                    <a:xfrm>
                      <a:off x="0" y="0"/>
                      <a:ext cx="4192905" cy="3587115"/>
                    </a:xfrm>
                    <a:prstGeom prst="rect"/>
                    <a:ln/>
                  </pic:spPr>
                </pic:pic>
              </a:graphicData>
            </a:graphic>
          </wp:anchor>
        </w:drawing>
      </w:r>
      <w:r w:rsidDel="00000000" w:rsidR="00000000" w:rsidRPr="00000000">
        <w:rPr>
          <w:rFonts w:ascii="Times New Roman" w:cs="Times New Roman" w:eastAsia="Times New Roman" w:hAnsi="Times New Roman"/>
          <w:sz w:val="18"/>
          <w:szCs w:val="18"/>
          <w:rtl w:val="0"/>
        </w:rPr>
        <w:t xml:space="preserve">thresholds (red lines).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2: Total Governance Flags by Country and Year.</w:t>
      </w:r>
      <w:r w:rsidDel="00000000" w:rsidR="00000000" w:rsidRPr="00000000">
        <w:rPr>
          <w:rFonts w:ascii="Times New Roman" w:cs="Times New Roman" w:eastAsia="Times New Roman" w:hAnsi="Times New Roman"/>
          <w:sz w:val="18"/>
          <w:szCs w:val="18"/>
          <w:rtl w:val="0"/>
        </w:rPr>
        <w:t xml:space="preserve"> This heatmap shows the annual count of governance threshold violations (0-6). It validates our case studies by showing Canada consistently at 0 flags, while Malaysia and Mozambique consistently trigger 6, indicating systemic governance failures.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0" distT="0" distL="114300" distR="114300" hidden="0" layoutInCell="1" locked="0" relativeHeight="0" simplePos="0">
            <wp:simplePos x="0" y="0"/>
            <wp:positionH relativeFrom="margin">
              <wp:posOffset>878840</wp:posOffset>
            </wp:positionH>
            <wp:positionV relativeFrom="margin">
              <wp:posOffset>-269239</wp:posOffset>
            </wp:positionV>
            <wp:extent cx="4204335" cy="3543300"/>
            <wp:effectExtent b="0" l="0" r="0" t="0"/>
            <wp:wrapSquare wrapText="bothSides" distB="0" distT="0" distL="114300" distR="114300"/>
            <wp:docPr descr="A table with red and green squares&#10;&#10;AI-generated content may be incorrect." id="6" name="image1.png"/>
            <a:graphic>
              <a:graphicData uri="http://schemas.openxmlformats.org/drawingml/2006/picture">
                <pic:pic>
                  <pic:nvPicPr>
                    <pic:cNvPr descr="A table with red and green squares&#10;&#10;AI-generated content may be incorrect." id="0" name="image1.png"/>
                    <pic:cNvPicPr preferRelativeResize="0"/>
                  </pic:nvPicPr>
                  <pic:blipFill>
                    <a:blip r:embed="rId8"/>
                    <a:srcRect b="0" l="0" r="0" t="0"/>
                    <a:stretch>
                      <a:fillRect/>
                    </a:stretch>
                  </pic:blipFill>
                  <pic:spPr>
                    <a:xfrm>
                      <a:off x="0" y="0"/>
                      <a:ext cx="4204335" cy="3543300"/>
                    </a:xfrm>
                    <a:prstGeom prst="rect"/>
                    <a:ln/>
                  </pic:spPr>
                </pic:pic>
              </a:graphicData>
            </a:graphic>
          </wp:anchor>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3: Corruption Risk Labels by Country and Year.</w:t>
      </w:r>
      <w:r w:rsidDel="00000000" w:rsidR="00000000" w:rsidRPr="00000000">
        <w:rPr>
          <w:rFonts w:ascii="Times New Roman" w:cs="Times New Roman" w:eastAsia="Times New Roman" w:hAnsi="Times New Roman"/>
          <w:sz w:val="18"/>
          <w:szCs w:val="18"/>
          <w:rtl w:val="0"/>
        </w:rPr>
        <w:t xml:space="preserve"> This heatmap applies our '4 of 6' flagging rule to generate the final binary corruption_risk label. It confirms Canada as Low Risk (0) and Malaysia/Mozambique as High Risk (1), creating the target variable (y) for our model.</w:t>
      </w: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943600" cy="2080260"/>
            <wp:effectExtent b="0" l="0" r="0" t="0"/>
            <wp:docPr descr="A green and red graph&#10;&#10;AI-generated content may be incorrect." id="8" name="image3.png"/>
            <a:graphic>
              <a:graphicData uri="http://schemas.openxmlformats.org/drawingml/2006/picture">
                <pic:pic>
                  <pic:nvPicPr>
                    <pic:cNvPr descr="A green and red graph&#10;&#10;AI-generated content may be incorrect." id="0" name="image3.png"/>
                    <pic:cNvPicPr preferRelativeResize="0"/>
                  </pic:nvPicPr>
                  <pic:blipFill>
                    <a:blip r:embed="rId9"/>
                    <a:srcRect b="0" l="0" r="0" t="0"/>
                    <a:stretch>
                      <a:fillRect/>
                    </a:stretch>
                  </pic:blipFill>
                  <pic:spPr>
                    <a:xfrm>
                      <a:off x="0" y="0"/>
                      <a:ext cx="5943600" cy="20802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4: Distribution of Governance Flags and Risk Labels</w:t>
      </w:r>
      <w:r w:rsidDel="00000000" w:rsidR="00000000" w:rsidRPr="00000000">
        <w:rPr>
          <w:rFonts w:ascii="Times New Roman" w:cs="Times New Roman" w:eastAsia="Times New Roman" w:hAnsi="Times New Roman"/>
          <w:sz w:val="18"/>
          <w:szCs w:val="18"/>
          <w:rtl w:val="0"/>
        </w:rPr>
        <w:t xml:space="preserve"> The left panel's histogram validates our threshold (red line), showing a clear bimodal split: Canada's 14 observations cluster at 0 flags, while Malaysia's and Mozambique's cluster at 6. The right panel confirms this, showing the final label distribution by country.</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Dataset Expansion and Final Labeling</w:t>
      </w:r>
      <w:r w:rsidDel="00000000" w:rsidR="00000000" w:rsidRPr="00000000">
        <w:rPr>
          <w:rtl w:val="0"/>
        </w:rPr>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labeling strategy validated, Phase 2 focused on scaling the dataset to provide sufficient data for robust machine learning model training. Building upon the baseline, data for an additional 16 countries were collected from the World Bank API, ensuring a diverse representation of global risk profiles. These countries were initially categorized to ensure a balanced dataset:</w:t>
      </w:r>
    </w:p>
    <w:p w:rsidR="00000000" w:rsidDel="00000000" w:rsidP="00000000" w:rsidRDefault="00000000" w:rsidRPr="00000000" w14:paraId="0000004F">
      <w:pPr>
        <w:numPr>
          <w:ilvl w:val="0"/>
          <w:numId w:val="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High-Risk (5 countries):</w:t>
      </w:r>
      <w:r w:rsidDel="00000000" w:rsidR="00000000" w:rsidRPr="00000000">
        <w:rPr>
          <w:rFonts w:ascii="Times New Roman" w:cs="Times New Roman" w:eastAsia="Times New Roman" w:hAnsi="Times New Roman"/>
          <w:sz w:val="24"/>
          <w:szCs w:val="24"/>
          <w:rtl w:val="0"/>
        </w:rPr>
        <w:t xml:space="preserve"> e.g., Angola, Venezuela, Zimbabwe.</w:t>
      </w:r>
    </w:p>
    <w:p w:rsidR="00000000" w:rsidDel="00000000" w:rsidP="00000000" w:rsidRDefault="00000000" w:rsidRPr="00000000" w14:paraId="0000005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Medium-Risk (4 countries):</w:t>
      </w:r>
      <w:r w:rsidDel="00000000" w:rsidR="00000000" w:rsidRPr="00000000">
        <w:rPr>
          <w:rFonts w:ascii="Times New Roman" w:cs="Times New Roman" w:eastAsia="Times New Roman" w:hAnsi="Times New Roman"/>
          <w:sz w:val="24"/>
          <w:szCs w:val="24"/>
          <w:rtl w:val="0"/>
        </w:rPr>
        <w:t xml:space="preserve"> e.g., Brazil, India, South Africa.</w:t>
      </w:r>
    </w:p>
    <w:p w:rsidR="00000000" w:rsidDel="00000000" w:rsidP="00000000" w:rsidRDefault="00000000" w:rsidRPr="00000000" w14:paraId="00000051">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Low-Risk (7 countries):</w:t>
      </w:r>
      <w:r w:rsidDel="00000000" w:rsidR="00000000" w:rsidRPr="00000000">
        <w:rPr>
          <w:rFonts w:ascii="Times New Roman" w:cs="Times New Roman" w:eastAsia="Times New Roman" w:hAnsi="Times New Roman"/>
          <w:sz w:val="24"/>
          <w:szCs w:val="24"/>
          <w:rtl w:val="0"/>
        </w:rPr>
        <w:t xml:space="preserve"> e.g., Norway, Denmark, Switzerland. </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expansion resulted in a comprehensive, unlabeled dataset of 266 country-years (19 countries × 14 years). The identical 4-of-6 WGI flag strategy was then applied to this expanded 19-country dataset. This process generated the final corruption_risk labels for all 266 observations, resulting in a dataset with 112 Low-Risk (0) instances (42.1%) and 154 High-Risk (1) instances (57.9%).</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countries initially classified as "Medium-Risk" by our descriptive categorization often received a "High Risk (1)" label from our rules-based system. This outcome is not contradictory but rather an affirmation of the model's sensitivity: even "medium" risk environments, when assessed against our strict governance thresholds, may exhibit sufficient indicators to trigger an early warning. The binary label reflects the system's operational output rather than a broader geopolitical categorization.</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culmination of this phase is the corruption_data_expanded_labeled.csv dataset. This comprehensive file, containing all governance and economic indicators along with the definitive corruption_risk label, is now fully prepared for the subsequent machine learning training phase.</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5: Average Governance Indicators by Risk Category (2010-2023).</w:t>
      </w:r>
      <w:r w:rsidDel="00000000" w:rsidR="00000000" w:rsidRPr="00000000">
        <w:rPr>
          <w:rFonts w:ascii="Times New Roman" w:cs="Times New Roman" w:eastAsia="Times New Roman" w:hAnsi="Times New Roman"/>
          <w:sz w:val="18"/>
          <w:szCs w:val="18"/>
          <w:rtl w:val="0"/>
        </w:rPr>
        <w:t xml:space="preserve"> This multi-panel bar chart shows the distribution of governance scores across the six WGI for Low, Medium, and High-Risk countries. It illustrates a clear separation, with Low-Risk countries scoring consistently above the thresholds (dashed lines) and High/Medium-Risk countries falling below, validating our categorization approach.</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497205</wp:posOffset>
            </wp:positionH>
            <wp:positionV relativeFrom="margin">
              <wp:posOffset>3980815</wp:posOffset>
            </wp:positionV>
            <wp:extent cx="4548505" cy="3507740"/>
            <wp:effectExtent b="0" l="0" r="0" t="0"/>
            <wp:wrapSquare wrapText="bothSides" distB="0" distT="0" distL="114300" distR="114300"/>
            <wp:docPr descr="A chart of a number of people&#10;&#10;AI-generated content may be incorrect." id="3" name="image6.png"/>
            <a:graphic>
              <a:graphicData uri="http://schemas.openxmlformats.org/drawingml/2006/picture">
                <pic:pic>
                  <pic:nvPicPr>
                    <pic:cNvPr descr="A chart of a number of people&#10;&#10;AI-generated content may be incorrect." id="0" name="image6.png"/>
                    <pic:cNvPicPr preferRelativeResize="0"/>
                  </pic:nvPicPr>
                  <pic:blipFill>
                    <a:blip r:embed="rId10"/>
                    <a:srcRect b="0" l="0" r="0" t="0"/>
                    <a:stretch>
                      <a:fillRect/>
                    </a:stretch>
                  </pic:blipFill>
                  <pic:spPr>
                    <a:xfrm>
                      <a:off x="0" y="0"/>
                      <a:ext cx="4548505" cy="3507740"/>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418010</wp:posOffset>
            </wp:positionH>
            <wp:positionV relativeFrom="margin">
              <wp:posOffset>-274319</wp:posOffset>
            </wp:positionV>
            <wp:extent cx="4728210" cy="3244215"/>
            <wp:effectExtent b="0" l="0" r="0" t="0"/>
            <wp:wrapSquare wrapText="bothSides" distB="0" distT="0" distL="114300" distR="114300"/>
            <wp:docPr descr="A graph of different colored squares&#10;&#10;AI-generated content may be incorrect." id="5" name="image8.png"/>
            <a:graphic>
              <a:graphicData uri="http://schemas.openxmlformats.org/drawingml/2006/picture">
                <pic:pic>
                  <pic:nvPicPr>
                    <pic:cNvPr descr="A graph of different colored squares&#10;&#10;AI-generated content may be incorrect." id="0" name="image8.png"/>
                    <pic:cNvPicPr preferRelativeResize="0"/>
                  </pic:nvPicPr>
                  <pic:blipFill>
                    <a:blip r:embed="rId11"/>
                    <a:srcRect b="0" l="0" r="0" t="0"/>
                    <a:stretch>
                      <a:fillRect/>
                    </a:stretch>
                  </pic:blipFill>
                  <pic:spPr>
                    <a:xfrm>
                      <a:off x="0" y="0"/>
                      <a:ext cx="4728210" cy="3244215"/>
                    </a:xfrm>
                    <a:prstGeom prst="rect"/>
                    <a:ln/>
                  </pic:spPr>
                </pic:pic>
              </a:graphicData>
            </a:graphic>
          </wp:anchor>
        </w:drawing>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6: Average Governance Indicators by Country (2010-2023).</w:t>
      </w:r>
      <w:r w:rsidDel="00000000" w:rsidR="00000000" w:rsidRPr="00000000">
        <w:rPr>
          <w:rFonts w:ascii="Times New Roman" w:cs="Times New Roman" w:eastAsia="Times New Roman" w:hAnsi="Times New Roman"/>
          <w:sz w:val="18"/>
          <w:szCs w:val="18"/>
          <w:rtl w:val="0"/>
        </w:rPr>
        <w:t xml:space="preserve"> This heatmap displays the 14-year average governance scores for all 19 countries, sorted by 'Control of Corruption'. It reveals a clear gradient from high-governance (green) to low-governance (red) environments, illustrating the wide variation in institutional quality across our dataset.</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1477107</wp:posOffset>
            </wp:positionH>
            <wp:positionV relativeFrom="margin">
              <wp:posOffset>-126607</wp:posOffset>
            </wp:positionV>
            <wp:extent cx="2600325" cy="2714625"/>
            <wp:effectExtent b="0" l="0" r="0" t="0"/>
            <wp:wrapSquare wrapText="bothSides" distB="0" distT="0" distL="114300" distR="114300"/>
            <wp:docPr descr="A pie chart with numbers and a red green and orange circle&#10;&#10;AI-generated content may be incorrect." id="1" name="image4.png"/>
            <a:graphic>
              <a:graphicData uri="http://schemas.openxmlformats.org/drawingml/2006/picture">
                <pic:pic>
                  <pic:nvPicPr>
                    <pic:cNvPr descr="A pie chart with numbers and a red green and orange circle&#10;&#10;AI-generated content may be incorrect." id="0" name="image4.png"/>
                    <pic:cNvPicPr preferRelativeResize="0"/>
                  </pic:nvPicPr>
                  <pic:blipFill>
                    <a:blip r:embed="rId12"/>
                    <a:srcRect b="0" l="0" r="0" t="0"/>
                    <a:stretch>
                      <a:fillRect/>
                    </a:stretch>
                  </pic:blipFill>
                  <pic:spPr>
                    <a:xfrm>
                      <a:off x="0" y="0"/>
                      <a:ext cx="2600325" cy="2714625"/>
                    </a:xfrm>
                    <a:prstGeom prst="rect"/>
                    <a:ln/>
                  </pic:spPr>
                </pic:pic>
              </a:graphicData>
            </a:graphic>
          </wp:anchor>
        </w:drawing>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Figure 7: Distribution of Countries by Risk Category</w:t>
      </w:r>
      <w:r w:rsidDel="00000000" w:rsidR="00000000" w:rsidRPr="00000000">
        <w:rPr>
          <w:rFonts w:ascii="Times New Roman" w:cs="Times New Roman" w:eastAsia="Times New Roman" w:hAnsi="Times New Roman"/>
          <w:sz w:val="18"/>
          <w:szCs w:val="18"/>
          <w:rtl w:val="0"/>
        </w:rPr>
        <w:t xml:space="preserve">. This pie chart shows the composition of our 19-country dataset by descriptive risk category: 42.1% Low-Risk (8 countries), 36.8% High-Risk (7 countries), and 21.1% Medium-Risk (4 countries). This balanced distribution provides adequate representation for model training.</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304800</wp:posOffset>
            </wp:positionH>
            <wp:positionV relativeFrom="margin">
              <wp:posOffset>3675379</wp:posOffset>
            </wp:positionV>
            <wp:extent cx="5165090" cy="3495675"/>
            <wp:effectExtent b="0" l="0" r="0" t="0"/>
            <wp:wrapSquare wrapText="bothSides" distB="0" distT="0" distL="114300" distR="114300"/>
            <wp:docPr descr="A graph with red and green squares&#10;&#10;AI-generated content may be incorrect." id="4" name="image2.png"/>
            <a:graphic>
              <a:graphicData uri="http://schemas.openxmlformats.org/drawingml/2006/picture">
                <pic:pic>
                  <pic:nvPicPr>
                    <pic:cNvPr descr="A graph with red and green squares&#10;&#10;AI-generated content may be incorrect." id="0" name="image2.png"/>
                    <pic:cNvPicPr preferRelativeResize="0"/>
                  </pic:nvPicPr>
                  <pic:blipFill>
                    <a:blip r:embed="rId13"/>
                    <a:srcRect b="0" l="0" r="0" t="0"/>
                    <a:stretch>
                      <a:fillRect/>
                    </a:stretch>
                  </pic:blipFill>
                  <pic:spPr>
                    <a:xfrm>
                      <a:off x="0" y="0"/>
                      <a:ext cx="5165090" cy="3495675"/>
                    </a:xfrm>
                    <a:prstGeom prst="rect"/>
                    <a:ln/>
                  </pic:spPr>
                </pic:pic>
              </a:graphicData>
            </a:graphic>
          </wp:anchor>
        </w:drawing>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Figure 8: Corruption Risk Labels by Country and Year (All 19 Countries). </w:t>
      </w:r>
      <w:r w:rsidDel="00000000" w:rsidR="00000000" w:rsidRPr="00000000">
        <w:rPr>
          <w:rFonts w:ascii="Times New Roman" w:cs="Times New Roman" w:eastAsia="Times New Roman" w:hAnsi="Times New Roman"/>
          <w:sz w:val="18"/>
          <w:szCs w:val="18"/>
          <w:rtl w:val="0"/>
        </w:rPr>
        <w:t xml:space="preserve">This heatmap is the primary result, showing the binary corruption_risk labels for all 266 country-year observations. Red cells (1) indicate High Risk (4+ flags), while green cells (0) indicate Low Risk (&lt;4 flags). Countries are sorted by risk, showing 11 nations with consistent high-risk patterns (red) and 8 with low-risk status (green). These labels serve as the final training data for our model.</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 Model Training and Deployment</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crucial next step involves incorporating qualitative data to enrich the model's predictive power. As outlined in the proposal, we will perform sentiment analysis on corruption-related news headlines for the countries in our dataset. Utilizing Natural Language Processing (NLP) tools such as TextBlob or VADER, sentiment scores will be extracted and integrated as an additional predictive feature. This will test the hypothesis that shifts in public sentiment, as reflected in media coverage, can serve as an early qualitative warning sign alongside quantitative governance indicators.</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expanded and labeled corruption_data_expanded_labeled.csv dataset will be systematically divided into training and testing sets. A Decision Tree Classifier, chosen for its interpretability and robust performance on structured data, will be trained on the combined set of governance and economic indicators (and subsequently, sentiment scores). The model's performance will then be rigorously evaluated using key metrics such as accuracy, precision, and recall to ensure its reliability in identifying high-risk environments.</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deliverable for this phase will be the visualization of the trained Decision Tree. This graphical representation will provide a clear, intuitive flowchart of the model's decision-making process, illustrating precisely how different indicator thresholds lead to a "corruption risk" classification. Such transparency is vital for stakeholder understanding and trust in an early warning system designed for development integrity.</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completion of these remaining steps will bring the Global Trust Engine to fruition, providing a powerful, data-driven tool to proactively combat corruption and safeguard international development efforts.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