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 Stronger than Females 52%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http://link.springer.com/article/10.1007/BF00235103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Generated Value - 49.6%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Silventoinen, Karri, et al. "Association of body size and muscle strength with incidence of coronary heart disease and cerebrovascular diseases: a population-based cohort study of one million Swedish men."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International journal of epidemiology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38.1 (2009): 110-118.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30"/>
          <w:sz w:val="20"/>
          <w:szCs w:val="20"/>
          <w:highlight w:val="white"/>
          <w:rtl w:val="0"/>
        </w:rPr>
        <w:t xml:space="preserve">Kruczyński, Jacek et al. “Radiological and Biomechanical Analysis of Humeral Fractures Occurring during Arm Wrestling.” </w:t>
      </w:r>
      <w:r w:rsidDel="00000000" w:rsidR="00000000" w:rsidRPr="00000000">
        <w:rPr>
          <w:i w:val="1"/>
          <w:color w:val="303030"/>
          <w:sz w:val="20"/>
          <w:szCs w:val="20"/>
          <w:highlight w:val="white"/>
          <w:rtl w:val="0"/>
        </w:rPr>
        <w:t xml:space="preserve">Medical Science Monitor : International Medical Journal of Experimental and Clinical Research</w:t>
      </w:r>
      <w:r w:rsidDel="00000000" w:rsidR="00000000" w:rsidRPr="00000000">
        <w:rPr>
          <w:color w:val="303030"/>
          <w:sz w:val="20"/>
          <w:szCs w:val="20"/>
          <w:highlight w:val="white"/>
          <w:rtl w:val="0"/>
        </w:rPr>
        <w:t xml:space="preserve"> 18.5 (2012): CR303–CR307. </w:t>
      </w:r>
      <w:r w:rsidDel="00000000" w:rsidR="00000000" w:rsidRPr="00000000">
        <w:rPr>
          <w:i w:val="1"/>
          <w:color w:val="303030"/>
          <w:sz w:val="20"/>
          <w:szCs w:val="20"/>
          <w:highlight w:val="white"/>
          <w:rtl w:val="0"/>
        </w:rPr>
        <w:t xml:space="preserve">PMC</w:t>
      </w:r>
      <w:r w:rsidDel="00000000" w:rsidR="00000000" w:rsidRPr="00000000">
        <w:rPr>
          <w:color w:val="303030"/>
          <w:sz w:val="20"/>
          <w:szCs w:val="20"/>
          <w:highlight w:val="white"/>
          <w:rtl w:val="0"/>
        </w:rPr>
        <w:t xml:space="preserve">. Web. 9 Dec.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.springer.com/article/10.1007/BF00235103" TargetMode="External"/></Relationships>
</file>