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consumo irregular por relleno de piscina</w:t>
      </w:r>
    </w:p>
    <w:p>
      <w:pPr>
        <w:pStyle w:val="Heading1"/>
      </w:pPr>
      <w:r>
        <w:t>1. Time Series Characterization</w:t>
      </w:r>
    </w:p>
    <w:p>
      <w:r>
        <w:t>Mean consumption: 144.94430379746836</w:t>
      </w:r>
    </w:p>
    <w:p>
      <w:r>
        <w:t>Median consumption: 39.0</w:t>
      </w:r>
    </w:p>
    <w:p>
      <w:r>
        <w:t>Std deviation: 496.6938888541766</w:t>
      </w:r>
    </w:p>
    <w:p>
      <w:r>
        <w:t>Minimum consumption: 0</w:t>
      </w:r>
    </w:p>
    <w:p>
      <w:r>
        <w:t>Maximum consumption: 9014</w:t>
      </w:r>
    </w:p>
    <w:p>
      <w:r>
        <w:t>95th percentile: 461.0</w:t>
      </w:r>
    </w:p>
    <w:p>
      <w:r>
        <w:t>Total records: 395</w:t>
      </w:r>
    </w:p>
    <w:p>
      <w:r>
        <w:t>Above Normal deviations: 23</w:t>
      </w:r>
    </w:p>
    <w:p>
      <w:r>
        <w:t>Below Normal deviations: 0</w:t>
      </w:r>
    </w:p>
    <w:p>
      <w:pPr>
        <w:pStyle w:val="Heading1"/>
      </w:pPr>
      <w:r>
        <w:t>2. Consumption Line Plot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irregular por relleno de piscina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Deviation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irregular por relleno de piscina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