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888888"/>
          <w:sz w:val="17"/>
        </w:rPr>
        <w:t>SGIR - Sistema de Gestión de Infraestructura y Respaldos</w:t>
      </w:r>
    </w:p>
    <w:p>
      <w:pPr>
        <w:spacing w:before="400" w:after="80"/>
      </w:pPr>
      <w:r>
        <w:rPr>
          <w:rFonts w:ascii="Arial" w:hAnsi="Arial"/>
          <w:b/>
          <w:color w:val="005F36"/>
          <w:sz w:val="48"/>
        </w:rPr>
        <w:t>SGIR API - MÓDULO 1</w:t>
      </w:r>
    </w:p>
    <w:p>
      <w:pPr>
        <w:spacing w:after="600"/>
      </w:pPr>
      <w:r>
        <w:rPr>
          <w:rFonts w:ascii="Arial" w:hAnsi="Arial"/>
          <w:i/>
          <w:color w:val="D2A100"/>
          <w:sz w:val="26"/>
        </w:rPr>
        <w:t>Documentación Técnica de la API: Observabilidad y Monitoreo Operativo (/sgir/v1/m1)</w:t>
      </w:r>
    </w:p>
    <w:p>
      <w:pPr>
        <w:spacing w:after="400"/>
      </w:pPr>
      <w:r>
        <w:rPr>
          <w:rFonts w:ascii="Arial" w:hAnsi="Arial"/>
          <w:color w:val="333333"/>
          <w:sz w:val="22"/>
        </w:rPr>
        <w:t>Este módulo agrupa los endpoints destinados a los chequeos de salud (health checks), estadísticas en tiempo real y el monitoreo asíncrono tanto de hardware como de bases de datos. A continuación se detallan y documentan técnicamente los primeros dos endpoints de este módulo:</w:t>
      </w:r>
    </w:p>
    <w:p/>
    <w:p>
      <w:pPr>
        <w:spacing w:before="240" w:after="120"/>
      </w:pPr>
      <w:r>
        <w:rPr>
          <w:rFonts w:ascii="Arial" w:hAnsi="Arial"/>
          <w:b/>
          <w:color w:val="005F36"/>
          <w:sz w:val="32"/>
        </w:rPr>
        <w:t>1. Chequeo de Salud de PostgreSQL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Método HTTP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66CC"/>
                <w:sz w:val="20"/>
              </w:rPr>
              <w:t>GET</w:t>
            </w:r>
          </w:p>
        </w:tc>
      </w:tr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Ruta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222222"/>
                <w:sz w:val="20"/>
              </w:rPr>
              <w:t>/sgir/v1/m1/health/postgres</w:t>
            </w:r>
          </w:p>
        </w:tc>
      </w:tr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Descripción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Verifica la conectividad y el correcto funcionamiento en caliente de la base de datos PostgreSQL ejecutando una consulta SQL básica ("SELECT 1 + 1 AS sum").</w:t>
            </w:r>
          </w:p>
        </w:tc>
      </w:tr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Servicio Ejecutor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Archivo: app/routes/healths/health_routes.py</w:t>
              <w:br/>
              <w:t>Función: health_postgres</w:t>
            </w:r>
          </w:p>
        </w:tc>
      </w:tr>
    </w:tbl>
    <w:p>
      <w:pPr>
        <w:spacing w:before="200"/>
      </w:pPr>
    </w:p>
    <w:p>
      <w:r>
        <w:rPr>
          <w:rFonts w:ascii="Arial" w:hAnsi="Arial"/>
          <w:b/>
          <w:sz w:val="22"/>
        </w:rPr>
        <w:t>Cuerpo de la Petición (Request Body):</w:t>
      </w:r>
    </w:p>
    <w:p>
      <w:r>
        <w:rPr>
          <w:rFonts w:ascii="Arial" w:hAnsi="Arial"/>
          <w:i/>
          <w:sz w:val="20"/>
        </w:rPr>
        <w:t>No requiere cuerpo de petición.</w:t>
      </w:r>
    </w:p>
    <w:p>
      <w:r>
        <w:rPr>
          <w:rFonts w:ascii="Arial" w:hAnsi="Arial"/>
          <w:b/>
          <w:sz w:val="22"/>
        </w:rPr>
        <w:t>Respuesta Exitosa (Status 200 OK):</w:t>
      </w:r>
    </w:p>
    <w:p>
      <w:pPr>
        <w:spacing w:before="120" w:after="120"/>
        <w:ind w:left="432" w:right="432"/>
        <w:pBdr>
          <w:left w:val="single" w:sz="12" w:space="8" w:color="D3D3D3"/>
        </w:pBdr>
        <w:shd w:fill="F8F9FA"/>
      </w:pPr>
      <w:r>
        <w:rPr>
          <w:rFonts w:ascii="Consolas" w:hAnsi="Consolas"/>
          <w:color w:val="4F5D73"/>
          <w:sz w:val="19"/>
        </w:rPr>
        <w:t>{</w:t>
        <w:br/>
        <w:t xml:space="preserve">  "status": "ok",</w:t>
        <w:br/>
        <w:t xml:space="preserve">  "db": "PostgreSQL",</w:t>
        <w:br/>
        <w:t xml:space="preserve">  "result": 2</w:t>
        <w:br/>
        <w:t>}</w:t>
      </w:r>
    </w:p>
    <w:p>
      <w:r>
        <w:rPr>
          <w:rFonts w:ascii="Arial" w:hAnsi="Arial"/>
          <w:b/>
          <w:sz w:val="22"/>
        </w:rPr>
        <w:t>Respuesta de Error (Status 500 Internal Server Error):</w:t>
      </w:r>
    </w:p>
    <w:p>
      <w:pPr>
        <w:spacing w:before="120" w:after="120"/>
        <w:ind w:left="432" w:right="432"/>
        <w:pBdr>
          <w:left w:val="single" w:sz="12" w:space="8" w:color="D3D3D3"/>
        </w:pBdr>
        <w:shd w:fill="F8F9FA"/>
      </w:pPr>
      <w:r>
        <w:rPr>
          <w:rFonts w:ascii="Consolas" w:hAnsi="Consolas"/>
          <w:color w:val="4F5D73"/>
          <w:sz w:val="19"/>
        </w:rPr>
        <w:t>{</w:t>
        <w:br/>
        <w:t xml:space="preserve">  "detail": "PostgreSQL failed: &lt;mensaje_del_error&gt;"</w:t>
        <w:br/>
        <w:t>}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5F36"/>
          <w:sz w:val="32"/>
        </w:rPr>
        <w:t>2. Ping a un Host/Servidor de Red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Método HTTP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C6600"/>
                <w:sz w:val="20"/>
              </w:rPr>
              <w:t>POST</w:t>
            </w:r>
          </w:p>
        </w:tc>
      </w:tr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Ruta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222222"/>
                <w:sz w:val="20"/>
              </w:rPr>
              <w:t>/sgir/v1/m1/health/ping</w:t>
            </w:r>
          </w:p>
        </w:tc>
      </w:tr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Descripción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Realiza una comprobación de conectividad ICMP (ping) rápida a un host específico utilizando sockets UDP no privilegiados de la librería 'icmplib'. Es útil para validar si una dirección IP de la red es alcanzable de manera básica.</w:t>
            </w:r>
          </w:p>
        </w:tc>
      </w:tr>
      <w:tr>
        <w:tc>
          <w:tcPr>
            <w:tcW w:type="dxa" w:w="4680"/>
            <w:shd w:fill="E6F0E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4020"/>
                <w:sz w:val="20"/>
              </w:rPr>
              <w:t>Servicio Ejecutor</w:t>
            </w:r>
          </w:p>
        </w:tc>
        <w:tc>
          <w:tcPr>
            <w:tcW w:type="dxa" w:w="4680"/>
            <w:shd w:fill="FAFAFA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Archivo: app/routes/healths/health_routes.py</w:t>
              <w:br/>
              <w:t>Función: ping_host</w:t>
            </w:r>
          </w:p>
        </w:tc>
      </w:tr>
    </w:tbl>
    <w:p>
      <w:pPr>
        <w:spacing w:before="200"/>
      </w:pPr>
    </w:p>
    <w:p>
      <w:r>
        <w:rPr>
          <w:rFonts w:ascii="Arial" w:hAnsi="Arial"/>
          <w:b/>
          <w:sz w:val="22"/>
        </w:rPr>
        <w:t>Cuerpo de la Petición (Request Body) - PingRequest:</w:t>
      </w:r>
    </w:p>
    <w:p>
      <w:pPr>
        <w:spacing w:before="120" w:after="120"/>
        <w:ind w:left="432" w:right="432"/>
        <w:pBdr>
          <w:left w:val="single" w:sz="12" w:space="8" w:color="D3D3D3"/>
        </w:pBdr>
        <w:shd w:fill="F8F9FA"/>
      </w:pPr>
      <w:r>
        <w:rPr>
          <w:rFonts w:ascii="Consolas" w:hAnsi="Consolas"/>
          <w:color w:val="4F5D73"/>
          <w:sz w:val="19"/>
        </w:rPr>
        <w:t>{</w:t>
        <w:br/>
        <w:t xml:space="preserve">  "ip": "192.168.1.1"</w:t>
        <w:br/>
        <w:t>}</w:t>
      </w:r>
    </w:p>
    <w:p>
      <w:r>
        <w:rPr>
          <w:rFonts w:ascii="Arial" w:hAnsi="Arial"/>
          <w:b/>
          <w:sz w:val="22"/>
        </w:rPr>
        <w:t>Respuesta Exitosa (Status 200 OK):</w:t>
      </w:r>
    </w:p>
    <w:p>
      <w:r>
        <w:rPr>
          <w:rFonts w:ascii="Arial" w:hAnsi="Arial"/>
          <w:sz w:val="20"/>
        </w:rPr>
        <w:t>Devuelve un valor JSON Booleano simple que indica el estado de conectividad.</w:t>
      </w:r>
    </w:p>
    <w:p>
      <w:pPr>
        <w:spacing w:before="120" w:after="120"/>
        <w:ind w:left="432" w:right="432"/>
        <w:pBdr>
          <w:left w:val="single" w:sz="12" w:space="8" w:color="D3D3D3"/>
        </w:pBdr>
        <w:shd w:fill="F8F9FA"/>
      </w:pPr>
      <w:r>
        <w:rPr>
          <w:rFonts w:ascii="Consolas" w:hAnsi="Consolas"/>
          <w:color w:val="4F5D73"/>
          <w:sz w:val="19"/>
        </w:rPr>
        <w:t>true</w:t>
      </w:r>
    </w:p>
    <w:p>
      <w:pPr>
        <w:spacing w:before="120" w:after="120"/>
        <w:ind w:left="720" w:right="720"/>
        <w:pBdr>
          <w:left w:val="single" w:sz="24" w:space="8" w:color="00A859"/>
        </w:pBdr>
        <w:shd w:fill="F4FAF6"/>
      </w:pPr>
      <w:r>
        <w:rPr>
          <w:rFonts w:ascii="Arial" w:hAnsi="Arial"/>
          <w:b/>
          <w:color w:val="00A859"/>
          <w:sz w:val="20"/>
        </w:rPr>
        <w:t xml:space="preserve">DETALLE TÉCNICO: </w:t>
      </w:r>
      <w:r>
        <w:rPr>
          <w:rFonts w:ascii="Arial" w:hAnsi="Arial"/>
          <w:color w:val="333333"/>
          <w:sz w:val="20"/>
        </w:rPr>
        <w:t>La ejecución del ping utiliza privilegios normales (privileged=False), lo que permite correr el backend dentro de contenedores Docker no privilegiados sobre sistemas Linux empleando sockets UDP.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