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PF Dashboard — Executive Summary</w:t>
      </w:r>
    </w:p>
    <w:p>
      <w:r>
        <w:rPr>
          <w:b/>
        </w:rPr>
        <w:t>A client-side personal finance dashboard</w:t>
      </w:r>
      <w:r>
        <w:t xml:space="preserve"> (vanilla JS on GitHub Pages) that unifies investments and expenses into one INR-normalised view. Investment data is read from per-user </w:t>
      </w:r>
      <w:r>
        <w:rPr>
          <w:b/>
        </w:rPr>
        <w:t>Google Sheets</w:t>
      </w:r>
      <w:r>
        <w:t xml:space="preserve">; authentication, the settings sync row, and the expense ledger live in </w:t>
      </w:r>
      <w:r>
        <w:rPr>
          <w:b/>
        </w:rPr>
        <w:t>Supabase</w:t>
      </w:r>
      <w:r>
        <w:t xml:space="preserve"> (Row-Level Security per user). All calculations run in the browser.</w:t>
      </w:r>
    </w:p>
    <w:p>
      <w:pPr>
        <w:pStyle w:val="Heading1"/>
      </w:pPr>
      <w:r>
        <w:rPr>
          <w:color w:val="0F172A"/>
        </w:rPr>
        <w:t>What it does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Email sign up / sign in, password reset, auto token refresh, route guards.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Investments — Overview</w:t>
            </w:r>
          </w:p>
        </w:tc>
        <w:tc>
          <w:tcPr>
            <w:tcW w:type="dxa" w:w="4320"/>
          </w:tcPr>
          <w:p>
            <w:r>
              <w:t>Net worth across four asset classes (Mutual Funds, Stocks/ETF, Fixed Income, Commodity): Invested, Current, Unrealized &amp; Realized return, Return %, day change, and portfolio XIRR.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Mutual Funds</w:t>
            </w:r>
          </w:p>
        </w:tc>
        <w:tc>
          <w:tcPr>
            <w:tcW w:type="dxa" w:w="4320"/>
          </w:tcPr>
          <w:p>
            <w:r>
              <w:t>Per-fund holdings (units, NAV, P&amp;L, XIRR), open/closed &amp; portfolio toggles, allocation by market-cap or portfolio; unpriced funds valued at cost.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Stocks / ETF</w:t>
            </w:r>
          </w:p>
        </w:tc>
        <w:tc>
          <w:tcPr>
            <w:tcW w:type="dxa" w:w="4320"/>
          </w:tcPr>
          <w:p>
            <w:r>
              <w:t>Independent India &amp; US holdings tables, USD→INR conversion, per-(portfolio × instrument) FIFO, market-cap split.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Fixed Income</w:t>
            </w:r>
          </w:p>
        </w:tc>
        <w:tc>
          <w:tcPr>
            <w:tcW w:type="dxa" w:w="4320"/>
          </w:tcPr>
          <w:p>
            <w:r>
              <w:t>FD, Savings/Corpus, and EPF/PPF valued with the correct compounding model; allocation by sub-category or portfolio.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Commodity</w:t>
            </w:r>
          </w:p>
        </w:tc>
        <w:tc>
          <w:tcPr>
            <w:tcW w:type="dxa" w:w="4320"/>
          </w:tcPr>
          <w:p>
            <w:r>
              <w:t>Physical gold/silver valued at the live gold rate plus a configurable India retail premium %.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Charts</w:t>
            </w:r>
          </w:p>
        </w:tc>
        <w:tc>
          <w:tcPr>
            <w:tcW w:type="dxa" w:w="4320"/>
          </w:tcPr>
          <w:p>
            <w:r>
              <w:t>Portfolio / Category / Region split, benchmark comparison, Growth of ₹100, account value over time, monthly investment by category, rolling CAGR.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Expense manager</w:t>
            </w:r>
          </w:p>
        </w:tc>
        <w:tc>
          <w:tcPr>
            <w:tcW w:type="dxa" w:w="4320"/>
          </w:tcPr>
          <w:p>
            <w:r>
              <w:t>Accounts, categories &amp; sub-categories, payment methods; expense/budget/income records with budget-split; reusable templates; recurring auto-posting; CSV bulk import with validation; monthly analytics.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Settings &amp; sync</w:t>
            </w:r>
          </w:p>
        </w:tc>
        <w:tc>
          <w:tcPr>
            <w:tcW w:type="dxa" w:w="4320"/>
          </w:tcPr>
          <w:p>
            <w:r>
              <w:t xml:space="preserve">Google-Sheet connections &amp; mappings, gold premium, NAV/ISIN refresh, theme; settings sync across devices via </w:t>
            </w:r>
            <w:r>
              <w:rPr>
                <w:rFonts w:ascii="Consolas" w:hAnsi="Consolas"/>
                <w:color w:val="B91C1C"/>
                <w:sz w:val="19"/>
              </w:rPr>
              <w:t>user_settings</w:t>
            </w:r>
            <w:r>
              <w:t xml:space="preserve"> (merge-by-id, tombstones). The GitHub token stays local-only.</w:t>
            </w:r>
          </w:p>
        </w:tc>
      </w:tr>
    </w:tbl>
    <w:p/>
    <w:p>
      <w:pPr>
        <w:pStyle w:val="Heading1"/>
      </w:pPr>
      <w:r>
        <w:rPr>
          <w:color w:val="0F172A"/>
        </w:rPr>
        <w:t>Key calculation logic (one-liners)</w:t>
      </w:r>
    </w:p>
    <w:p>
      <w:pPr>
        <w:pStyle w:val="ListBullet"/>
      </w:pPr>
      <w:r>
        <w:rPr>
          <w:b/>
        </w:rPr>
        <w:t>Holdings / cost basis</w:t>
      </w:r>
      <w:r>
        <w:t xml:space="preserve"> — FIFO lot matching; average cost = remaining invested ÷ remaining units; </w:t>
      </w:r>
      <w:r>
        <w:rPr>
          <w:rFonts w:ascii="Consolas" w:hAnsi="Consolas"/>
          <w:color w:val="B91C1C"/>
          <w:sz w:val="19"/>
        </w:rPr>
        <w:t>split</w:t>
      </w:r>
      <w:r>
        <w:t>/</w:t>
      </w:r>
      <w:r>
        <w:rPr>
          <w:rFonts w:ascii="Consolas" w:hAnsi="Consolas"/>
          <w:color w:val="B91C1C"/>
          <w:sz w:val="19"/>
        </w:rPr>
        <w:t>bonus</w:t>
      </w:r>
      <w:r>
        <w:t xml:space="preserve"> add units at zero cost.</w:t>
      </w:r>
    </w:p>
    <w:p>
      <w:pPr>
        <w:pStyle w:val="ListBullet"/>
      </w:pPr>
      <w:r>
        <w:rPr>
          <w:b/>
        </w:rPr>
        <w:t>Realized P&amp;L</w:t>
      </w:r>
      <w:r>
        <w:t xml:space="preserve"> — proceeds clamped to FIFO-matched units (over-sell cannot fabricate profit).</w:t>
      </w:r>
    </w:p>
    <w:p>
      <w:pPr>
        <w:pStyle w:val="ListBullet"/>
      </w:pPr>
      <w:r>
        <w:rPr>
          <w:b/>
        </w:rPr>
        <w:t>Current value</w:t>
      </w:r>
      <w:r>
        <w:t xml:space="preserve"> — MF: units × latest NAV (unpriced → cost); SE: units × LTP (× USD/INR for US); Commodity: grams × gold rate × premium.</w:t>
      </w:r>
    </w:p>
    <w:p>
      <w:pPr>
        <w:pStyle w:val="ListBullet"/>
      </w:pPr>
      <w:r>
        <w:rPr>
          <w:b/>
        </w:rPr>
        <w:t>Fixed Income</w:t>
      </w:r>
      <w:r>
        <w:t xml:space="preserve"> — FD: </w:t>
      </w:r>
      <w:r>
        <w:rPr>
          <w:rFonts w:ascii="Consolas" w:hAnsi="Consolas"/>
          <w:color w:val="B91C1C"/>
          <w:sz w:val="19"/>
        </w:rPr>
        <w:t>Invested × (1 + rate/4)^quarters</w:t>
      </w:r>
      <w:r>
        <w:t xml:space="preserve">; Corpus/Savings: </w:t>
      </w:r>
      <w:r>
        <w:rPr>
          <w:rFonts w:ascii="Consolas" w:hAnsi="Consolas"/>
          <w:color w:val="B91C1C"/>
          <w:sz w:val="19"/>
        </w:rPr>
        <w:t>(1 + rate/12)^months</w:t>
      </w:r>
      <w:r>
        <w:t>; EPF/PPF: deposits + un-withdrawn interest (FIFO withdrawals). Period counts are month-end clamped.</w:t>
      </w:r>
    </w:p>
    <w:p>
      <w:pPr>
        <w:pStyle w:val="ListBullet"/>
      </w:pPr>
      <w:r>
        <w:rPr>
          <w:b/>
        </w:rPr>
        <w:t>XIRR</w:t>
      </w:r>
      <w:r>
        <w:t xml:space="preserve"> — solves </w:t>
      </w:r>
      <w:r>
        <w:rPr>
          <w:rFonts w:ascii="Consolas" w:hAnsi="Consolas"/>
          <w:color w:val="B91C1C"/>
          <w:sz w:val="19"/>
        </w:rPr>
        <w:t>Σ amount/(1+r)^(days/365.25) = 0</w:t>
      </w:r>
      <w:r>
        <w:t xml:space="preserve"> via Newton–Raphson with an auto-growing bisection fallback.</w:t>
      </w:r>
    </w:p>
    <w:p>
      <w:pPr>
        <w:pStyle w:val="ListBullet"/>
      </w:pPr>
      <w:r>
        <w:rPr>
          <w:b/>
        </w:rPr>
        <w:t>Reconciliation</w:t>
      </w:r>
      <w:r>
        <w:t xml:space="preserve"> — Portfolio Split and Category Split are anchored to the Overview's current-value totals, so all three always agree.</w:t>
      </w:r>
    </w:p>
    <w:p>
      <w:pPr>
        <w:pStyle w:val="Heading1"/>
      </w:pPr>
      <w:r>
        <w:rPr>
          <w:color w:val="0F172A"/>
        </w:rPr>
        <w:t>Architecture at a glance</w:t>
      </w:r>
    </w:p>
    <w:p>
      <w:r>
        <w:rPr>
          <w:rFonts w:ascii="Consolas" w:hAnsi="Consolas"/>
          <w:color w:val="B91C1C"/>
          <w:sz w:val="19"/>
        </w:rPr>
        <w:t>Google Sheets + pricing APIs + Supabase</w:t>
      </w:r>
      <w:r>
        <w:t xml:space="preserve"> → parsed &amp; cached in </w:t>
      </w:r>
      <w:r>
        <w:rPr>
          <w:rFonts w:ascii="Consolas" w:hAnsi="Consolas"/>
          <w:color w:val="B91C1C"/>
          <w:sz w:val="19"/>
        </w:rPr>
        <w:t>localStorage</w:t>
      </w:r>
      <w:r>
        <w:t xml:space="preserve"> → </w:t>
      </w:r>
      <w:r>
        <w:rPr>
          <w:b/>
        </w:rPr>
        <w:t>FIFO &amp; valuation</w:t>
      </w:r>
      <w:r>
        <w:t xml:space="preserve"> → per-class </w:t>
      </w:r>
      <w:r>
        <w:rPr>
          <w:rFonts w:ascii="Consolas" w:hAnsi="Consolas"/>
          <w:color w:val="B91C1C"/>
          <w:sz w:val="19"/>
        </w:rPr>
        <w:t>_ov</w:t>
      </w:r>
      <w:r>
        <w:t xml:space="preserve"> aggregation (</w:t>
      </w:r>
      <w:r>
        <w:rPr>
          <w:rFonts w:ascii="Consolas" w:hAnsi="Consolas"/>
          <w:color w:val="B91C1C"/>
          <w:sz w:val="19"/>
        </w:rPr>
        <w:t>Total = MF + SE + FI + Commodity</w:t>
      </w:r>
      <w:r>
        <w:t xml:space="preserve">, gated by portfolio filter &amp; FI-exclusion) → </w:t>
      </w:r>
      <w:r>
        <w:rPr>
          <w:b/>
        </w:rPr>
        <w:t>Overview cards, holdings tables, charts, and the expense manager</w:t>
      </w:r>
      <w:r>
        <w:t>.</w:t>
      </w:r>
    </w:p>
    <w:p>
      <w:r>
        <w:rPr>
          <w:i/>
          <w:sz w:val="19"/>
        </w:rPr>
        <w:t>See `FUNCTIONAL_REQUIREMENTS.md` for the full requirement-by-requirement specification and detailed calculation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