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Personal Finance Dashboard — Functional Requirements Document</w:t>
      </w:r>
    </w:p>
    <w:p>
      <w:r>
        <w:rPr>
          <w:b/>
        </w:rPr>
        <w:t>Product:</w:t>
      </w:r>
      <w:r>
        <w:t xml:space="preserve"> PF Dashboard (a.k.a. Wealthfolio)</w:t>
      </w:r>
    </w:p>
    <w:p>
      <w:r>
        <w:rPr>
          <w:b/>
        </w:rPr>
        <w:t>Type:</w:t>
      </w:r>
      <w:r>
        <w:t xml:space="preserve"> Client-side single-page web app (vanilla HTML/CSS/JS, no build step), hosted on GitHub Pages.</w:t>
      </w:r>
    </w:p>
    <w:p>
      <w:r>
        <w:rPr>
          <w:b/>
        </w:rPr>
        <w:t>Backend:</w:t>
      </w:r>
      <w:r>
        <w:t xml:space="preserve"> Supabase (auth + a </w:t>
      </w:r>
      <w:r>
        <w:rPr>
          <w:rFonts w:ascii="Consolas" w:hAnsi="Consolas"/>
          <w:color w:val="B91C1C"/>
          <w:sz w:val="19"/>
        </w:rPr>
        <w:t>user_settings</w:t>
      </w:r>
      <w:r>
        <w:t xml:space="preserve"> row and Expense-manager tables) and Google Sheets (investment transaction data, read-only).</w:t>
      </w:r>
    </w:p>
    <w:p>
      <w:r>
        <w:rPr>
          <w:b/>
        </w:rPr>
        <w:t>Currency:</w:t>
      </w:r>
      <w:r>
        <w:t xml:space="preserve"> All values normalised to </w:t>
      </w:r>
      <w:r>
        <w:rPr>
          <w:b/>
        </w:rPr>
        <w:t>INR (₹)</w:t>
      </w:r>
      <w:r>
        <w:t>. US instruments are converted from USD.</w:t>
      </w:r>
    </w:p>
    <w:p>
      <w:pPr>
        <w:pStyle w:val="Heading1"/>
      </w:pPr>
      <w:r>
        <w:rPr>
          <w:color w:val="0F172A"/>
        </w:rPr>
        <w:t>1. Scope &amp; Architecture</w:t>
      </w:r>
    </w:p>
    <w:p>
      <w:pPr>
        <w:pStyle w:val="Heading2"/>
      </w:pPr>
      <w:r>
        <w:rPr>
          <w:color w:val="334155"/>
        </w:rPr>
        <w:t>1.1 Pages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91C1C"/>
                <w:sz w:val="19"/>
              </w:rPr>
              <w:t>index.html</w:t>
            </w:r>
          </w:p>
        </w:tc>
        <w:tc>
          <w:tcPr>
            <w:tcW w:type="dxa" w:w="4320"/>
          </w:tcPr>
          <w:p>
            <w:r>
              <w:t>Marketing landing + auth modal (sign in / sign up / password reset).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91C1C"/>
                <w:sz w:val="19"/>
              </w:rPr>
              <w:t>dashboard.html</w:t>
            </w:r>
          </w:p>
        </w:tc>
        <w:tc>
          <w:tcPr>
            <w:tcW w:type="dxa" w:w="4320"/>
          </w:tcPr>
          <w:p>
            <w:r>
              <w:t>The application: Investments (Overview, Mutual Funds, Stocks/ETF, Fixed Income, Commodity) + Expense tab.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91C1C"/>
                <w:sz w:val="19"/>
              </w:rPr>
              <w:t>settings.html</w:t>
            </w:r>
          </w:p>
        </w:tc>
        <w:tc>
          <w:tcPr>
            <w:tcW w:type="dxa" w:w="4320"/>
          </w:tcPr>
          <w:p>
            <w:r>
              <w:t>Sheet connections, mappings, profile, preferences, and the Expense manager (Accounts, Categories, Payment methods, Templates, Recurring payments, Bulk import).</w:t>
            </w:r>
          </w:p>
        </w:tc>
      </w:tr>
    </w:tbl>
    <w:p/>
    <w:p>
      <w:pPr>
        <w:pStyle w:val="Heading2"/>
      </w:pPr>
      <w:r>
        <w:rPr>
          <w:color w:val="334155"/>
        </w:rPr>
        <w:t>1.2 Data sources</w:t>
      </w:r>
    </w:p>
    <w:p>
      <w:pPr>
        <w:pStyle w:val="ListBullet"/>
      </w:pPr>
      <w:r>
        <w:rPr>
          <w:b/>
        </w:rPr>
        <w:t>Google Sheets</w:t>
      </w:r>
      <w:r>
        <w:t xml:space="preserve"> (per-user configured URLs) provide investment transactions and instrument metadata. Data is fetched, parsed, and cached in </w:t>
      </w:r>
      <w:r>
        <w:rPr>
          <w:rFonts w:ascii="Consolas" w:hAnsi="Consolas"/>
          <w:color w:val="B91C1C"/>
          <w:sz w:val="19"/>
        </w:rPr>
        <w:t>localStorage</w:t>
      </w:r>
      <w:r>
        <w:t xml:space="preserve"> (</w:t>
      </w:r>
      <w:r>
        <w:rPr>
          <w:rFonts w:ascii="Consolas" w:hAnsi="Consolas"/>
          <w:color w:val="B91C1C"/>
          <w:sz w:val="19"/>
        </w:rPr>
        <w:t>wf-&lt;prefix&gt;-data</w:t>
      </w:r>
      <w:r>
        <w:t xml:space="preserve">). Sheet *connection configs* live under </w:t>
      </w:r>
      <w:r>
        <w:rPr>
          <w:rFonts w:ascii="Consolas" w:hAnsi="Consolas"/>
          <w:color w:val="B91C1C"/>
          <w:sz w:val="19"/>
        </w:rPr>
        <w:t>wf-&lt;prefix&gt;-sheets</w:t>
      </w:r>
      <w:r>
        <w:t>.</w:t>
      </w:r>
    </w:p>
    <w:p>
      <w:pPr>
        <w:pStyle w:val="ListBullet"/>
      </w:pPr>
      <w:r>
        <w:rPr>
          <w:b/>
        </w:rPr>
        <w:t>Supabase</w:t>
      </w:r>
      <w:r>
        <w:t xml:space="preserve">: authentication, a single </w:t>
      </w:r>
      <w:r>
        <w:rPr>
          <w:rFonts w:ascii="Consolas" w:hAnsi="Consolas"/>
          <w:color w:val="B91C1C"/>
          <w:sz w:val="19"/>
        </w:rPr>
        <w:t>user_settings</w:t>
      </w:r>
      <w:r>
        <w:t xml:space="preserve"> row for cross-device settings sync, and Expense-manager tables (</w:t>
      </w:r>
      <w:r>
        <w:rPr>
          <w:rFonts w:ascii="Consolas" w:hAnsi="Consolas"/>
          <w:color w:val="B91C1C"/>
          <w:sz w:val="19"/>
        </w:rPr>
        <w:t>expense_accounts</w:t>
      </w:r>
      <w:r>
        <w:t xml:space="preserve">, </w:t>
      </w:r>
      <w:r>
        <w:rPr>
          <w:rFonts w:ascii="Consolas" w:hAnsi="Consolas"/>
          <w:color w:val="B91C1C"/>
          <w:sz w:val="19"/>
        </w:rPr>
        <w:t>expense_categories</w:t>
      </w:r>
      <w:r>
        <w:t xml:space="preserve">, </w:t>
      </w:r>
      <w:r>
        <w:rPr>
          <w:rFonts w:ascii="Consolas" w:hAnsi="Consolas"/>
          <w:color w:val="B91C1C"/>
          <w:sz w:val="19"/>
        </w:rPr>
        <w:t>expense_payment_methods</w:t>
      </w:r>
      <w:r>
        <w:t xml:space="preserve">, </w:t>
      </w:r>
      <w:r>
        <w:rPr>
          <w:rFonts w:ascii="Consolas" w:hAnsi="Consolas"/>
          <w:color w:val="B91C1C"/>
          <w:sz w:val="19"/>
        </w:rPr>
        <w:t>expense_records</w:t>
      </w:r>
      <w:r>
        <w:t>). Row-Level Security scopes every row to the signed-in user.</w:t>
      </w:r>
    </w:p>
    <w:p>
      <w:pPr>
        <w:pStyle w:val="Heading2"/>
      </w:pPr>
      <w:r>
        <w:rPr>
          <w:color w:val="334155"/>
        </w:rPr>
        <w:t>1.3 Sheet prefixes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Prefix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Sheet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columns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91C1C"/>
                <w:sz w:val="19"/>
              </w:rPr>
              <w:t>equity</w:t>
            </w:r>
          </w:p>
        </w:tc>
        <w:tc>
          <w:tcPr>
            <w:tcW w:type="dxa" w:w="2880"/>
          </w:tcPr>
          <w:p>
            <w:r>
              <w:t>Mutual Fund transactions</w:t>
            </w:r>
          </w:p>
        </w:tc>
        <w:tc>
          <w:tcPr>
            <w:tcW w:type="dxa" w:w="2880"/>
          </w:tcPr>
          <w:p>
            <w:r>
              <w:t>Portfolio Name, Instrument Name, Transaction Type, Units, Price, Transaction 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91C1C"/>
                <w:sz w:val="19"/>
              </w:rPr>
              <w:t>stocksetf</w:t>
            </w:r>
          </w:p>
        </w:tc>
        <w:tc>
          <w:tcPr>
            <w:tcW w:type="dxa" w:w="2880"/>
          </w:tcPr>
          <w:p>
            <w:r>
              <w:t>Stocks/ETF transactions</w:t>
            </w:r>
          </w:p>
        </w:tc>
        <w:tc>
          <w:tcPr>
            <w:tcW w:type="dxa" w:w="2880"/>
          </w:tcPr>
          <w:p>
            <w:r>
              <w:t>(same unit-based schema as equity)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91C1C"/>
                <w:sz w:val="19"/>
              </w:rPr>
              <w:t>fd</w:t>
            </w:r>
          </w:p>
        </w:tc>
        <w:tc>
          <w:tcPr>
            <w:tcW w:type="dxa" w:w="2880"/>
          </w:tcPr>
          <w:p>
            <w:r>
              <w:t>Fixed Income / Commodity</w:t>
            </w:r>
          </w:p>
        </w:tc>
        <w:tc>
          <w:tcPr>
            <w:tcW w:type="dxa" w:w="2880"/>
          </w:tcPr>
          <w:p>
            <w:r>
              <w:t>Portfolio, Bank, Instrument, Category, Sub Category, Type, Grams, Invested Amount, Maturity Date/Sell Date, Rate of Return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91C1C"/>
                <w:sz w:val="19"/>
              </w:rPr>
              <w:t>fixedincome</w:t>
            </w:r>
          </w:p>
        </w:tc>
        <w:tc>
          <w:tcPr>
            <w:tcW w:type="dxa" w:w="2880"/>
          </w:tcPr>
          <w:p>
            <w:r>
              <w:t>Legacy EPF-only (Amount column)</w:t>
            </w:r>
          </w:p>
        </w:tc>
        <w:tc>
          <w:tcPr>
            <w:tcW w:type="dxa" w:w="2880"/>
          </w:tcPr>
          <w:p>
            <w:r>
              <w:t xml:space="preserve">*optional / unused when EPF is kept in the </w:t>
            </w:r>
            <w:r>
              <w:rPr>
                <w:rFonts w:ascii="Consolas" w:hAnsi="Consolas"/>
                <w:color w:val="B91C1C"/>
                <w:sz w:val="19"/>
              </w:rPr>
              <w:t>fd</w:t>
            </w:r>
            <w:r>
              <w:t xml:space="preserve"> sheet*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91C1C"/>
                <w:sz w:val="19"/>
              </w:rPr>
              <w:t>mfmapping</w:t>
            </w:r>
          </w:p>
        </w:tc>
        <w:tc>
          <w:tcPr>
            <w:tcW w:type="dxa" w:w="2880"/>
          </w:tcPr>
          <w:p>
            <w:r>
              <w:t>MF metadata</w:t>
            </w:r>
          </w:p>
        </w:tc>
        <w:tc>
          <w:tcPr>
            <w:tcW w:type="dxa" w:w="2880"/>
          </w:tcPr>
          <w:p>
            <w:r>
              <w:t>Instrument Name, Identifier/ISIN, Instrument Category, (Market Segment)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91C1C"/>
                <w:sz w:val="19"/>
              </w:rPr>
              <w:t>stocksetfmapping</w:t>
            </w:r>
          </w:p>
        </w:tc>
        <w:tc>
          <w:tcPr>
            <w:tcW w:type="dxa" w:w="2880"/>
          </w:tcPr>
          <w:p>
            <w:r>
              <w:t>Stocks/ETF metadata</w:t>
            </w:r>
          </w:p>
        </w:tc>
        <w:tc>
          <w:tcPr>
            <w:tcW w:type="dxa" w:w="2880"/>
          </w:tcPr>
          <w:p>
            <w:r>
              <w:t>Instrument Name, Identifier, Region, Instrument Category, Instrument Sub Category, Market Segment</w:t>
            </w:r>
          </w:p>
        </w:tc>
      </w:tr>
    </w:tbl>
    <w:p/>
    <w:p>
      <w:pPr>
        <w:pStyle w:val="Heading1"/>
      </w:pPr>
      <w:r>
        <w:rPr>
          <w:color w:val="0F172A"/>
        </w:rPr>
        <w:t>2. Authentication &amp; User Management (FR-AUTH)</w:t>
      </w:r>
    </w:p>
    <w:p>
      <w:pPr>
        <w:pStyle w:val="ListBullet"/>
      </w:pPr>
      <w:r>
        <w:rPr>
          <w:b/>
        </w:rPr>
        <w:t>FR-AUTH-1 Sign up</w:t>
      </w:r>
      <w:r>
        <w:t xml:space="preserve"> — email + password (+ optional first/last name metadata) via Supabase. On success a session </w:t>
      </w:r>
      <w:r>
        <w:rPr>
          <w:rFonts w:ascii="Consolas" w:hAnsi="Consolas"/>
          <w:color w:val="B91C1C"/>
          <w:sz w:val="19"/>
        </w:rPr>
        <w:t>{access_token, refresh_token, user, expires_at}</w:t>
      </w:r>
      <w:r>
        <w:t xml:space="preserve"> is stored in </w:t>
      </w:r>
      <w:r>
        <w:rPr>
          <w:rFonts w:ascii="Consolas" w:hAnsi="Consolas"/>
          <w:color w:val="B91C1C"/>
          <w:sz w:val="19"/>
        </w:rPr>
        <w:t>localStorage</w:t>
      </w:r>
      <w:r>
        <w:t xml:space="preserve"> (</w:t>
      </w:r>
      <w:r>
        <w:rPr>
          <w:rFonts w:ascii="Consolas" w:hAnsi="Consolas"/>
          <w:color w:val="B91C1C"/>
          <w:sz w:val="19"/>
        </w:rPr>
        <w:t>wf-sb-session</w:t>
      </w:r>
      <w:r>
        <w:t>).</w:t>
      </w:r>
    </w:p>
    <w:p>
      <w:pPr>
        <w:pStyle w:val="ListBullet"/>
      </w:pPr>
      <w:r>
        <w:rPr>
          <w:b/>
        </w:rPr>
        <w:t>FR-AUTH-2 Sign in</w:t>
      </w:r>
      <w:r>
        <w:t xml:space="preserve"> — email/password; invalid credentials show an inline error.</w:t>
      </w:r>
    </w:p>
    <w:p>
      <w:pPr>
        <w:pStyle w:val="ListBullet"/>
      </w:pPr>
      <w:r>
        <w:rPr>
          <w:b/>
        </w:rPr>
        <w:t>FR-AUTH-3 Password reset</w:t>
      </w:r>
      <w:r>
        <w:t xml:space="preserve"> — "Forgot password" sends a recovery email; the emailed link returns to </w:t>
      </w:r>
      <w:r>
        <w:rPr>
          <w:rFonts w:ascii="Consolas" w:hAnsi="Consolas"/>
          <w:color w:val="B91C1C"/>
          <w:sz w:val="19"/>
        </w:rPr>
        <w:t>index.html#access_token=…&amp;type=recovery</w:t>
      </w:r>
      <w:r>
        <w:t xml:space="preserve">, which shows a reset form. On submit, the password is updated, the session is populated (user + expiry via </w:t>
      </w:r>
      <w:r>
        <w:rPr>
          <w:rFonts w:ascii="Consolas" w:hAnsi="Consolas"/>
          <w:color w:val="B91C1C"/>
          <w:sz w:val="19"/>
        </w:rPr>
        <w:t>refreshUser</w:t>
      </w:r>
      <w:r>
        <w:t>), and the user is redirected to the dashboard.</w:t>
      </w:r>
    </w:p>
    <w:p>
      <w:pPr>
        <w:pStyle w:val="ListBullet"/>
      </w:pPr>
      <w:r>
        <w:rPr>
          <w:b/>
        </w:rPr>
        <w:t>FR-AUTH-4 Session validity</w:t>
      </w:r>
      <w:r>
        <w:t xml:space="preserve"> — </w:t>
      </w:r>
      <w:r>
        <w:rPr>
          <w:rFonts w:ascii="Consolas" w:hAnsi="Consolas"/>
          <w:color w:val="B91C1C"/>
          <w:sz w:val="19"/>
        </w:rPr>
        <w:t>getValidToken()</w:t>
      </w:r>
      <w:r>
        <w:t xml:space="preserve"> refreshes the access token when it is within 60 s of expiry using the refresh token.</w:t>
      </w:r>
    </w:p>
    <w:p>
      <w:pPr>
        <w:pStyle w:val="ListBullet"/>
      </w:pPr>
      <w:r>
        <w:rPr>
          <w:b/>
        </w:rPr>
        <w:t>FR-AUTH-5 Route guard</w:t>
      </w:r>
      <w:r>
        <w:t xml:space="preserve"> — </w:t>
      </w:r>
      <w:r>
        <w:rPr>
          <w:rFonts w:ascii="Consolas" w:hAnsi="Consolas"/>
          <w:color w:val="B91C1C"/>
          <w:sz w:val="19"/>
        </w:rPr>
        <w:t>settings.html</w:t>
      </w:r>
      <w:r>
        <w:t xml:space="preserve"> and </w:t>
      </w:r>
      <w:r>
        <w:rPr>
          <w:rFonts w:ascii="Consolas" w:hAnsi="Consolas"/>
          <w:color w:val="B91C1C"/>
          <w:sz w:val="19"/>
        </w:rPr>
        <w:t>dashboard.html</w:t>
      </w:r>
      <w:r>
        <w:t xml:space="preserve"> redirect to the landing page if not authenticated (</w:t>
      </w:r>
      <w:r>
        <w:rPr>
          <w:rFonts w:ascii="Consolas" w:hAnsi="Consolas"/>
          <w:color w:val="B91C1C"/>
          <w:sz w:val="19"/>
        </w:rPr>
        <w:t>requireAuth</w:t>
      </w:r>
      <w:r>
        <w:t>). The guard is fail-closed.</w:t>
      </w:r>
    </w:p>
    <w:p>
      <w:pPr>
        <w:pStyle w:val="ListBullet"/>
      </w:pPr>
      <w:r>
        <w:rPr>
          <w:b/>
        </w:rPr>
        <w:t>FR-AUTH-6 Sign out</w:t>
      </w:r>
      <w:r>
        <w:t xml:space="preserve"> — clears the session and calls the Supabase logout endpoint.</w:t>
      </w:r>
    </w:p>
    <w:p>
      <w:pPr>
        <w:pStyle w:val="ListBullet"/>
      </w:pPr>
      <w:r>
        <w:rPr>
          <w:b/>
        </w:rPr>
        <w:t>FR-AUTH-7 Profile</w:t>
      </w:r>
      <w:r>
        <w:t xml:space="preserve"> — first/last name editable in Settings → Profile (stored in Supabase user metadata).</w:t>
      </w:r>
    </w:p>
    <w:p>
      <w:r>
        <w:rPr>
          <w:i/>
          <w:sz w:val="19"/>
        </w:rPr>
        <w:t>Security constraints</w:t>
      </w:r>
    </w:p>
    <w:p>
      <w:pPr>
        <w:pStyle w:val="ListBullet"/>
      </w:pPr>
      <w:r>
        <w:t xml:space="preserve">The Supabase </w:t>
      </w:r>
      <w:r>
        <w:rPr>
          <w:b/>
        </w:rPr>
        <w:t>anon key</w:t>
      </w:r>
      <w:r>
        <w:t xml:space="preserve"> is public by design (RLS-protected).</w:t>
      </w:r>
    </w:p>
    <w:p>
      <w:pPr>
        <w:pStyle w:val="ListBullet"/>
      </w:pPr>
      <w:r>
        <w:t xml:space="preserve">The </w:t>
      </w:r>
      <w:r>
        <w:rPr>
          <w:b/>
        </w:rPr>
        <w:t>GitHub Personal Access Token</w:t>
      </w:r>
      <w:r>
        <w:t xml:space="preserve"> (used to trigger data-refresh workflows) is stored </w:t>
      </w:r>
      <w:r>
        <w:rPr>
          <w:b/>
        </w:rPr>
        <w:t>only in `localStorage`</w:t>
      </w:r>
      <w:r>
        <w:t xml:space="preserve"> and is </w:t>
      </w:r>
      <w:r>
        <w:rPr>
          <w:b/>
        </w:rPr>
        <w:t>never</w:t>
      </w:r>
      <w:r>
        <w:t xml:space="preserve"> synced to the cloud (excluded from </w:t>
      </w:r>
      <w:r>
        <w:rPr>
          <w:rFonts w:ascii="Consolas" w:hAnsi="Consolas"/>
          <w:color w:val="B91C1C"/>
          <w:sz w:val="19"/>
        </w:rPr>
        <w:t>SYNC_KEYS</w:t>
      </w:r>
      <w:r>
        <w:t>).</w:t>
      </w:r>
    </w:p>
    <w:p>
      <w:pPr>
        <w:pStyle w:val="Heading1"/>
      </w:pPr>
      <w:r>
        <w:rPr>
          <w:color w:val="0F172A"/>
        </w:rPr>
        <w:t>3. Portfolio Selector &amp; Exclusion Toggles (FR-SEL)</w:t>
      </w:r>
    </w:p>
    <w:p>
      <w:pPr>
        <w:pStyle w:val="ListBullet"/>
      </w:pPr>
      <w:r>
        <w:rPr>
          <w:b/>
        </w:rPr>
        <w:t>FR-SEL-1 Portfolio filter</w:t>
      </w:r>
      <w:r>
        <w:t xml:space="preserve"> — a global selector (</w:t>
      </w:r>
      <w:r>
        <w:rPr>
          <w:rFonts w:ascii="Consolas" w:hAnsi="Consolas"/>
          <w:color w:val="B91C1C"/>
          <w:sz w:val="19"/>
        </w:rPr>
        <w:t>wf-selected-portfolio</w:t>
      </w:r>
      <w:r>
        <w:t xml:space="preserve">) scopes every computation to a single portfolio or </w:t>
      </w:r>
      <w:r>
        <w:rPr>
          <w:rFonts w:ascii="Consolas" w:hAnsi="Consolas"/>
          <w:color w:val="B91C1C"/>
          <w:sz w:val="19"/>
        </w:rPr>
        <w:t>all</w:t>
      </w:r>
      <w:r>
        <w:t>. Portfolio names are discovered from the transaction sheets.</w:t>
      </w:r>
    </w:p>
    <w:p>
      <w:pPr>
        <w:pStyle w:val="ListBullet"/>
      </w:pPr>
      <w:r>
        <w:rPr>
          <w:b/>
        </w:rPr>
        <w:t>FR-SEL-2 Exclude Fixed Income</w:t>
      </w:r>
      <w:r>
        <w:t xml:space="preserve"> (</w:t>
      </w:r>
      <w:r>
        <w:rPr>
          <w:rFonts w:ascii="Consolas" w:hAnsi="Consolas"/>
          <w:color w:val="B91C1C"/>
          <w:sz w:val="19"/>
        </w:rPr>
        <w:t>wf-exclude-fixedincome</w:t>
      </w:r>
      <w:r>
        <w:t xml:space="preserve">) — when on, Fixed Income </w:t>
      </w:r>
      <w:r>
        <w:rPr>
          <w:b/>
        </w:rPr>
        <w:t>and Commodity</w:t>
      </w:r>
      <w:r>
        <w:t xml:space="preserve"> are removed from Overview totals, category cards, and the split charts (commodity is stored in the Fixed Income/Commodity sheet and follows this toggle).</w:t>
      </w:r>
    </w:p>
    <w:p>
      <w:pPr>
        <w:pStyle w:val="ListBullet"/>
      </w:pPr>
      <w:r>
        <w:rPr>
          <w:b/>
        </w:rPr>
        <w:t>FR-SEL-3 Exclude Savings/Investment</w:t>
      </w:r>
      <w:r>
        <w:t xml:space="preserve"> (</w:t>
      </w:r>
      <w:r>
        <w:rPr>
          <w:rFonts w:ascii="Consolas" w:hAnsi="Consolas"/>
          <w:color w:val="B91C1C"/>
          <w:sz w:val="19"/>
        </w:rPr>
        <w:t>wf-exclude-savings-investment</w:t>
      </w:r>
      <w:r>
        <w:t>) — excludes "Investment Corpus" and "Savings Account" sub-categories from FD invested/current sums.</w:t>
      </w:r>
    </w:p>
    <w:p>
      <w:pPr>
        <w:pStyle w:val="Heading1"/>
      </w:pPr>
      <w:r>
        <w:rPr>
          <w:color w:val="0F172A"/>
        </w:rPr>
        <w:t>4. Investment Overview (FR-OV)</w:t>
      </w:r>
    </w:p>
    <w:p>
      <w:r>
        <w:t xml:space="preserve">The Overview aggregates four asset classes into a single </w:t>
      </w:r>
      <w:r>
        <w:rPr>
          <w:rFonts w:ascii="Consolas" w:hAnsi="Consolas"/>
          <w:color w:val="B91C1C"/>
          <w:sz w:val="19"/>
        </w:rPr>
        <w:t>_ov</w:t>
      </w:r>
      <w:r>
        <w:t xml:space="preserve"> accumulator: </w:t>
      </w:r>
      <w:r>
        <w:rPr>
          <w:b/>
        </w:rPr>
        <w:t>MF, Stocks/ETF (SE), Fixed Income (FI), Commodity</w:t>
      </w:r>
      <w:r>
        <w:t xml:space="preserve">. Each class contributes </w:t>
      </w:r>
      <w:r>
        <w:rPr>
          <w:rFonts w:ascii="Consolas" w:hAnsi="Consolas"/>
          <w:color w:val="B91C1C"/>
          <w:sz w:val="19"/>
        </w:rPr>
        <w:t>Invested</w:t>
      </w:r>
      <w:r>
        <w:t xml:space="preserve">, </w:t>
      </w:r>
      <w:r>
        <w:rPr>
          <w:rFonts w:ascii="Consolas" w:hAnsi="Consolas"/>
          <w:color w:val="B91C1C"/>
          <w:sz w:val="19"/>
        </w:rPr>
        <w:t>Current</w:t>
      </w:r>
      <w:r>
        <w:t xml:space="preserve">, </w:t>
      </w:r>
      <w:r>
        <w:rPr>
          <w:rFonts w:ascii="Consolas" w:hAnsi="Consolas"/>
          <w:color w:val="B91C1C"/>
          <w:sz w:val="19"/>
        </w:rPr>
        <w:t>Unrealized</w:t>
      </w:r>
      <w:r>
        <w:t xml:space="preserve">, </w:t>
      </w:r>
      <w:r>
        <w:rPr>
          <w:rFonts w:ascii="Consolas" w:hAnsi="Consolas"/>
          <w:color w:val="B91C1C"/>
          <w:sz w:val="19"/>
        </w:rPr>
        <w:t>Realized</w:t>
      </w:r>
      <w:r>
        <w:t>.</w:t>
      </w:r>
    </w:p>
    <w:p>
      <w:pPr>
        <w:pStyle w:val="ListBullet"/>
      </w:pPr>
      <w:r>
        <w:rPr>
          <w:b/>
        </w:rPr>
        <w:t>FR-OV-1 Total Invested</w:t>
      </w:r>
      <w:r>
        <w:t xml:space="preserve"> = </w:t>
      </w:r>
      <w:r>
        <w:rPr>
          <w:rFonts w:ascii="Consolas" w:hAnsi="Consolas"/>
          <w:color w:val="B91C1C"/>
          <w:sz w:val="19"/>
        </w:rPr>
        <w:t>mfInvested + seInvested + fiInvested + commInvested</w:t>
      </w:r>
      <w:r>
        <w:t xml:space="preserve"> (FI &amp; commodity gated by the FI toggle).</w:t>
      </w:r>
    </w:p>
    <w:p>
      <w:pPr>
        <w:pStyle w:val="ListBullet"/>
      </w:pPr>
      <w:r>
        <w:rPr>
          <w:b/>
        </w:rPr>
        <w:t>FR-OV-2 Total Current</w:t>
      </w:r>
      <w:r>
        <w:t xml:space="preserve"> = </w:t>
      </w:r>
      <w:r>
        <w:rPr>
          <w:rFonts w:ascii="Consolas" w:hAnsi="Consolas"/>
          <w:color w:val="B91C1C"/>
          <w:sz w:val="19"/>
        </w:rPr>
        <w:t>mfCurrent + seCurrent + fiCurrent + commCurrent</w:t>
      </w:r>
      <w:r>
        <w:t xml:space="preserve"> (same gating). This is the authoritative "net worth" figure the split charts reconcile to.</w:t>
      </w:r>
    </w:p>
    <w:p>
      <w:pPr>
        <w:pStyle w:val="ListBullet"/>
      </w:pPr>
      <w:r>
        <w:rPr>
          <w:b/>
        </w:rPr>
        <w:t>FR-OV-3 Unrealized Return</w:t>
      </w:r>
      <w:r>
        <w:t xml:space="preserve"> = </w:t>
      </w:r>
      <w:r>
        <w:rPr>
          <w:rFonts w:ascii="Consolas" w:hAnsi="Consolas"/>
          <w:color w:val="B91C1C"/>
          <w:sz w:val="19"/>
        </w:rPr>
        <w:t>Total Current − Total Invested</w:t>
      </w:r>
      <w:r>
        <w:t xml:space="preserve">; </w:t>
      </w:r>
      <w:r>
        <w:rPr>
          <w:b/>
        </w:rPr>
        <w:t>Return %</w:t>
      </w:r>
      <w:r>
        <w:t xml:space="preserve"> = </w:t>
      </w:r>
      <w:r>
        <w:rPr>
          <w:rFonts w:ascii="Consolas" w:hAnsi="Consolas"/>
          <w:color w:val="B91C1C"/>
          <w:sz w:val="19"/>
        </w:rPr>
        <w:t>Unrealized / Invested × 100</w:t>
      </w:r>
      <w:r>
        <w:t xml:space="preserve"> (guarded against divide-by-zero).</w:t>
      </w:r>
    </w:p>
    <w:p>
      <w:pPr>
        <w:pStyle w:val="ListBullet"/>
      </w:pPr>
      <w:r>
        <w:rPr>
          <w:b/>
        </w:rPr>
        <w:t>FR-OV-4 Realized Return</w:t>
      </w:r>
      <w:r>
        <w:t xml:space="preserve"> = sum of per-class realized profit.</w:t>
      </w:r>
    </w:p>
    <w:p>
      <w:pPr>
        <w:pStyle w:val="ListBullet"/>
      </w:pPr>
      <w:r>
        <w:rPr>
          <w:b/>
        </w:rPr>
        <w:t>FR-OV-5 Day Change</w:t>
      </w:r>
      <w:r>
        <w:t xml:space="preserve"> = MF day change + SE day change + commodity day change.</w:t>
      </w:r>
    </w:p>
    <w:p>
      <w:pPr>
        <w:pStyle w:val="ListBullet"/>
      </w:pPr>
      <w:r>
        <w:rPr>
          <w:b/>
        </w:rPr>
        <w:t>FR-OV-6 XIRR</w:t>
      </w:r>
      <w:r>
        <w:t xml:space="preserve"> — a single portfolio XIRR from all buy/sell cash flows + a terminal "sell everything today at current value" flow.</w:t>
      </w:r>
    </w:p>
    <w:p>
      <w:pPr>
        <w:pStyle w:val="ListBullet"/>
      </w:pPr>
      <w:r>
        <w:rPr>
          <w:b/>
        </w:rPr>
        <w:t>FR-OV-7 Category cards</w:t>
      </w:r>
      <w:r>
        <w:t xml:space="preserve"> — one card per asset class showing Invested, Current, Unrealized, Realized, Return %. The header total always equals the sum of the cards.</w:t>
      </w:r>
    </w:p>
    <w:p>
      <w:pPr>
        <w:pStyle w:val="Heading1"/>
      </w:pPr>
      <w:r>
        <w:rPr>
          <w:color w:val="0F172A"/>
        </w:rPr>
        <w:t>5. Mutual Funds Module (FR-MF)</w:t>
      </w:r>
    </w:p>
    <w:p>
      <w:pPr>
        <w:pStyle w:val="ListBullet"/>
      </w:pPr>
      <w:r>
        <w:rPr>
          <w:b/>
        </w:rPr>
        <w:t>FR-MF-1 Holdings list</w:t>
      </w:r>
      <w:r>
        <w:t xml:space="preserve"> — one row per held fund: units, avg NAV, current NAV, invested, current, P&amp;L, P&amp;L %, day change, XIRR. Instruments are resolved to an AMFI </w:t>
      </w:r>
      <w:r>
        <w:rPr>
          <w:b/>
        </w:rPr>
        <w:t>Scheme Code</w:t>
      </w:r>
      <w:r>
        <w:t xml:space="preserve"> via the mapping sheet's ISIN, and NAV history is fetched from </w:t>
      </w:r>
      <w:r>
        <w:rPr>
          <w:rFonts w:ascii="Consolas" w:hAnsi="Consolas"/>
          <w:color w:val="B91C1C"/>
          <w:sz w:val="19"/>
        </w:rPr>
        <w:t>api.mfapi.in</w:t>
      </w:r>
      <w:r>
        <w:t xml:space="preserve"> (cached; concurrent fetches de-duplicated).</w:t>
      </w:r>
    </w:p>
    <w:p>
      <w:pPr>
        <w:pStyle w:val="ListBullet"/>
      </w:pPr>
      <w:r>
        <w:rPr>
          <w:b/>
        </w:rPr>
        <w:t>FR-MF-2 Open/Closed toggle</w:t>
      </w:r>
      <w:r>
        <w:t xml:space="preserve"> — show open positions (remaining units ≥ ε) or fully-closed positions.</w:t>
      </w:r>
    </w:p>
    <w:p>
      <w:pPr>
        <w:pStyle w:val="ListBullet"/>
      </w:pPr>
      <w:r>
        <w:rPr>
          <w:b/>
        </w:rPr>
        <w:t>FR-MF-3 Portfolio toggle</w:t>
      </w:r>
      <w:r>
        <w:t xml:space="preserve"> — All / per-portfolio.</w:t>
      </w:r>
    </w:p>
    <w:p>
      <w:pPr>
        <w:pStyle w:val="ListBullet"/>
      </w:pPr>
      <w:r>
        <w:rPr>
          <w:b/>
        </w:rPr>
        <w:t>FR-MF-4 Sortable columns</w:t>
      </w:r>
      <w:r>
        <w:t xml:space="preserve">, </w:t>
      </w:r>
      <w:r>
        <w:rPr>
          <w:b/>
        </w:rPr>
        <w:t>subtotal footer</w:t>
      </w:r>
      <w:r>
        <w:t xml:space="preserve">, and </w:t>
      </w:r>
      <w:r>
        <w:rPr>
          <w:b/>
        </w:rPr>
        <w:t>fold/unfold</w:t>
      </w:r>
      <w:r>
        <w:t xml:space="preserve"> (lists with &gt;3 rows collapse to just the subtotal behind a "Show N instruments" pill).</w:t>
      </w:r>
    </w:p>
    <w:p>
      <w:pPr>
        <w:pStyle w:val="ListBullet"/>
      </w:pPr>
      <w:r>
        <w:rPr>
          <w:b/>
        </w:rPr>
        <w:t>FR-MF-5 Allocation panel</w:t>
      </w:r>
      <w:r>
        <w:t xml:space="preserve"> — by market-cap segment or by portfolio.</w:t>
      </w:r>
    </w:p>
    <w:p>
      <w:pPr>
        <w:pStyle w:val="ListBullet"/>
      </w:pPr>
      <w:r>
        <w:rPr>
          <w:b/>
        </w:rPr>
        <w:t>FR-MF-6 Unpriced funds</w:t>
      </w:r>
      <w:r>
        <w:t xml:space="preserve"> — a held fund whose NAV can't be resolved is valued </w:t>
      </w:r>
      <w:r>
        <w:rPr>
          <w:b/>
        </w:rPr>
        <w:t>at cost</w:t>
      </w:r>
      <w:r>
        <w:t xml:space="preserve"> (nets to ₹0 P&amp;L) so it never appears as a phantom loss.</w:t>
      </w:r>
    </w:p>
    <w:p>
      <w:pPr>
        <w:pStyle w:val="ListBullet"/>
      </w:pPr>
      <w:r>
        <w:rPr>
          <w:b/>
        </w:rPr>
        <w:t>FR-MF-7 Corporate actions</w:t>
      </w:r>
      <w:r>
        <w:t xml:space="preserve"> — </w:t>
      </w:r>
      <w:r>
        <w:rPr>
          <w:rFonts w:ascii="Consolas" w:hAnsi="Consolas"/>
          <w:color w:val="B91C1C"/>
          <w:sz w:val="19"/>
        </w:rPr>
        <w:t>split</w:t>
      </w:r>
      <w:r>
        <w:t>/</w:t>
      </w:r>
      <w:r>
        <w:rPr>
          <w:rFonts w:ascii="Consolas" w:hAnsi="Consolas"/>
          <w:color w:val="B91C1C"/>
          <w:sz w:val="19"/>
        </w:rPr>
        <w:t>bonus</w:t>
      </w:r>
      <w:r>
        <w:t xml:space="preserve"> transaction types add units at zero cost across holdings, Overview, and charts consistently.</w:t>
      </w:r>
    </w:p>
    <w:p>
      <w:pPr>
        <w:pStyle w:val="Heading1"/>
      </w:pPr>
      <w:r>
        <w:rPr>
          <w:color w:val="0F172A"/>
        </w:rPr>
        <w:t>6. Stocks / ETF Module (FR-SE)</w:t>
      </w:r>
    </w:p>
    <w:p>
      <w:pPr>
        <w:pStyle w:val="ListBullet"/>
      </w:pPr>
      <w:r>
        <w:rPr>
          <w:b/>
        </w:rPr>
        <w:t>FR-SE-1 Region split</w:t>
      </w:r>
      <w:r>
        <w:t xml:space="preserve"> — India and US holdings render as </w:t>
      </w:r>
      <w:r>
        <w:rPr>
          <w:b/>
        </w:rPr>
        <w:t>independent</w:t>
      </w:r>
      <w:r>
        <w:t xml:space="preserve"> tables (each with its own Open/Closed, Portfolio, and sort state).</w:t>
      </w:r>
    </w:p>
    <w:p>
      <w:pPr>
        <w:pStyle w:val="ListBullet"/>
      </w:pPr>
      <w:r>
        <w:rPr>
          <w:b/>
        </w:rPr>
        <w:t>FR-SE-2 Per-instrument row</w:t>
      </w:r>
      <w:r>
        <w:t xml:space="preserve"> — instrument, invested, current, P&amp;L · Return, day change; ETF badge from mapping category.</w:t>
      </w:r>
    </w:p>
    <w:p>
      <w:pPr>
        <w:pStyle w:val="ListBullet"/>
      </w:pPr>
      <w:r>
        <w:rPr>
          <w:b/>
        </w:rPr>
        <w:t>FR-SE-3 USD→INR</w:t>
      </w:r>
      <w:r>
        <w:t xml:space="preserve"> — US instruments are converted to INR; historical buy prices use the USD/INR rate on the buy date (</w:t>
      </w:r>
      <w:r>
        <w:rPr>
          <w:rFonts w:ascii="Consolas" w:hAnsi="Consolas"/>
          <w:color w:val="B91C1C"/>
          <w:sz w:val="19"/>
        </w:rPr>
        <w:t>usd_inr_history</w:t>
      </w:r>
      <w:r>
        <w:t>), current values use today's rate.</w:t>
      </w:r>
    </w:p>
    <w:p>
      <w:pPr>
        <w:pStyle w:val="ListBullet"/>
      </w:pPr>
      <w:r>
        <w:rPr>
          <w:b/>
        </w:rPr>
        <w:t>FR-SE-4 Per-(portfolio × instrument) FIFO</w:t>
      </w:r>
      <w:r>
        <w:t xml:space="preserve"> — holdings are built per portfolio so the same instrument held by two portfolios never mixes lots.</w:t>
      </w:r>
    </w:p>
    <w:p>
      <w:pPr>
        <w:pStyle w:val="ListBullet"/>
      </w:pPr>
      <w:r>
        <w:rPr>
          <w:b/>
        </w:rPr>
        <w:t>FR-SE-5 Market-Cap Split</w:t>
      </w:r>
      <w:r>
        <w:t xml:space="preserve"> — a bar of Large/Mid/Small-cap exposure for direct equity, driven by the mapping's category/segment/sub-category text; supports an "amount vs %" and a Portfolio toggle.</w:t>
      </w:r>
    </w:p>
    <w:p>
      <w:pPr>
        <w:pStyle w:val="ListBullet"/>
      </w:pPr>
      <w:r>
        <w:rPr>
          <w:b/>
        </w:rPr>
        <w:t>FR-SE-6 Fold/subtotal/sort</w:t>
      </w:r>
      <w:r>
        <w:t xml:space="preserve"> — same as MF.</w:t>
      </w:r>
    </w:p>
    <w:p>
      <w:pPr>
        <w:pStyle w:val="Heading1"/>
      </w:pPr>
      <w:r>
        <w:rPr>
          <w:color w:val="0F172A"/>
        </w:rPr>
        <w:t>7. Fixed Income Module (FR-FI)</w:t>
      </w:r>
    </w:p>
    <w:p>
      <w:r>
        <w:t xml:space="preserve">Reads the </w:t>
      </w:r>
      <w:r>
        <w:rPr>
          <w:rFonts w:ascii="Consolas" w:hAnsi="Consolas"/>
          <w:color w:val="B91C1C"/>
          <w:sz w:val="19"/>
        </w:rPr>
        <w:t>fd</w:t>
      </w:r>
      <w:r>
        <w:t xml:space="preserve"> sheet. Sub-categories are handled distinctly:</w:t>
      </w:r>
    </w:p>
    <w:p>
      <w:pPr>
        <w:pStyle w:val="ListBullet"/>
      </w:pPr>
      <w:r>
        <w:rPr>
          <w:b/>
        </w:rPr>
        <w:t>FR-FI-1 Fixed Deposit</w:t>
      </w:r>
      <w:r>
        <w:t xml:space="preserve"> — Current = </w:t>
      </w:r>
      <w:r>
        <w:rPr>
          <w:rFonts w:ascii="Consolas" w:hAnsi="Consolas"/>
          <w:color w:val="B91C1C"/>
          <w:sz w:val="19"/>
        </w:rPr>
        <w:t>Invested × (1 + rate/4)^quarters</w:t>
      </w:r>
      <w:r>
        <w:t xml:space="preserve">, where </w:t>
      </w:r>
      <w:r>
        <w:rPr>
          <w:rFonts w:ascii="Consolas" w:hAnsi="Consolas"/>
          <w:color w:val="B91C1C"/>
          <w:sz w:val="19"/>
        </w:rPr>
        <w:t>quarters</w:t>
      </w:r>
      <w:r>
        <w:t xml:space="preserve"> = full elapsed quarters from start to min(today, maturity). (Banks credit quarterly.)</w:t>
      </w:r>
    </w:p>
    <w:p>
      <w:pPr>
        <w:pStyle w:val="ListBullet"/>
      </w:pPr>
      <w:r>
        <w:rPr>
          <w:b/>
        </w:rPr>
        <w:t>FR-FI-2 Investment Corpus / Savings Account</w:t>
      </w:r>
      <w:r>
        <w:t xml:space="preserve"> — Current = </w:t>
      </w:r>
      <w:r>
        <w:rPr>
          <w:rFonts w:ascii="Consolas" w:hAnsi="Consolas"/>
          <w:color w:val="B91C1C"/>
          <w:sz w:val="19"/>
        </w:rPr>
        <w:t>Invested × (1 + rate/12)^months</w:t>
      </w:r>
      <w:r>
        <w:t xml:space="preserve"> (monthly compounding); deduped to the latest transaction per Portfolio/Bank/Instrument.</w:t>
      </w:r>
    </w:p>
    <w:p>
      <w:pPr>
        <w:pStyle w:val="ListBullet"/>
      </w:pPr>
      <w:r>
        <w:rPr>
          <w:b/>
        </w:rPr>
        <w:t>FR-FI-3 Provident Fund / EPF / PPF</w:t>
      </w:r>
      <w:r>
        <w:t xml:space="preserve"> — deposit + interest + withdrawal rows are accumulated per instrument: </w:t>
      </w:r>
      <w:r>
        <w:rPr>
          <w:rFonts w:ascii="Consolas" w:hAnsi="Consolas"/>
          <w:color w:val="B91C1C"/>
          <w:sz w:val="19"/>
        </w:rPr>
        <w:t>invested</w:t>
      </w:r>
      <w:r>
        <w:t xml:space="preserve"> = remaining deposit lots (FIFO after withdrawals); </w:t>
      </w:r>
      <w:r>
        <w:rPr>
          <w:rFonts w:ascii="Consolas" w:hAnsi="Consolas"/>
          <w:color w:val="B91C1C"/>
          <w:sz w:val="19"/>
        </w:rPr>
        <w:t>current</w:t>
      </w:r>
      <w:r>
        <w:t xml:space="preserve"> = invested + un-withdrawn interest; realized = interest proportional to withdrawn principal.</w:t>
      </w:r>
    </w:p>
    <w:p>
      <w:pPr>
        <w:pStyle w:val="ListBullet"/>
      </w:pPr>
      <w:r>
        <w:rPr>
          <w:b/>
        </w:rPr>
        <w:t>FR-FI-4 Holdings table</w:t>
      </w:r>
      <w:r>
        <w:t xml:space="preserve"> — Instrument, Sub-Cat, Invested, Current, Unrealized, Return %; IDLE badge for non-interest-bearing; portfolio toggle; fold/subtotal/sort.</w:t>
      </w:r>
    </w:p>
    <w:p>
      <w:pPr>
        <w:pStyle w:val="ListBullet"/>
      </w:pPr>
      <w:r>
        <w:rPr>
          <w:b/>
        </w:rPr>
        <w:t>FR-FI-5 Allocation</w:t>
      </w:r>
      <w:r>
        <w:t xml:space="preserve"> — by sub-category or portfolio.</w:t>
      </w:r>
    </w:p>
    <w:p>
      <w:pPr>
        <w:pStyle w:val="Heading1"/>
      </w:pPr>
      <w:r>
        <w:rPr>
          <w:color w:val="0F172A"/>
        </w:rPr>
        <w:t>8. Commodity Module (FR-CM)</w:t>
      </w:r>
    </w:p>
    <w:p>
      <w:r>
        <w:t xml:space="preserve">Physical gold/silver held in the </w:t>
      </w:r>
      <w:r>
        <w:rPr>
          <w:rFonts w:ascii="Consolas" w:hAnsi="Consolas"/>
          <w:color w:val="B91C1C"/>
          <w:sz w:val="19"/>
        </w:rPr>
        <w:t>fd</w:t>
      </w:r>
      <w:r>
        <w:t xml:space="preserve"> sheet (Sub Category = gold/silver, Grams column).</w:t>
      </w:r>
    </w:p>
    <w:p>
      <w:pPr>
        <w:pStyle w:val="ListBullet"/>
      </w:pPr>
      <w:r>
        <w:rPr>
          <w:b/>
        </w:rPr>
        <w:t>FR-CM-1 Current value</w:t>
      </w:r>
      <w:r>
        <w:t xml:space="preserve"> = </w:t>
      </w:r>
      <w:r>
        <w:rPr>
          <w:rFonts w:ascii="Consolas" w:hAnsi="Consolas"/>
          <w:color w:val="B91C1C"/>
          <w:sz w:val="19"/>
        </w:rPr>
        <w:t>grams × current gold rate (₹/g)</w:t>
      </w:r>
      <w:r>
        <w:t xml:space="preserve">. The gold rate is fetched keyless from a currency-API CDN and multiplied by a user-configurable </w:t>
      </w:r>
      <w:r>
        <w:rPr>
          <w:b/>
        </w:rPr>
        <w:t>India retail premium %</w:t>
      </w:r>
      <w:r>
        <w:t xml:space="preserve"> (import duty + GST).</w:t>
      </w:r>
    </w:p>
    <w:p>
      <w:pPr>
        <w:pStyle w:val="ListBullet"/>
      </w:pPr>
      <w:r>
        <w:rPr>
          <w:b/>
        </w:rPr>
        <w:t>FR-CM-2 Historical valuation</w:t>
      </w:r>
      <w:r>
        <w:t xml:space="preserve"> — buy/sell dates use the gold rate on that date (same premium applied to buy and current, so premium isn't a phantom gain).</w:t>
      </w:r>
    </w:p>
    <w:p>
      <w:pPr>
        <w:pStyle w:val="ListBullet"/>
      </w:pPr>
      <w:r>
        <w:rPr>
          <w:b/>
        </w:rPr>
        <w:t>FR-CM-3 Holdings table</w:t>
      </w:r>
      <w:r>
        <w:t xml:space="preserve"> — Instrument, Sub-Cat, rate, grams, invested, current, day change, return %, with a subtotal + fold.</w:t>
      </w:r>
    </w:p>
    <w:p>
      <w:pPr>
        <w:pStyle w:val="ListBullet"/>
      </w:pPr>
      <w:r>
        <w:rPr>
          <w:b/>
        </w:rPr>
        <w:t>FR-CM-4 XIRR</w:t>
      </w:r>
      <w:r>
        <w:t xml:space="preserve"> — commodity buys are negative cash flows on the transaction date; a terminal current-value flow closes it.</w:t>
      </w:r>
    </w:p>
    <w:p>
      <w:pPr>
        <w:pStyle w:val="Heading1"/>
      </w:pPr>
      <w:r>
        <w:rPr>
          <w:color w:val="0F172A"/>
        </w:rPr>
        <w:t>9. Charts &amp; Analytics (FR-CH)</w:t>
      </w:r>
    </w:p>
    <w:p>
      <w:pPr>
        <w:pStyle w:val="ListBullet"/>
      </w:pPr>
      <w:r>
        <w:rPr>
          <w:b/>
        </w:rPr>
        <w:t>FR-CH-1 Benchmark Comparison</w:t>
      </w:r>
      <w:r>
        <w:t xml:space="preserve"> — portfolio vs a selectable index (Nifty 50 / Next 50 / etc.). Only </w:t>
      </w:r>
      <w:r>
        <w:rPr>
          <w:b/>
        </w:rPr>
        <w:t>equity</w:t>
      </w:r>
      <w:r>
        <w:t xml:space="preserve"> (MF + Stocks/ETF + commodity) is considered; Fixed Income is excluded.</w:t>
      </w:r>
    </w:p>
    <w:p>
      <w:pPr>
        <w:pStyle w:val="ListBullet"/>
      </w:pPr>
      <w:r>
        <w:rPr>
          <w:b/>
        </w:rPr>
        <w:t>FR-CH-2 Growth of ₹100</w:t>
      </w:r>
      <w:r>
        <w:t xml:space="preserve"> — indexed portfolio NAV vs the index since inception; the selected index updates the comparison line.</w:t>
      </w:r>
    </w:p>
    <w:p>
      <w:pPr>
        <w:pStyle w:val="ListBullet"/>
      </w:pPr>
      <w:r>
        <w:rPr>
          <w:b/>
        </w:rPr>
        <w:t>FR-CH-3 Account Value Over Time</w:t>
      </w:r>
      <w:r>
        <w:t xml:space="preserve"> — absolute portfolio value timeline (includes all classes when no exclusion is active).</w:t>
      </w:r>
    </w:p>
    <w:p>
      <w:pPr>
        <w:pStyle w:val="ListBullet"/>
      </w:pPr>
      <w:r>
        <w:rPr>
          <w:b/>
        </w:rPr>
        <w:t>FR-CH-4 Portfolio Split</w:t>
      </w:r>
      <w:r>
        <w:t xml:space="preserve"> — invested/current split by portfolio, with per-portfolio category chips (Equity/Fixed Income/Commodity). Toggle to </w:t>
      </w:r>
      <w:r>
        <w:rPr>
          <w:b/>
        </w:rPr>
        <w:t>Region Split</w:t>
      </w:r>
      <w:r>
        <w:t xml:space="preserve"> (India/US).</w:t>
      </w:r>
    </w:p>
    <w:p>
      <w:pPr>
        <w:pStyle w:val="ListBullet"/>
      </w:pPr>
      <w:r>
        <w:rPr>
          <w:b/>
        </w:rPr>
        <w:t>FR-CH-5 Category Split</w:t>
      </w:r>
      <w:r>
        <w:t xml:space="preserve"> — split by asset class (Equity / Fixed Income / Commodity), anchored to the Overview current values so the total always matches Portfolio Split. Commodity-category MF/ETF are reclassified from Equity into Commodity.</w:t>
      </w:r>
    </w:p>
    <w:p>
      <w:pPr>
        <w:pStyle w:val="ListBullet"/>
      </w:pPr>
      <w:r>
        <w:rPr>
          <w:b/>
        </w:rPr>
        <w:t>FR-CH-6 Monthly Investment by Category</w:t>
      </w:r>
      <w:r>
        <w:t xml:space="preserve"> — bar chart of monthly inflows (and net = inflow − outflow) grouped by instrument category, with year / all-time toggles.</w:t>
      </w:r>
    </w:p>
    <w:p>
      <w:pPr>
        <w:pStyle w:val="ListBullet"/>
      </w:pPr>
      <w:r>
        <w:rPr>
          <w:b/>
        </w:rPr>
        <w:t>FR-CH-7 Rolling Returns / CAGR</w:t>
      </w:r>
      <w:r>
        <w:t xml:space="preserve"> — min / median / max CAGR over all rolling windows of N years.</w:t>
      </w:r>
    </w:p>
    <w:p>
      <w:pPr>
        <w:pStyle w:val="Heading1"/>
      </w:pPr>
      <w:r>
        <w:rPr>
          <w:color w:val="0F172A"/>
        </w:rPr>
        <w:t>10. Calculation Logic Reference (FR-CALC)</w:t>
      </w:r>
    </w:p>
    <w:p>
      <w:pPr>
        <w:pStyle w:val="Heading2"/>
      </w:pPr>
      <w:r>
        <w:rPr>
          <w:color w:val="334155"/>
        </w:rPr>
        <w:t>10.1 FIFO lot matching</w:t>
      </w:r>
    </w:p>
    <w:p>
      <w:r>
        <w:t xml:space="preserve">Transactions are date-ordered (ties broken by input order). Buys push </w:t>
      </w:r>
      <w:r>
        <w:rPr>
          <w:rFonts w:ascii="Consolas" w:hAnsi="Consolas"/>
          <w:color w:val="B91C1C"/>
          <w:sz w:val="19"/>
        </w:rPr>
        <w:t>{units, price}</w:t>
      </w:r>
      <w:r>
        <w:t xml:space="preserve"> lots; sells consume the </w:t>
      </w:r>
      <w:r>
        <w:rPr>
          <w:b/>
        </w:rPr>
        <w:t>oldest</w:t>
      </w:r>
      <w:r>
        <w:t xml:space="preserve"> lots first.</w:t>
      </w:r>
    </w:p>
    <w:p>
      <w:pPr>
        <w:pStyle w:val="ListBullet"/>
      </w:pPr>
      <w:r>
        <w:rPr>
          <w:b/>
        </w:rPr>
        <w:t>Remaining units / invested cost</w:t>
      </w:r>
      <w:r>
        <w:t xml:space="preserve"> = sum of un-consumed lots (</w:t>
      </w:r>
      <w:r>
        <w:rPr>
          <w:rFonts w:ascii="Consolas" w:hAnsi="Consolas"/>
          <w:color w:val="B91C1C"/>
          <w:sz w:val="19"/>
        </w:rPr>
        <w:t>Σ units × price</w:t>
      </w:r>
      <w:r>
        <w:t>).</w:t>
      </w:r>
    </w:p>
    <w:p>
      <w:pPr>
        <w:pStyle w:val="ListBullet"/>
      </w:pPr>
      <w:r>
        <w:rPr>
          <w:b/>
        </w:rPr>
        <w:t>Average cost</w:t>
      </w:r>
      <w:r>
        <w:t xml:space="preserve"> = remaining invested ÷ remaining units.</w:t>
      </w:r>
    </w:p>
    <w:p>
      <w:pPr>
        <w:pStyle w:val="ListBullet"/>
      </w:pPr>
      <w:r>
        <w:rPr>
          <w:rFonts w:ascii="Consolas" w:hAnsi="Consolas"/>
          <w:color w:val="B91C1C"/>
          <w:sz w:val="19"/>
        </w:rPr>
        <w:t>split</w:t>
      </w:r>
      <w:r>
        <w:t>/</w:t>
      </w:r>
      <w:r>
        <w:rPr>
          <w:rFonts w:ascii="Consolas" w:hAnsi="Consolas"/>
          <w:color w:val="B91C1C"/>
          <w:sz w:val="19"/>
        </w:rPr>
        <w:t>bonus</w:t>
      </w:r>
      <w:r>
        <w:t xml:space="preserve"> are treated as buys at </w:t>
      </w:r>
      <w:r>
        <w:rPr>
          <w:b/>
        </w:rPr>
        <w:t>price 0</w:t>
      </w:r>
      <w:r>
        <w:t>.</w:t>
      </w:r>
    </w:p>
    <w:p>
      <w:pPr>
        <w:pStyle w:val="Heading2"/>
      </w:pPr>
      <w:r>
        <w:rPr>
          <w:color w:val="334155"/>
        </w:rPr>
        <w:t>10.2 Realized return</w:t>
      </w:r>
    </w:p>
    <w:p>
      <w:r>
        <w:t xml:space="preserve">For each sell, cost of sold units = FIFO-matched lot cost; </w:t>
      </w:r>
      <w:r>
        <w:rPr>
          <w:b/>
        </w:rPr>
        <w:t>proceeds are clamped to matched units</w:t>
      </w:r>
      <w:r>
        <w:t xml:space="preserve"> (</w:t>
      </w:r>
      <w:r>
        <w:rPr>
          <w:rFonts w:ascii="Consolas" w:hAnsi="Consolas"/>
          <w:color w:val="B91C1C"/>
          <w:sz w:val="19"/>
        </w:rPr>
        <w:t>matchedUnits × sellPrice</w:t>
      </w:r>
      <w:r>
        <w:t>) so selling more than was ever bought cannot fabricate zero-cost profit. Realized P&amp;L = proceeds − matched cost.</w:t>
      </w:r>
    </w:p>
    <w:p>
      <w:pPr>
        <w:pStyle w:val="Heading2"/>
      </w:pPr>
      <w:r>
        <w:rPr>
          <w:color w:val="334155"/>
        </w:rPr>
        <w:t>10.3 Current value</w:t>
      </w:r>
    </w:p>
    <w:p>
      <w:pPr>
        <w:pStyle w:val="ListBullet"/>
      </w:pPr>
      <w:r>
        <w:t xml:space="preserve">MF: </w:t>
      </w:r>
      <w:r>
        <w:rPr>
          <w:rFonts w:ascii="Consolas" w:hAnsi="Consolas"/>
          <w:color w:val="B91C1C"/>
          <w:sz w:val="19"/>
        </w:rPr>
        <w:t>remaining units × latest NAV</w:t>
      </w:r>
      <w:r>
        <w:t xml:space="preserve"> (unpriced → at cost).</w:t>
      </w:r>
    </w:p>
    <w:p>
      <w:pPr>
        <w:pStyle w:val="ListBullet"/>
      </w:pPr>
      <w:r>
        <w:t xml:space="preserve">SE: </w:t>
      </w:r>
      <w:r>
        <w:rPr>
          <w:rFonts w:ascii="Consolas" w:hAnsi="Consolas"/>
          <w:color w:val="B91C1C"/>
          <w:sz w:val="19"/>
        </w:rPr>
        <w:t>remaining units × latest price</w:t>
      </w:r>
      <w:r>
        <w:t xml:space="preserve"> (× today's USD/INR for US).</w:t>
      </w:r>
    </w:p>
    <w:p>
      <w:pPr>
        <w:pStyle w:val="ListBullet"/>
      </w:pPr>
      <w:r>
        <w:t>FI: per sub-category formula (§7).</w:t>
      </w:r>
    </w:p>
    <w:p>
      <w:pPr>
        <w:pStyle w:val="ListBullet"/>
      </w:pPr>
      <w:r>
        <w:t xml:space="preserve">Commodity: </w:t>
      </w:r>
      <w:r>
        <w:rPr>
          <w:rFonts w:ascii="Consolas" w:hAnsi="Consolas"/>
          <w:color w:val="B91C1C"/>
          <w:sz w:val="19"/>
        </w:rPr>
        <w:t>grams × gold rate × premium</w:t>
      </w:r>
      <w:r>
        <w:t>.</w:t>
      </w:r>
    </w:p>
    <w:p>
      <w:pPr>
        <w:pStyle w:val="Heading2"/>
      </w:pPr>
      <w:r>
        <w:rPr>
          <w:color w:val="334155"/>
        </w:rPr>
        <w:t>10.4 XIRR (`calculateXIRR`)</w:t>
      </w:r>
    </w:p>
    <w:p>
      <w:r>
        <w:t xml:space="preserve">Solves </w:t>
      </w:r>
      <w:r>
        <w:rPr>
          <w:rFonts w:ascii="Consolas" w:hAnsi="Consolas"/>
          <w:color w:val="B91C1C"/>
          <w:sz w:val="19"/>
        </w:rPr>
        <w:t>Σ amount / (1 + r)^t = 0</w:t>
      </w:r>
      <w:r>
        <w:t xml:space="preserve">, where </w:t>
      </w:r>
      <w:r>
        <w:rPr>
          <w:rFonts w:ascii="Consolas" w:hAnsi="Consolas"/>
          <w:color w:val="B91C1C"/>
          <w:sz w:val="19"/>
        </w:rPr>
        <w:t>t = days / 365.25</w:t>
      </w:r>
      <w:r>
        <w:t>.</w:t>
      </w:r>
    </w:p>
    <w:p>
      <w:pPr>
        <w:pStyle w:val="ListBullet"/>
      </w:pPr>
      <w:r>
        <w:rPr>
          <w:b/>
        </w:rPr>
        <w:t>Newton–Raphson</w:t>
      </w:r>
      <w:r>
        <w:t xml:space="preserve"> first (with derivative); falls back to </w:t>
      </w:r>
      <w:r>
        <w:rPr>
          <w:b/>
        </w:rPr>
        <w:t>bisection</w:t>
      </w:r>
      <w:r>
        <w:t xml:space="preserve"> on </w:t>
      </w:r>
      <w:r>
        <w:rPr>
          <w:rFonts w:ascii="Consolas" w:hAnsi="Consolas"/>
          <w:color w:val="B91C1C"/>
          <w:sz w:val="19"/>
        </w:rPr>
        <w:t>[-0.999999, high]</w:t>
      </w:r>
      <w:r>
        <w:t>.</w:t>
      </w:r>
    </w:p>
    <w:p>
      <w:pPr>
        <w:pStyle w:val="ListBullet"/>
      </w:pPr>
      <w:r>
        <w:t xml:space="preserve">The upper bracket </w:t>
      </w:r>
      <w:r>
        <w:rPr>
          <w:b/>
        </w:rPr>
        <w:t>auto-grows</w:t>
      </w:r>
      <w:r>
        <w:t xml:space="preserve"> (doubles) until it brackets the root, so extreme returns still resolve instead of showing "—".</w:t>
      </w:r>
    </w:p>
    <w:p>
      <w:pPr>
        <w:pStyle w:val="ListBullet"/>
      </w:pPr>
      <w:r>
        <w:t>Cash-flow sign convention: buys negative, sells/terminal value positive.</w:t>
      </w:r>
    </w:p>
    <w:p>
      <w:pPr>
        <w:pStyle w:val="Heading2"/>
      </w:pPr>
      <w:r>
        <w:rPr>
          <w:color w:val="334155"/>
        </w:rPr>
        <w:t>10.5 CAGR &amp; rolling returns</w:t>
      </w:r>
    </w:p>
    <w:p>
      <w:pPr>
        <w:pStyle w:val="ListBullet"/>
      </w:pPr>
      <w:r>
        <w:t xml:space="preserve">Point-to-point CAGR = </w:t>
      </w:r>
      <w:r>
        <w:rPr>
          <w:rFonts w:ascii="Consolas" w:hAnsi="Consolas"/>
          <w:color w:val="B91C1C"/>
          <w:sz w:val="19"/>
        </w:rPr>
        <w:t>(end/start)^(1/years) − 1</w:t>
      </w:r>
      <w:r>
        <w:t xml:space="preserve">, </w:t>
      </w:r>
      <w:r>
        <w:rPr>
          <w:rFonts w:ascii="Consolas" w:hAnsi="Consolas"/>
          <w:color w:val="B91C1C"/>
          <w:sz w:val="19"/>
        </w:rPr>
        <w:t>years = ms / (365.25 d)</w:t>
      </w:r>
      <w:r>
        <w:t>.</w:t>
      </w:r>
    </w:p>
    <w:p>
      <w:pPr>
        <w:pStyle w:val="ListBullet"/>
      </w:pPr>
      <w:r>
        <w:t xml:space="preserve">Rolling: every window of N years across the monthly value series; only finite CAGR &gt; −100 % is kept. </w:t>
      </w:r>
      <w:r>
        <w:rPr>
          <w:b/>
        </w:rPr>
        <w:t>Median</w:t>
      </w:r>
      <w:r>
        <w:t xml:space="preserve"> averages the two central values for even-length sets.</w:t>
      </w:r>
    </w:p>
    <w:p>
      <w:pPr>
        <w:pStyle w:val="Heading2"/>
      </w:pPr>
      <w:r>
        <w:rPr>
          <w:color w:val="334155"/>
        </w:rPr>
        <w:t>10.6 Compounding period counts</w:t>
      </w:r>
    </w:p>
    <w:p>
      <w:r>
        <w:rPr>
          <w:rFonts w:ascii="Consolas" w:hAnsi="Consolas"/>
          <w:color w:val="B91C1C"/>
          <w:sz w:val="19"/>
        </w:rPr>
        <w:t>countElapsedMonths</w:t>
      </w:r>
      <w:r>
        <w:t xml:space="preserve"> / </w:t>
      </w:r>
      <w:r>
        <w:rPr>
          <w:rFonts w:ascii="Consolas" w:hAnsi="Consolas"/>
          <w:color w:val="B91C1C"/>
          <w:sz w:val="19"/>
        </w:rPr>
        <w:t>countElapsedQuarters</w:t>
      </w:r>
      <w:r>
        <w:t xml:space="preserve"> count </w:t>
      </w:r>
      <w:r>
        <w:rPr>
          <w:b/>
        </w:rPr>
        <w:t>full</w:t>
      </w:r>
      <w:r>
        <w:t xml:space="preserve"> periods from the original start date, with the day clamped to the target month's length (so Jan 31 + 1 month = Feb 28, not Mar 3, and no forward drift).</w:t>
      </w:r>
    </w:p>
    <w:p>
      <w:pPr>
        <w:pStyle w:val="Heading2"/>
      </w:pPr>
      <w:r>
        <w:rPr>
          <w:color w:val="334155"/>
        </w:rPr>
        <w:t>10.7 USD→INR</w:t>
      </w:r>
    </w:p>
    <w:p>
      <w:pPr>
        <w:pStyle w:val="ListBullet"/>
      </w:pPr>
      <w:r>
        <w:t xml:space="preserve">Historical: </w:t>
      </w:r>
      <w:r>
        <w:rPr>
          <w:rFonts w:ascii="Consolas" w:hAnsi="Consolas"/>
          <w:color w:val="B91C1C"/>
          <w:sz w:val="19"/>
        </w:rPr>
        <w:t>usd_inr_history[buyDate]</w:t>
      </w:r>
      <w:r>
        <w:t xml:space="preserve"> (fallback 84).</w:t>
      </w:r>
    </w:p>
    <w:p>
      <w:pPr>
        <w:pStyle w:val="ListBullet"/>
      </w:pPr>
      <w:r>
        <w:t xml:space="preserve">Current: today's </w:t>
      </w:r>
      <w:r>
        <w:rPr>
          <w:rFonts w:ascii="Consolas" w:hAnsi="Consolas"/>
          <w:color w:val="B91C1C"/>
          <w:sz w:val="19"/>
        </w:rPr>
        <w:t>__USD_INR__</w:t>
      </w:r>
      <w:r>
        <w:t xml:space="preserve"> rate from </w:t>
      </w:r>
      <w:r>
        <w:rPr>
          <w:rFonts w:ascii="Consolas" w:hAnsi="Consolas"/>
          <w:color w:val="B91C1C"/>
          <w:sz w:val="19"/>
        </w:rPr>
        <w:t>stock_prices.json</w:t>
      </w:r>
      <w:r>
        <w:t>.</w:t>
      </w:r>
    </w:p>
    <w:p>
      <w:pPr>
        <w:pStyle w:val="Heading2"/>
      </w:pPr>
      <w:r>
        <w:rPr>
          <w:color w:val="334155"/>
        </w:rPr>
        <w:t>10.8 Gold pricing</w:t>
      </w:r>
    </w:p>
    <w:p>
      <w:pPr>
        <w:pStyle w:val="ListBullet"/>
      </w:pPr>
      <w:r>
        <w:t xml:space="preserve">Spot ₹/g = </w:t>
      </w:r>
      <w:r>
        <w:rPr>
          <w:rFonts w:ascii="Consolas" w:hAnsi="Consolas"/>
          <w:color w:val="B91C1C"/>
          <w:sz w:val="19"/>
        </w:rPr>
        <w:t>XAU_INR / 31.1035</w:t>
      </w:r>
      <w:r>
        <w:t xml:space="preserve"> from a keyless currency-API CDN.</w:t>
      </w:r>
    </w:p>
    <w:p>
      <w:pPr>
        <w:pStyle w:val="ListBullet"/>
      </w:pPr>
      <w:r>
        <w:t xml:space="preserve">Retail value = spot × </w:t>
      </w:r>
      <w:r>
        <w:rPr>
          <w:rFonts w:ascii="Consolas" w:hAnsi="Consolas"/>
          <w:color w:val="B91C1C"/>
          <w:sz w:val="19"/>
        </w:rPr>
        <w:t>(1 + premium% / 100)</w:t>
      </w:r>
      <w:r>
        <w:t>.</w:t>
      </w:r>
    </w:p>
    <w:p>
      <w:pPr>
        <w:pStyle w:val="ListBullet"/>
      </w:pPr>
      <w:r>
        <w:t>Day change = today's ₹/g − yesterday's ₹/g (raw delta cached pre-premium; premium applied on read).</w:t>
      </w:r>
    </w:p>
    <w:p>
      <w:pPr>
        <w:pStyle w:val="Heading2"/>
      </w:pPr>
      <w:r>
        <w:rPr>
          <w:color w:val="334155"/>
        </w:rPr>
        <w:t>10.9 Number parsing</w:t>
      </w:r>
    </w:p>
    <w:p>
      <w:r>
        <w:rPr>
          <w:rFonts w:ascii="Consolas" w:hAnsi="Consolas"/>
          <w:color w:val="B91C1C"/>
          <w:sz w:val="19"/>
        </w:rPr>
        <w:t>parseNumber</w:t>
      </w:r>
      <w:r>
        <w:t xml:space="preserve"> strips ₹, commas, spaces, and handles parenthesised negatives / blank / NaN → 0. </w:t>
      </w:r>
      <w:r>
        <w:rPr>
          <w:rFonts w:ascii="Consolas" w:hAnsi="Consolas"/>
          <w:color w:val="B91C1C"/>
          <w:sz w:val="19"/>
        </w:rPr>
        <w:t>parsePercentRate</w:t>
      </w:r>
      <w:r>
        <w:t xml:space="preserve"> normalises "8%", "8", "0.08" consistently.</w:t>
      </w:r>
    </w:p>
    <w:p>
      <w:pPr>
        <w:pStyle w:val="Heading1"/>
      </w:pPr>
      <w:r>
        <w:rPr>
          <w:color w:val="0F172A"/>
        </w:rPr>
        <w:t>11. Expense Manager (FR-EXP)</w:t>
      </w:r>
    </w:p>
    <w:p>
      <w:r>
        <w:t>Backed by Supabase tables (per-user, RLS).</w:t>
      </w:r>
    </w:p>
    <w:p>
      <w:pPr>
        <w:pStyle w:val="Heading2"/>
      </w:pPr>
      <w:r>
        <w:rPr>
          <w:color w:val="334155"/>
        </w:rPr>
        <w:t>11.1 Master data</w:t>
      </w:r>
    </w:p>
    <w:p>
      <w:pPr>
        <w:pStyle w:val="ListBullet"/>
      </w:pPr>
      <w:r>
        <w:rPr>
          <w:b/>
        </w:rPr>
        <w:t>Accounts</w:t>
      </w:r>
      <w:r>
        <w:t xml:space="preserve"> (</w:t>
      </w:r>
      <w:r>
        <w:rPr>
          <w:rFonts w:ascii="Consolas" w:hAnsi="Consolas"/>
          <w:color w:val="B91C1C"/>
          <w:sz w:val="19"/>
        </w:rPr>
        <w:t>expense_accounts</w:t>
      </w:r>
      <w:r>
        <w:t>) — name, type (cash/bank/card/wallet/other), opening balance, contributing-account flag.</w:t>
      </w:r>
    </w:p>
    <w:p>
      <w:pPr>
        <w:pStyle w:val="ListBullet"/>
      </w:pPr>
      <w:r>
        <w:rPr>
          <w:b/>
        </w:rPr>
        <w:t>Categories</w:t>
      </w:r>
      <w:r>
        <w:t xml:space="preserve"> (</w:t>
      </w:r>
      <w:r>
        <w:rPr>
          <w:rFonts w:ascii="Consolas" w:hAnsi="Consolas"/>
          <w:color w:val="B91C1C"/>
          <w:sz w:val="19"/>
        </w:rPr>
        <w:t>expense_categories</w:t>
      </w:r>
      <w:r>
        <w:t>) — expense/income/budget, parent → sub-category drill-down; budget categories link to an account.</w:t>
      </w:r>
    </w:p>
    <w:p>
      <w:pPr>
        <w:pStyle w:val="ListBullet"/>
      </w:pPr>
      <w:r>
        <w:rPr>
          <w:b/>
        </w:rPr>
        <w:t>Payment methods</w:t>
      </w:r>
      <w:r>
        <w:t xml:space="preserve"> (</w:t>
      </w:r>
      <w:r>
        <w:rPr>
          <w:rFonts w:ascii="Consolas" w:hAnsi="Consolas"/>
          <w:color w:val="B91C1C"/>
          <w:sz w:val="19"/>
        </w:rPr>
        <w:t>expense_payment_methods</w:t>
      </w:r>
      <w:r>
        <w:t>) — name, credit-card flag.</w:t>
      </w:r>
    </w:p>
    <w:p>
      <w:pPr>
        <w:pStyle w:val="ListBullet"/>
      </w:pPr>
      <w:r>
        <w:t>First-run seeding creates a default account, a BudgetBakers-style taxonomy, and default payment methods.</w:t>
      </w:r>
    </w:p>
    <w:p>
      <w:pPr>
        <w:pStyle w:val="Heading2"/>
      </w:pPr>
      <w:r>
        <w:rPr>
          <w:color w:val="334155"/>
        </w:rPr>
        <w:t>11.2 Records (`expense_records`)</w:t>
      </w:r>
    </w:p>
    <w:p>
      <w:pPr>
        <w:pStyle w:val="ListBullet"/>
      </w:pPr>
      <w:r>
        <w:rPr>
          <w:b/>
        </w:rPr>
        <w:t>Types</w:t>
      </w:r>
      <w:r>
        <w:t xml:space="preserve">: </w:t>
      </w:r>
      <w:r>
        <w:rPr>
          <w:rFonts w:ascii="Consolas" w:hAnsi="Consolas"/>
          <w:color w:val="B91C1C"/>
          <w:sz w:val="19"/>
        </w:rPr>
        <w:t>expense</w:t>
      </w:r>
      <w:r>
        <w:t xml:space="preserve">, </w:t>
      </w:r>
      <w:r>
        <w:rPr>
          <w:rFonts w:ascii="Consolas" w:hAnsi="Consolas"/>
          <w:color w:val="B91C1C"/>
          <w:sz w:val="19"/>
        </w:rPr>
        <w:t>budget</w:t>
      </w:r>
      <w:r>
        <w:t xml:space="preserve">, </w:t>
      </w:r>
      <w:r>
        <w:rPr>
          <w:rFonts w:ascii="Consolas" w:hAnsi="Consolas"/>
          <w:color w:val="B91C1C"/>
          <w:sz w:val="19"/>
        </w:rPr>
        <w:t>income</w:t>
      </w:r>
      <w:r>
        <w:t>.</w:t>
      </w:r>
    </w:p>
    <w:p>
      <w:pPr>
        <w:pStyle w:val="ListBullet"/>
      </w:pPr>
      <w:r>
        <w:t>Fields: amount, account, category/sub-category, payment method (expense only), date-time (expense) or month (budget/income), note, labels.</w:t>
      </w:r>
    </w:p>
    <w:p>
      <w:pPr>
        <w:pStyle w:val="ListBullet"/>
      </w:pPr>
      <w:r>
        <w:rPr>
          <w:b/>
        </w:rPr>
        <w:t>FR-EXP-REC-1</w:t>
      </w:r>
      <w:r>
        <w:t xml:space="preserve"> Amount required (&gt; 0) for records; payment method required for expenses; category required.</w:t>
      </w:r>
    </w:p>
    <w:p>
      <w:pPr>
        <w:pStyle w:val="ListBullet"/>
      </w:pPr>
      <w:r>
        <w:rPr>
          <w:b/>
        </w:rPr>
        <w:t>FR-EXP-REC-2</w:t>
      </w:r>
      <w:r>
        <w:t xml:space="preserve"> Add / edit / delete (single + bulk, with error surfacing on failure).</w:t>
      </w:r>
    </w:p>
    <w:p>
      <w:pPr>
        <w:pStyle w:val="ListBullet"/>
      </w:pPr>
      <w:r>
        <w:rPr>
          <w:b/>
        </w:rPr>
        <w:t>FR-EXP-REC-3</w:t>
      </w:r>
      <w:r>
        <w:t xml:space="preserve"> "Add record to &lt;date&gt;" pre-fills the chosen date in the visible picker.</w:t>
      </w:r>
    </w:p>
    <w:p>
      <w:pPr>
        <w:pStyle w:val="Heading2"/>
      </w:pPr>
      <w:r>
        <w:rPr>
          <w:color w:val="334155"/>
        </w:rPr>
        <w:t>11.3 Budget split</w:t>
      </w:r>
    </w:p>
    <w:p>
      <w:r>
        <w:t xml:space="preserve">For a </w:t>
      </w:r>
      <w:r>
        <w:rPr>
          <w:b/>
        </w:rPr>
        <w:t>budget</w:t>
      </w:r>
      <w:r>
        <w:t xml:space="preserve"> record on a joint (non-contributing) account, the amount is split across contributing accounts. Default split distributes equally and </w:t>
      </w:r>
      <w:r>
        <w:rPr>
          <w:b/>
        </w:rPr>
        <w:t>sums to 100 %</w:t>
      </w:r>
      <w:r>
        <w:t xml:space="preserve"> (editable first row; the rest auto-calculate; last row absorbs rounding). Save is rejected unless the split totals 100 %. The split is stored in </w:t>
      </w:r>
      <w:r>
        <w:rPr>
          <w:rFonts w:ascii="Consolas" w:hAnsi="Consolas"/>
          <w:color w:val="B91C1C"/>
          <w:sz w:val="19"/>
        </w:rPr>
        <w:t>labels</w:t>
      </w:r>
      <w:r>
        <w:t xml:space="preserve"> as </w:t>
      </w:r>
      <w:r>
        <w:rPr>
          <w:rFonts w:ascii="Consolas" w:hAnsi="Consolas"/>
          <w:color w:val="B91C1C"/>
          <w:sz w:val="19"/>
        </w:rPr>
        <w:t>{budget_split}</w:t>
      </w:r>
      <w:r>
        <w:t>.</w:t>
      </w:r>
    </w:p>
    <w:p>
      <w:pPr>
        <w:pStyle w:val="Heading2"/>
      </w:pPr>
      <w:r>
        <w:rPr>
          <w:color w:val="334155"/>
        </w:rPr>
        <w:t>11.4 Templates</w:t>
      </w:r>
    </w:p>
    <w:p>
      <w:pPr>
        <w:pStyle w:val="ListBullet"/>
      </w:pPr>
      <w:r>
        <w:t xml:space="preserve">Reusable record shortcuts (name + a record payload). Stored in </w:t>
      </w:r>
      <w:r>
        <w:rPr>
          <w:rFonts w:ascii="Consolas" w:hAnsi="Consolas"/>
          <w:color w:val="B91C1C"/>
          <w:sz w:val="19"/>
        </w:rPr>
        <w:t>localStorage</w:t>
      </w:r>
      <w:r>
        <w:t xml:space="preserve"> (</w:t>
      </w:r>
      <w:r>
        <w:rPr>
          <w:rFonts w:ascii="Consolas" w:hAnsi="Consolas"/>
          <w:color w:val="B91C1C"/>
          <w:sz w:val="19"/>
        </w:rPr>
        <w:t>wf-expense-templates</w:t>
      </w:r>
      <w:r>
        <w:t xml:space="preserve">) and synced to Supabase </w:t>
      </w:r>
      <w:r>
        <w:rPr>
          <w:rFonts w:ascii="Consolas" w:hAnsi="Consolas"/>
          <w:color w:val="B91C1C"/>
          <w:sz w:val="19"/>
        </w:rPr>
        <w:t>user_settings.expense_templates</w:t>
      </w:r>
      <w:r>
        <w:t>.</w:t>
      </w:r>
    </w:p>
    <w:p>
      <w:pPr>
        <w:pStyle w:val="ListBullet"/>
      </w:pPr>
      <w:r>
        <w:rPr>
          <w:b/>
        </w:rPr>
        <w:t>FR-EXP-TPL-1</w:t>
      </w:r>
      <w:r>
        <w:t xml:space="preserve"> Create/edit/delete via a modal in Settings (or the dashboard record modal); pickable from "Select template" when adding a record.</w:t>
      </w:r>
    </w:p>
    <w:p>
      <w:pPr>
        <w:pStyle w:val="ListBullet"/>
      </w:pPr>
      <w:r>
        <w:rPr>
          <w:b/>
        </w:rPr>
        <w:t>FR-EXP-TPL-2</w:t>
      </w:r>
      <w:r>
        <w:t xml:space="preserve"> Amount is optional for a template.</w:t>
      </w:r>
    </w:p>
    <w:p>
      <w:pPr>
        <w:pStyle w:val="Heading2"/>
      </w:pPr>
      <w:r>
        <w:rPr>
          <w:color w:val="334155"/>
        </w:rPr>
        <w:t>11.5 Recurring payments</w:t>
      </w:r>
    </w:p>
    <w:p>
      <w:pPr>
        <w:pStyle w:val="ListBullet"/>
      </w:pPr>
      <w:r>
        <w:t xml:space="preserve">Scheduled records (rent, subscriptions, EMIs). Stored in </w:t>
      </w:r>
      <w:r>
        <w:rPr>
          <w:rFonts w:ascii="Consolas" w:hAnsi="Consolas"/>
          <w:color w:val="B91C1C"/>
          <w:sz w:val="19"/>
        </w:rPr>
        <w:t>localStorage</w:t>
      </w:r>
      <w:r>
        <w:t xml:space="preserve"> (</w:t>
      </w:r>
      <w:r>
        <w:rPr>
          <w:rFonts w:ascii="Consolas" w:hAnsi="Consolas"/>
          <w:color w:val="B91C1C"/>
          <w:sz w:val="19"/>
        </w:rPr>
        <w:t>wf-recurring-payments</w:t>
      </w:r>
      <w:r>
        <w:t xml:space="preserve">) + synced to </w:t>
      </w:r>
      <w:r>
        <w:rPr>
          <w:rFonts w:ascii="Consolas" w:hAnsi="Consolas"/>
          <w:color w:val="B91C1C"/>
          <w:sz w:val="19"/>
        </w:rPr>
        <w:t>user_settings.recurring_payments</w:t>
      </w:r>
      <w:r>
        <w:t>.</w:t>
      </w:r>
    </w:p>
    <w:p>
      <w:pPr>
        <w:pStyle w:val="ListBullet"/>
      </w:pPr>
      <w:r>
        <w:t xml:space="preserve">Fields: name, type, amount, </w:t>
      </w:r>
      <w:r>
        <w:rPr>
          <w:b/>
        </w:rPr>
        <w:t>Start Date</w:t>
      </w:r>
      <w:r>
        <w:t xml:space="preserve">, </w:t>
      </w:r>
      <w:r>
        <w:rPr>
          <w:b/>
        </w:rPr>
        <w:t>Frequency</w:t>
      </w:r>
      <w:r>
        <w:t xml:space="preserve"> (daily/weekly/monthly/quarterly/yearly), </w:t>
      </w:r>
      <w:r>
        <w:rPr>
          <w:b/>
        </w:rPr>
        <w:t>Installments</w:t>
      </w:r>
      <w:r>
        <w:t xml:space="preserve"> (blank = unlimited), End date, account, category/sub, payment method, note.</w:t>
      </w:r>
    </w:p>
    <w:p>
      <w:pPr>
        <w:pStyle w:val="ListBullet"/>
      </w:pPr>
      <w:r>
        <w:rPr>
          <w:b/>
        </w:rPr>
        <w:t>FR-EXP-RP-1 Auto-post</w:t>
      </w:r>
      <w:r>
        <w:t xml:space="preserve"> — on Expense-tab open / Settings load, for every recurring payment whose due date ≤ today (local IST date), an </w:t>
      </w:r>
      <w:r>
        <w:rPr>
          <w:rFonts w:ascii="Consolas" w:hAnsi="Consolas"/>
          <w:color w:val="B91C1C"/>
          <w:sz w:val="19"/>
        </w:rPr>
        <w:t>expense_record</w:t>
      </w:r>
      <w:r>
        <w:t xml:space="preserve"> is inserted and the schedule advances by its frequency (month-end clamped). Posting stops after </w:t>
      </w:r>
      <w:r>
        <w:rPr>
          <w:rFonts w:ascii="Consolas" w:hAnsi="Consolas"/>
          <w:color w:val="B91C1C"/>
          <w:sz w:val="19"/>
        </w:rPr>
        <w:t>Installments</w:t>
      </w:r>
      <w:r>
        <w:t xml:space="preserve"> posts or past the End date.</w:t>
      </w:r>
    </w:p>
    <w:p>
      <w:pPr>
        <w:pStyle w:val="ListBullet"/>
      </w:pPr>
      <w:r>
        <w:rPr>
          <w:b/>
        </w:rPr>
        <w:t>FR-EXP-RP-2 First installment</w:t>
      </w:r>
      <w:r>
        <w:t xml:space="preserve"> posts on the Start Date itself.</w:t>
      </w:r>
    </w:p>
    <w:p>
      <w:pPr>
        <w:pStyle w:val="ListBullet"/>
      </w:pPr>
      <w:r>
        <w:rPr>
          <w:b/>
        </w:rPr>
        <w:t>FR-EXP-RP-3 Idempotency</w:t>
      </w:r>
      <w:r>
        <w:t xml:space="preserve"> — the processor is re-entrancy-guarded, loads cloud state first, and </w:t>
      </w:r>
      <w:r>
        <w:rPr>
          <w:b/>
        </w:rPr>
        <w:t>skips due-dates already present in the DB</w:t>
      </w:r>
      <w:r>
        <w:t xml:space="preserve"> (records labelled </w:t>
      </w:r>
      <w:r>
        <w:rPr>
          <w:rFonts w:ascii="Consolas" w:hAnsi="Consolas"/>
          <w:color w:val="B91C1C"/>
          <w:sz w:val="19"/>
        </w:rPr>
        <w:t>[recurring, id, dueIso]</w:t>
      </w:r>
      <w:r>
        <w:t>), so a payment is never posted twice even across devices or after a failed cloud save.</w:t>
      </w:r>
    </w:p>
    <w:p>
      <w:pPr>
        <w:pStyle w:val="ListBullet"/>
      </w:pPr>
      <w:r>
        <w:rPr>
          <w:b/>
        </w:rPr>
        <w:t>FR-EXP-RP-4 Edit</w:t>
      </w:r>
      <w:r>
        <w:t xml:space="preserve"> preserves the posted-installment counter.</w:t>
      </w:r>
    </w:p>
    <w:p>
      <w:pPr>
        <w:pStyle w:val="Heading2"/>
      </w:pPr>
      <w:r>
        <w:rPr>
          <w:color w:val="334155"/>
        </w:rPr>
        <w:t>11.6 Bulk CSV import</w:t>
      </w:r>
    </w:p>
    <w:p>
      <w:pPr>
        <w:pStyle w:val="ListBullet"/>
      </w:pPr>
      <w:r>
        <w:t xml:space="preserve">Columns: </w:t>
      </w:r>
      <w:r>
        <w:rPr>
          <w:rFonts w:ascii="Consolas" w:hAnsi="Consolas"/>
          <w:color w:val="B91C1C"/>
          <w:sz w:val="19"/>
        </w:rPr>
        <w:t>Date, Type, Amount, Account, Category, Subcategory, Payment Method, Labels, Note</w:t>
      </w:r>
      <w:r>
        <w:t>.</w:t>
      </w:r>
    </w:p>
    <w:p>
      <w:pPr>
        <w:pStyle w:val="ListBullet"/>
      </w:pPr>
      <w:r>
        <w:rPr>
          <w:b/>
        </w:rPr>
        <w:t>FR-EXP-CSV-1 Validation pass</w:t>
      </w:r>
      <w:r>
        <w:t xml:space="preserve"> — parses, range-validates dates (rejects impossible dates like </w:t>
      </w:r>
      <w:r>
        <w:rPr>
          <w:rFonts w:ascii="Consolas" w:hAnsi="Consolas"/>
          <w:color w:val="B91C1C"/>
          <w:sz w:val="19"/>
        </w:rPr>
        <w:t>2026-13-45</w:t>
      </w:r>
      <w:r>
        <w:t>), classifies rows, and lists missing accounts/categories/sub-categories/payment methods before importing.</w:t>
      </w:r>
    </w:p>
    <w:p>
      <w:pPr>
        <w:pStyle w:val="ListBullet"/>
      </w:pPr>
      <w:r>
        <w:rPr>
          <w:b/>
        </w:rPr>
        <w:t>FR-EXP-CSV-2 Date format</w:t>
      </w:r>
      <w:r>
        <w:t xml:space="preserve"> — ISO </w:t>
      </w:r>
      <w:r>
        <w:rPr>
          <w:rFonts w:ascii="Consolas" w:hAnsi="Consolas"/>
          <w:color w:val="B91C1C"/>
          <w:sz w:val="19"/>
        </w:rPr>
        <w:t>YYYY-MM-DD</w:t>
      </w:r>
      <w:r>
        <w:t xml:space="preserve"> preferred; ambiguous </w:t>
      </w:r>
      <w:r>
        <w:rPr>
          <w:rFonts w:ascii="Consolas" w:hAnsi="Consolas"/>
          <w:color w:val="B91C1C"/>
          <w:sz w:val="19"/>
        </w:rPr>
        <w:t>dd/mm</w:t>
      </w:r>
      <w:r>
        <w:t xml:space="preserve"> defaults to </w:t>
      </w:r>
      <w:r>
        <w:rPr>
          <w:b/>
        </w:rPr>
        <w:t>DD/MM</w:t>
      </w:r>
      <w:r>
        <w:t xml:space="preserve"> (₹/IST app). </w:t>
      </w:r>
      <w:r>
        <w:rPr>
          <w:rFonts w:ascii="Consolas" w:hAnsi="Consolas"/>
          <w:color w:val="B91C1C"/>
          <w:sz w:val="19"/>
        </w:rPr>
        <w:t>txn_at</w:t>
      </w:r>
      <w:r>
        <w:t xml:space="preserve"> is anchored at local midday so it stays on the same calendar day as </w:t>
      </w:r>
      <w:r>
        <w:rPr>
          <w:rFonts w:ascii="Consolas" w:hAnsi="Consolas"/>
          <w:color w:val="B91C1C"/>
          <w:sz w:val="19"/>
        </w:rPr>
        <w:t>txn_date</w:t>
      </w:r>
      <w:r>
        <w:t>.</w:t>
      </w:r>
    </w:p>
    <w:p>
      <w:pPr>
        <w:pStyle w:val="ListBullet"/>
      </w:pPr>
      <w:r>
        <w:rPr>
          <w:b/>
        </w:rPr>
        <w:t>FR-EXP-CSV-3 Auto-create</w:t>
      </w:r>
      <w:r>
        <w:t xml:space="preserve"> — optionally creates missing categories/sub-categories.</w:t>
      </w:r>
    </w:p>
    <w:p>
      <w:pPr>
        <w:pStyle w:val="ListBullet"/>
      </w:pPr>
      <w:r>
        <w:rPr>
          <w:b/>
        </w:rPr>
        <w:t>FR-EXP-CSV-4 Progress + report</w:t>
      </w:r>
      <w:r>
        <w:t xml:space="preserve"> — progress bar and a per-row error report.</w:t>
      </w:r>
    </w:p>
    <w:p>
      <w:pPr>
        <w:pStyle w:val="Heading2"/>
      </w:pPr>
      <w:r>
        <w:rPr>
          <w:color w:val="334155"/>
        </w:rPr>
        <w:t>11.7 Expense analytics</w:t>
      </w:r>
    </w:p>
    <w:p>
      <w:pPr>
        <w:pStyle w:val="ListBullet"/>
      </w:pPr>
      <w:r>
        <w:t>Monthly totals by category/sub-category, spend vs budget, joint-account payment calculator, month navigation, and multi-select filters (checkbox lists) mirrored between Records and Analytics tabs.</w:t>
      </w:r>
    </w:p>
    <w:p>
      <w:pPr>
        <w:pStyle w:val="Heading1"/>
      </w:pPr>
      <w:r>
        <w:rPr>
          <w:color w:val="0F172A"/>
        </w:rPr>
        <w:t>12. Settings &amp; Preferences (FR-SET)</w:t>
      </w:r>
    </w:p>
    <w:p>
      <w:pPr>
        <w:pStyle w:val="ListBullet"/>
      </w:pPr>
      <w:r>
        <w:rPr>
          <w:b/>
        </w:rPr>
        <w:t>FR-SET-1 Sheet connections</w:t>
      </w:r>
      <w:r>
        <w:t xml:space="preserve"> — connect/relink Google Sheets per prefix; header-row configuration; diagnostics on sync.</w:t>
      </w:r>
    </w:p>
    <w:p>
      <w:pPr>
        <w:pStyle w:val="ListBullet"/>
      </w:pPr>
      <w:r>
        <w:rPr>
          <w:b/>
        </w:rPr>
        <w:t>FR-SET-2 Mappings</w:t>
      </w:r>
      <w:r>
        <w:t xml:space="preserve"> — MF and Stocks/ETF mapping sheets; push </w:t>
      </w:r>
      <w:r>
        <w:rPr>
          <w:rFonts w:ascii="Consolas" w:hAnsi="Consolas"/>
          <w:color w:val="B91C1C"/>
          <w:sz w:val="19"/>
        </w:rPr>
        <w:t>stocksetf_mapping.json</w:t>
      </w:r>
      <w:r>
        <w:t xml:space="preserve"> to GitHub after mapping sync.</w:t>
      </w:r>
    </w:p>
    <w:p>
      <w:pPr>
        <w:pStyle w:val="ListBullet"/>
      </w:pPr>
      <w:r>
        <w:rPr>
          <w:b/>
        </w:rPr>
        <w:t>FR-SET-3 Gold premium %</w:t>
      </w:r>
      <w:r>
        <w:t xml:space="preserve"> — user-configurable retail premium (</w:t>
      </w:r>
      <w:r>
        <w:rPr>
          <w:rFonts w:ascii="Consolas" w:hAnsi="Consolas"/>
          <w:color w:val="B91C1C"/>
          <w:sz w:val="19"/>
        </w:rPr>
        <w:t>wf-gold-premium-pct</w:t>
      </w:r>
      <w:r>
        <w:t>).</w:t>
      </w:r>
    </w:p>
    <w:p>
      <w:pPr>
        <w:pStyle w:val="ListBullet"/>
      </w:pPr>
      <w:r>
        <w:rPr>
          <w:b/>
        </w:rPr>
        <w:t>FR-SET-4 NAV/ISIN refresh</w:t>
      </w:r>
      <w:r>
        <w:t xml:space="preserve"> — triggers GitHub Action workflows (AMFI NAV + ISIN map) via a stored PAT; reflects real dispatch status.</w:t>
      </w:r>
    </w:p>
    <w:p>
      <w:pPr>
        <w:pStyle w:val="ListBullet"/>
      </w:pPr>
      <w:r>
        <w:rPr>
          <w:b/>
        </w:rPr>
        <w:t>FR-SET-5 Theme</w:t>
      </w:r>
      <w:r>
        <w:t xml:space="preserve"> — light/dark toggle, applied across both themes.</w:t>
      </w:r>
    </w:p>
    <w:p>
      <w:pPr>
        <w:pStyle w:val="Heading1"/>
      </w:pPr>
      <w:r>
        <w:rPr>
          <w:color w:val="0F172A"/>
        </w:rPr>
        <w:t>13. Data Sync &amp; Storage (FR-SYNC)</w:t>
      </w:r>
    </w:p>
    <w:p>
      <w:pPr>
        <w:pStyle w:val="ListBullet"/>
      </w:pPr>
      <w:r>
        <w:rPr>
          <w:b/>
        </w:rPr>
        <w:t>FR-SYNC-1</w:t>
      </w:r>
      <w:r>
        <w:t xml:space="preserve"> Settings in </w:t>
      </w:r>
      <w:r>
        <w:rPr>
          <w:rFonts w:ascii="Consolas" w:hAnsi="Consolas"/>
          <w:color w:val="B91C1C"/>
          <w:sz w:val="19"/>
        </w:rPr>
        <w:t>SYNC_KEYS</w:t>
      </w:r>
      <w:r>
        <w:t xml:space="preserve"> (sheet configs, GitHub owner/repo/branch, expense templates, recurring payments) sync to a single </w:t>
      </w:r>
      <w:r>
        <w:rPr>
          <w:rFonts w:ascii="Consolas" w:hAnsi="Consolas"/>
          <w:color w:val="B91C1C"/>
          <w:sz w:val="19"/>
        </w:rPr>
        <w:t>user_settings</w:t>
      </w:r>
      <w:r>
        <w:t xml:space="preserve"> row; each key maps to a jsonb/text column.</w:t>
      </w:r>
    </w:p>
    <w:p>
      <w:pPr>
        <w:pStyle w:val="ListBullet"/>
      </w:pPr>
      <w:r>
        <w:rPr>
          <w:b/>
        </w:rPr>
        <w:t>FR-SYNC-2 Merge-by-id</w:t>
      </w:r>
      <w:r>
        <w:t xml:space="preserve"> — templates and recurring lists carry </w:t>
      </w:r>
      <w:r>
        <w:rPr>
          <w:rFonts w:ascii="Consolas" w:hAnsi="Consolas"/>
          <w:color w:val="B91C1C"/>
          <w:sz w:val="19"/>
        </w:rPr>
        <w:t>updated_at</w:t>
      </w:r>
      <w:r>
        <w:t>; deletes become tombstones. On save, the local list is merged with the freshest cloud copy by id (last-writer-wins), so concurrent multi-device/multi-surface edits don't clobber each other and deletes propagate. Tombstones prune after 180 days.</w:t>
      </w:r>
    </w:p>
    <w:p>
      <w:pPr>
        <w:pStyle w:val="ListBullet"/>
      </w:pPr>
      <w:r>
        <w:rPr>
          <w:b/>
        </w:rPr>
        <w:t>FR-SYNC-3</w:t>
      </w:r>
      <w:r>
        <w:t xml:space="preserve"> The GitHub token is never in </w:t>
      </w:r>
      <w:r>
        <w:rPr>
          <w:rFonts w:ascii="Consolas" w:hAnsi="Consolas"/>
          <w:color w:val="B91C1C"/>
          <w:sz w:val="19"/>
        </w:rPr>
        <w:t>SYNC_KEYS</w:t>
      </w:r>
      <w:r>
        <w:t>.</w:t>
      </w:r>
    </w:p>
    <w:p>
      <w:r>
        <w:rPr>
          <w:b/>
        </w:rPr>
        <w:t>Required DB columns</w:t>
      </w:r>
      <w:r>
        <w:t xml:space="preserve"> (one-time migrations):</w:t>
      </w:r>
    </w:p>
    <w:p>
      <w:pPr>
        <w:ind w:left="288"/>
      </w:pPr>
      <w:r>
        <w:rPr>
          <w:rFonts w:ascii="Consolas" w:hAnsi="Consolas"/>
          <w:sz w:val="18"/>
        </w:rPr>
        <w:t>alter table user_settings add column if not exists expense_templates jsonb;</w:t>
        <w:br/>
        <w:t>alter table user_settings add column if not exists recurring_payments jsonb;</w:t>
      </w:r>
    </w:p>
    <w:p>
      <w:pPr>
        <w:pStyle w:val="Heading1"/>
      </w:pPr>
      <w:r>
        <w:rPr>
          <w:color w:val="0F172A"/>
        </w:rPr>
        <w:t>14. Non-Functional Notes</w:t>
      </w:r>
    </w:p>
    <w:p>
      <w:pPr>
        <w:pStyle w:val="ListBullet"/>
      </w:pPr>
      <w:r>
        <w:rPr>
          <w:b/>
        </w:rPr>
        <w:t>Client-only compute</w:t>
      </w:r>
      <w:r>
        <w:t xml:space="preserve"> — all calculations run in the browser; no server-side math.</w:t>
      </w:r>
    </w:p>
    <w:p>
      <w:pPr>
        <w:pStyle w:val="ListBullet"/>
      </w:pPr>
      <w:r>
        <w:rPr>
          <w:b/>
        </w:rPr>
        <w:t>Caching</w:t>
      </w:r>
      <w:r>
        <w:t xml:space="preserve"> — sheet data, NAV history, stock prices, and gold prices are cached in </w:t>
      </w:r>
      <w:r>
        <w:rPr>
          <w:rFonts w:ascii="Consolas" w:hAnsi="Consolas"/>
          <w:color w:val="B91C1C"/>
          <w:sz w:val="19"/>
        </w:rPr>
        <w:t>localStorage</w:t>
      </w:r>
      <w:r>
        <w:t xml:space="preserve"> with age limits.</w:t>
      </w:r>
    </w:p>
    <w:p>
      <w:pPr>
        <w:pStyle w:val="ListBullet"/>
      </w:pPr>
      <w:r>
        <w:rPr>
          <w:b/>
        </w:rPr>
        <w:t>Resilience</w:t>
      </w:r>
      <w:r>
        <w:t xml:space="preserve"> — every network call is wrapped so a failure degrades gracefully (e.g., unpriced holdings valued at cost; charts fall back to invested).</w:t>
      </w:r>
    </w:p>
    <w:p>
      <w:pPr>
        <w:pStyle w:val="ListBullet"/>
      </w:pPr>
      <w:r>
        <w:rPr>
          <w:b/>
        </w:rPr>
        <w:t>Timezone</w:t>
      </w:r>
      <w:r>
        <w:t xml:space="preserve"> — recurring/import date logic uses the device's </w:t>
      </w:r>
      <w:r>
        <w:rPr>
          <w:b/>
        </w:rPr>
        <w:t>local date</w:t>
      </w:r>
      <w:r>
        <w:t xml:space="preserve"> (IST-safe), not UTC.</w:t>
      </w:r>
    </w:p>
    <w:p>
      <w:pPr>
        <w:pStyle w:val="ListBullet"/>
      </w:pPr>
      <w:r>
        <w:rPr>
          <w:b/>
        </w:rPr>
        <w:t>Cache-busting</w:t>
      </w:r>
      <w:r>
        <w:t xml:space="preserve"> — JS/CSS are versioned via </w:t>
      </w:r>
      <w:r>
        <w:rPr>
          <w:rFonts w:ascii="Consolas" w:hAnsi="Consolas"/>
          <w:color w:val="B91C1C"/>
          <w:sz w:val="19"/>
        </w:rPr>
        <w:t>?v=</w:t>
      </w:r>
      <w:r>
        <w:t xml:space="preserve"> query strings, bumped on every change.</w:t>
      </w:r>
    </w:p>
    <w:p>
      <w:r>
        <w:rPr>
          <w:i/>
          <w:sz w:val="19"/>
        </w:rPr>
        <w:t>This document reflects the implemented behaviour of the application as of the current branch.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