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2A44"/>
          <w:sz w:val="64"/>
          <w:szCs w:val="64"/>
        </w:rPr>
        <w:t xml:space="preserve">gas_db</w:t>
      </w:r>
    </w:p>
    <w:p>
      <w:pPr>
        <w:spacing w:after="120" w:before="120"/>
        <w:jc w:val="center"/>
      </w:pPr>
      <w:r>
        <w:rPr>
          <w:b/>
          <w:bCs/>
          <w:color w:val="0F6E6B"/>
          <w:sz w:val="34"/>
          <w:szCs w:val="34"/>
        </w:rPr>
        <w:t xml:space="preserve">Data Warehouse — Knowledge Transfer Documentation</w:t>
      </w:r>
    </w:p>
    <w:p>
      <w:pPr>
        <w:spacing w:before="200"/>
        <w:jc w:val="center"/>
      </w:pPr>
      <w:r>
        <w:rPr>
          <w:i/>
          <w:iCs/>
          <w:color w:val="5B6470"/>
          <w:sz w:val="22"/>
          <w:szCs w:val="22"/>
        </w:rPr>
        <w:t xml:space="preserve">Azure Cosmos DB for PostgreSQL (Citus)  ·  ADF Medallion Pipeline  ·  Grubbrr Analytics Platform</w:t>
      </w:r>
    </w:p>
    <w:p>
      <w:pPr>
        <w:spacing w:before="900"/>
        <w:jc w:val="center"/>
      </w:pPr>
      <w:r>
        <w:rPr>
          <w:color w:val="2B2B2B"/>
          <w:sz w:val="22"/>
          <w:szCs w:val="22"/>
        </w:rPr>
        <w:t xml:space="preserve">Prepared by: Nodir</w:t>
      </w:r>
    </w:p>
    <w:p>
      <w:pPr>
        <w:spacing w:after="200"/>
        <w:jc w:val="center"/>
      </w:pPr>
      <w:r>
        <w:rPr>
          <w:color w:val="2B2B2B"/>
          <w:sz w:val="22"/>
          <w:szCs w:val="22"/>
        </w:rPr>
        <w:t xml:space="preserve">Data Warehouse Engineer, Grubbrr</w:t>
      </w:r>
    </w:p>
    <w:p>
      <w:pPr>
        <w:jc w:val="center"/>
      </w:pPr>
      <w:r>
        <w:rPr>
          <w:color w:val="5B6470"/>
          <w:sz w:val="22"/>
          <w:szCs w:val="22"/>
        </w:rPr>
        <w:t xml:space="preserve">July 2026</w:t>
      </w:r>
    </w:p>
    <w:p>
      <w:pPr>
        <w:spacing w:before="60"/>
        <w:jc w:val="center"/>
      </w:pPr>
      <w:r>
        <w:rPr>
          <w:i/>
          <w:iCs/>
          <w:color w:val="5B6470"/>
          <w:sz w:val="19"/>
          <w:szCs w:val="19"/>
        </w:rPr>
        <w:t xml:space="preserve">Prepared as part of departure knowledge-transfer to the engineers assuming gas_db ownership</w:t>
      </w:r>
    </w:p>
    <w:p>
      <w:r>
        <w:br w:type="page"/>
      </w:r>
    </w:p>
    <w:p>
      <w:pPr>
        <w:pStyle w:val="Heading1"/>
        <w:pBdr>
          <w:bottom w:val="single" w:color="0F6E6B" w:sz="8" w:space="4"/>
        </w:pBdr>
        <w:spacing w:after="200" w:before="480"/>
      </w:pPr>
      <w:r>
        <w:rPr>
          <w:b/>
          <w:bCs/>
          <w:color w:val="1F2A4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6E6B" w:sz="8" w:space="4"/>
        </w:pBdr>
        <w:spacing w:after="200" w:before="480"/>
      </w:pPr>
      <w:r>
        <w:rPr>
          <w:b/>
          <w:bCs/>
          <w:color w:val="1F2A44"/>
          <w:sz w:val="30"/>
          <w:szCs w:val="30"/>
        </w:rPr>
        <w:t xml:space="preserve">1. Purpose &amp; Scope</w:t>
      </w:r>
    </w:p>
    <w:p>
      <w:pPr>
        <w:spacing w:after="160" w:line="276"/>
      </w:pPr>
      <w:r>
        <w:rPr>
          <w:b w:val="false"/>
          <w:bCs w:val="false"/>
          <w:i w:val="false"/>
          <w:iCs w:val="false"/>
          <w:color w:val="2B2B2B"/>
          <w:sz w:val="21"/>
          <w:szCs w:val="21"/>
        </w:rPr>
        <w:t xml:space="preserve">This document is the primary knowledge-transfer (KT) artifact for gas_db, the PostgreSQL analytics data warehouse built to serve Grubbrr’s kiosk, ordering, device-telemetry, and ML/DS reporting needs. It is written for the engineer(s) assuming ownership of gas_db and its Azure Data Factory (ADF) orchestration layer, and is meant to be read alongside the nine source artifacts it was generated from:</w:t>
      </w:r>
    </w:p>
    <w:p>
      <w:pPr>
        <w:pStyle w:val="ListParagraph"/>
        <w:numPr>
          <w:ilvl w:val="0"/>
          <w:numId w:val="1"/>
        </w:numPr>
        <w:spacing w:after="90" w:line="264"/>
      </w:pPr>
      <w:r>
        <w:rPr>
          <w:b w:val="false"/>
          <w:bCs w:val="false"/>
          <w:color w:val="2B2B2B"/>
          <w:sz w:val="21"/>
          <w:szCs w:val="21"/>
        </w:rPr>
        <w:t xml:space="preserve">gas_db_ddls_merged_20260530.sql — full merged DDL export (128 tables across 5 schemas)</w:t>
      </w:r>
    </w:p>
    <w:p>
      <w:pPr>
        <w:pStyle w:val="ListParagraph"/>
        <w:numPr>
          <w:ilvl w:val="0"/>
          <w:numId w:val="1"/>
        </w:numPr>
        <w:spacing w:after="90" w:line="264"/>
      </w:pPr>
      <w:r>
        <w:rPr>
          <w:b w:val="false"/>
          <w:bCs w:val="false"/>
          <w:color w:val="2B2B2B"/>
          <w:sz w:val="21"/>
          <w:szCs w:val="21"/>
        </w:rPr>
        <w:t xml:space="preserve">gas_indexes.sql — all index and constraint definitions (105 index statements)</w:t>
      </w:r>
    </w:p>
    <w:p>
      <w:pPr>
        <w:pStyle w:val="ListParagraph"/>
        <w:numPr>
          <w:ilvl w:val="0"/>
          <w:numId w:val="1"/>
        </w:numPr>
        <w:spacing w:after="90" w:line="264"/>
      </w:pPr>
      <w:r>
        <w:rPr>
          <w:b w:val="false"/>
          <w:bCs w:val="false"/>
          <w:color w:val="2B2B2B"/>
          <w:sz w:val="21"/>
          <w:szCs w:val="21"/>
        </w:rPr>
        <w:t xml:space="preserve">gas_db_sequence_synchronization.sql — the 12 manually-managed surrogate-key sequences</w:t>
      </w:r>
    </w:p>
    <w:p>
      <w:pPr>
        <w:pStyle w:val="ListParagraph"/>
        <w:numPr>
          <w:ilvl w:val="0"/>
          <w:numId w:val="1"/>
        </w:numPr>
        <w:spacing w:after="90" w:line="264"/>
      </w:pPr>
      <w:r>
        <w:rPr>
          <w:b w:val="false"/>
          <w:bCs w:val="false"/>
          <w:color w:val="2B2B2B"/>
          <w:sz w:val="21"/>
          <w:szCs w:val="21"/>
        </w:rPr>
        <w:t xml:space="preserve">dim_stored_procs.sql, fact_stored_procs.sql, ml_stored_procs.sql — 64 stored procedures/functions</w:t>
      </w:r>
    </w:p>
    <w:p>
      <w:pPr>
        <w:pStyle w:val="ListParagraph"/>
        <w:numPr>
          <w:ilvl w:val="0"/>
          <w:numId w:val="1"/>
        </w:numPr>
        <w:spacing w:after="90" w:line="264"/>
      </w:pPr>
      <w:r>
        <w:rPr>
          <w:b w:val="false"/>
          <w:bCs w:val="false"/>
          <w:color w:val="2B2B2B"/>
          <w:sz w:val="21"/>
          <w:szCs w:val="21"/>
        </w:rPr>
        <w:t xml:space="preserve">etl_bronze_partition_registry.sql — the Bronze partition-watermark table + working queries</w:t>
      </w:r>
    </w:p>
    <w:p>
      <w:pPr>
        <w:pStyle w:val="ListParagraph"/>
        <w:numPr>
          <w:ilvl w:val="0"/>
          <w:numId w:val="1"/>
        </w:numPr>
        <w:spacing w:after="90" w:line="264"/>
      </w:pPr>
      <w:r>
        <w:rPr>
          <w:b w:val="false"/>
          <w:bCs w:val="false"/>
          <w:color w:val="2B2B2B"/>
          <w:sz w:val="21"/>
          <w:szCs w:val="21"/>
        </w:rPr>
        <w:t xml:space="preserve">silver_usp_etl_truncate_silver_staging.sql — the Silver staging truncate/window procedure</w:t>
      </w:r>
    </w:p>
    <w:p>
      <w:pPr>
        <w:pStyle w:val="ListParagraph"/>
        <w:numPr>
          <w:ilvl w:val="0"/>
          <w:numId w:val="1"/>
        </w:numPr>
        <w:spacing w:after="90" w:line="264"/>
      </w:pPr>
      <w:r>
        <w:rPr>
          <w:b w:val="false"/>
          <w:bCs w:val="false"/>
          <w:color w:val="2B2B2B"/>
          <w:sz w:val="21"/>
          <w:szCs w:val="21"/>
        </w:rPr>
        <w:t xml:space="preserve">ARMTemplateForFactory.json — the full ADF ARM export (67 pipelines, 80 data flows, 198 datasets, 15 linked services, 4 triggers)</w:t>
      </w:r>
    </w:p>
    <w:p>
      <w:pPr>
        <w:spacing w:after="8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HOW THIS DOCUMENT WAS BUILT:  </w:t>
            </w:r>
            <w:r>
              <w:rPr>
                <w:color w:val="8A4B08"/>
                <w:sz w:val="20"/>
                <w:szCs w:val="20"/>
              </w:rPr>
              <w:t xml:space="preserve">This document was generated by analyzing the nine uploaded source files directly (schema parsing, stored-procedure inspection, and ADF pipeline-dependency traversal), cross-checked against prior working context. Section 15 flags a handful of places where the uploaded DDL snapshot appears to be behind what is understood to be true of the live database — these are called out explicitly so they get verified against production rather than assumed.</w:t>
            </w:r>
          </w:p>
        </w:tc>
      </w:tr>
    </w:tbl>
    <w:p>
      <w:pPr>
        <w:spacing w:after="120"/>
      </w:pPr>
    </w:p>
    <w:p>
      <w:pPr>
        <w:pStyle w:val="Heading1"/>
        <w:pBdr>
          <w:bottom w:val="single" w:color="0F6E6B" w:sz="8" w:space="4"/>
        </w:pBdr>
        <w:spacing w:after="200" w:before="480"/>
      </w:pPr>
      <w:r>
        <w:rPr>
          <w:b/>
          <w:bCs/>
          <w:color w:val="1F2A44"/>
          <w:sz w:val="30"/>
          <w:szCs w:val="30"/>
        </w:rPr>
        <w:t xml:space="preserve">2. System Overview</w:t>
      </w:r>
    </w:p>
    <w:p>
      <w:pPr>
        <w:spacing w:after="160" w:line="276"/>
      </w:pPr>
      <w:r>
        <w:rPr>
          <w:b w:val="false"/>
          <w:bCs w:val="false"/>
          <w:i w:val="false"/>
          <w:iCs w:val="false"/>
          <w:color w:val="2B2B2B"/>
          <w:sz w:val="21"/>
          <w:szCs w:val="21"/>
        </w:rPr>
        <w:t xml:space="preserve">gas_db is the Gold-layer analytics warehouse at the end of a medallion pipeline that starts in operational Cosmos DB instances and ends in reporting-ready PostgreSQL fact/dim tables. The high-level flow:</w:t>
      </w:r>
    </w:p>
    <w:p>
      <w:pPr>
        <w:spacing w:after="60"/>
      </w:pPr>
    </w:p>
    <w:tbl>
      <w:tblPr>
        <w:tblW w:type="pct" w:w="100%"/>
        <w:tblBorders>
          <w:top w:val="single" w:color="D8DEE3" w:sz="4"/>
          <w:left w:val="single" w:color="D8DEE3" w:sz="4"/>
          <w:bottom w:val="single" w:color="D8DEE3" w:sz="4"/>
          <w:right w:val="single" w:color="D8DEE3" w:sz="4"/>
          <w:insideH w:val="single" w:color="D8DEE3" w:sz="4"/>
          <w:insideV w:val="single" w:color="D8DEE3" w:sz="4"/>
        </w:tblBorders>
      </w:tblPr>
      <w:tblGrid>
        <w:gridCol w:w="100"/>
      </w:tblGrid>
      <w:tr>
        <w:tc>
          <w:tcPr>
            <w:shd w:fill="2B2E33" w:val="clear"/>
            <w:tcMar>
              <w:top w:type="dxa" w:w="140"/>
              <w:left w:type="dxa" w:w="200"/>
              <w:bottom w:type="dxa" w:w="140"/>
              <w:right w:type="dxa" w:w="200"/>
            </w:tcMar>
          </w:tcPr>
          <w:p>
            <w:pPr>
              <w:spacing w:after="20"/>
            </w:pPr>
            <w:r>
              <w:rPr>
                <w:rFonts w:ascii="Consolas" w:cs="Consolas" w:eastAsia="Consolas" w:hAnsi="Consolas"/>
                <w:color w:val="E6E6E6"/>
                <w:sz w:val="18"/>
                <w:szCs w:val="18"/>
              </w:rPr>
              <w:t xml:space="preserve">  Cosmos DB (NGE orders, GEM events, GXS/GOU, GSH device telemetry)</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        ▼   ADF Copy Activities (per-hour partitions)</w:t>
            </w:r>
          </w:p>
          <w:p>
            <w:pPr>
              <w:spacing w:after="20"/>
            </w:pPr>
            <w:r>
              <w:rPr>
                <w:rFonts w:ascii="Consolas" w:cs="Consolas" w:eastAsia="Consolas" w:hAnsi="Consolas"/>
                <w:color w:val="E6E6E6"/>
                <w:sz w:val="18"/>
                <w:szCs w:val="18"/>
              </w:rPr>
              <w:t xml:space="preserve">  ADLS Gen2 — Bronze layer</w:t>
            </w:r>
          </w:p>
          <w:p>
            <w:pPr>
              <w:spacing w:after="20"/>
            </w:pPr>
            <w:r>
              <w:rPr>
                <w:rFonts w:ascii="Consolas" w:cs="Consolas" w:eastAsia="Consolas" w:hAnsi="Consolas"/>
                <w:color w:val="E6E6E6"/>
                <w:sz w:val="18"/>
                <w:szCs w:val="18"/>
              </w:rPr>
              <w:t xml:space="preserve">        (Hive-style partitioning: {entity}/raw/YYYY/MM/DD/HH, NDJSON, hourly folders)</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        ▼   ADF Copy Activities / Data Flows</w:t>
            </w:r>
          </w:p>
          <w:p>
            <w:pPr>
              <w:spacing w:after="20"/>
            </w:pPr>
            <w:r>
              <w:rPr>
                <w:rFonts w:ascii="Consolas" w:cs="Consolas" w:eastAsia="Consolas" w:hAnsi="Consolas"/>
                <w:color w:val="E6E6E6"/>
                <w:sz w:val="18"/>
                <w:szCs w:val="18"/>
              </w:rPr>
              <w:t xml:space="preserve">  stg schema (PostgreSQL) — Silver staging</w:t>
            </w:r>
          </w:p>
          <w:p>
            <w:pPr>
              <w:spacing w:after="20"/>
            </w:pPr>
            <w:r>
              <w:rPr>
                <w:rFonts w:ascii="Consolas" w:cs="Consolas" w:eastAsia="Consolas" w:hAnsi="Consolas"/>
                <w:color w:val="E6E6E6"/>
                <w:sz w:val="18"/>
                <w:szCs w:val="18"/>
              </w:rPr>
              <w:t xml:space="preserve">        (silver_* tables — landing zone, camelCase-quoted JSON-mirroring columns,</w:t>
            </w:r>
          </w:p>
          <w:p>
            <w:pPr>
              <w:spacing w:after="20"/>
            </w:pPr>
            <w:r>
              <w:rPr>
                <w:rFonts w:ascii="Consolas" w:cs="Consolas" w:eastAsia="Consolas" w:hAnsi="Consolas"/>
                <w:color w:val="E6E6E6"/>
                <w:sz w:val="18"/>
                <w:szCs w:val="18"/>
              </w:rPr>
              <w:t xml:space="preserve">         10-minute sliding window for event-joined tables, full truncate for others)</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        ▼   PL/pgSQL stored procedures (usp_silver_*_to_fact, usp_refresh_*)</w:t>
            </w:r>
          </w:p>
          <w:p>
            <w:pPr>
              <w:spacing w:after="20"/>
            </w:pPr>
            <w:r>
              <w:rPr>
                <w:rFonts w:ascii="Consolas" w:cs="Consolas" w:eastAsia="Consolas" w:hAnsi="Consolas"/>
                <w:color w:val="E6E6E6"/>
                <w:sz w:val="18"/>
                <w:szCs w:val="18"/>
              </w:rPr>
              <w:t xml:space="preserve">  dim / fact / ml schemas (PostgreSQL) — Gold</w:t>
            </w:r>
          </w:p>
          <w:p>
            <w:pPr>
              <w:spacing w:after="20"/>
            </w:pPr>
            <w:r>
              <w:rPr>
                <w:rFonts w:ascii="Consolas" w:cs="Consolas" w:eastAsia="Consolas" w:hAnsi="Consolas"/>
                <w:color w:val="E6E6E6"/>
                <w:sz w:val="18"/>
                <w:szCs w:val="18"/>
              </w:rPr>
              <w:t xml:space="preserve">        (surrogate-keyed dimensions, watermarked/deduped facts, ML feature tables)</w:t>
            </w:r>
          </w:p>
        </w:tc>
      </w:tr>
    </w:tbl>
    <w:p>
      <w:pPr>
        <w:spacing w:after="120"/>
      </w:pPr>
    </w:p>
    <w:p>
      <w:pPr>
        <w:spacing w:after="160" w:line="276"/>
      </w:pPr>
      <w:r>
        <w:rPr>
          <w:b w:val="false"/>
          <w:bCs w:val="false"/>
          <w:i w:val="false"/>
          <w:iCs w:val="false"/>
          <w:color w:val="2B2B2B"/>
          <w:sz w:val="21"/>
          <w:szCs w:val="21"/>
        </w:rPr>
        <w:t xml:space="preserve">The platform is Azure Cosmos DB for PostgreSQL (Citus) — a distributed PostgreSQL service. gas_db is not a data-lakehouse-only design: it deliberately keeps a second, fully-relational copy of Gold data in PostgreSQL (rather than querying Parquet directly) specifically to retain PL/pgSQL stored procedures, ACID multi-statement transactions, and custom functions such as dim.token_sort_ratio, which a pure lakehouse/Spark-SQL engine would not support as cleanly. This hybrid tradeoff — paying for two copies of Gold-grain data in exchange for stored-procedure-based ETL and transactional upserts — is a deliberate architecture decision, not an oversight, and should be preserved by whoever inherits the system unless the tradeoff is revisited.</w:t>
      </w:r>
    </w:p>
    <w:p>
      <w:pPr>
        <w:pStyle w:val="Heading2"/>
        <w:spacing w:after="160" w:before="360"/>
      </w:pPr>
      <w:r>
        <w:rPr>
          <w:b/>
          <w:bCs/>
          <w:color w:val="1F2A44"/>
          <w:sz w:val="24"/>
          <w:szCs w:val="24"/>
        </w:rPr>
        <w:t xml:space="preserve">2.1 Database Inventory Summary</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1600"/>
        <w:gridCol w:w="1300"/>
        <w:gridCol w:w="3200"/>
        <w:gridCol w:w="5900"/>
      </w:tblGrid>
      <w:tr>
        <w:trPr>
          <w:tblHeader/>
        </w:trPr>
        <w:tc>
          <w:tcPr>
            <w:tcW w:type="dxa" w:w="1600"/>
            <w:shd w:fill="1F2A44" w:val="clear"/>
            <w:tcMar>
              <w:top w:type="dxa" w:w="100"/>
              <w:left w:type="dxa" w:w="120"/>
              <w:bottom w:type="dxa" w:w="100"/>
              <w:right w:type="dxa" w:w="120"/>
            </w:tcMar>
            <w:vAlign w:val="center"/>
          </w:tcPr>
          <w:p>
            <w:r>
              <w:rPr>
                <w:b/>
                <w:bCs/>
                <w:color w:val="FFFFFF"/>
                <w:sz w:val="19"/>
                <w:szCs w:val="19"/>
              </w:rPr>
              <w:t xml:space="preserve">Schema</w:t>
            </w:r>
          </w:p>
        </w:tc>
        <w:tc>
          <w:tcPr>
            <w:tcW w:type="dxa" w:w="1300"/>
            <w:shd w:fill="1F2A44" w:val="clear"/>
            <w:tcMar>
              <w:top w:type="dxa" w:w="100"/>
              <w:left w:type="dxa" w:w="120"/>
              <w:bottom w:type="dxa" w:w="100"/>
              <w:right w:type="dxa" w:w="120"/>
            </w:tcMar>
            <w:vAlign w:val="center"/>
          </w:tcPr>
          <w:p>
            <w:r>
              <w:rPr>
                <w:b/>
                <w:bCs/>
                <w:color w:val="FFFFFF"/>
                <w:sz w:val="19"/>
                <w:szCs w:val="19"/>
              </w:rPr>
              <w:t xml:space="preserve"># Tables</w:t>
            </w:r>
          </w:p>
        </w:tc>
        <w:tc>
          <w:tcPr>
            <w:tcW w:type="dxa" w:w="3200"/>
            <w:shd w:fill="1F2A44" w:val="clear"/>
            <w:tcMar>
              <w:top w:type="dxa" w:w="100"/>
              <w:left w:type="dxa" w:w="120"/>
              <w:bottom w:type="dxa" w:w="100"/>
              <w:right w:type="dxa" w:w="120"/>
            </w:tcMar>
            <w:vAlign w:val="center"/>
          </w:tcPr>
          <w:p>
            <w:r>
              <w:rPr>
                <w:b/>
                <w:bCs/>
                <w:color w:val="FFFFFF"/>
                <w:sz w:val="19"/>
                <w:szCs w:val="19"/>
              </w:rPr>
              <w:t xml:space="preserve"># Stored Procs/Fns</w:t>
            </w:r>
          </w:p>
        </w:tc>
        <w:tc>
          <w:tcPr>
            <w:tcW w:type="dxa" w:w="59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1600"/>
            <w:tcMar>
              <w:top w:type="dxa" w:w="80"/>
              <w:left w:type="dxa" w:w="120"/>
              <w:bottom w:type="dxa" w:w="80"/>
              <w:right w:type="dxa" w:w="120"/>
            </w:tcMar>
            <w:vAlign w:val="center"/>
          </w:tcPr>
          <w:p>
            <w:r>
              <w:rPr>
                <w:b w:val="false"/>
                <w:bCs w:val="false"/>
                <w:color w:val="2B2B2B"/>
                <w:sz w:val="19"/>
                <w:szCs w:val="19"/>
              </w:rPr>
              <w:t xml:space="preserve">dim</w:t>
            </w:r>
          </w:p>
        </w:tc>
        <w:tc>
          <w:tcPr>
            <w:tcW w:type="dxa" w:w="1300"/>
            <w:tcMar>
              <w:top w:type="dxa" w:w="80"/>
              <w:left w:type="dxa" w:w="120"/>
              <w:bottom w:type="dxa" w:w="80"/>
              <w:right w:type="dxa" w:w="120"/>
            </w:tcMar>
            <w:vAlign w:val="center"/>
          </w:tcPr>
          <w:p>
            <w:r>
              <w:rPr>
                <w:b w:val="false"/>
                <w:bCs w:val="false"/>
                <w:color w:val="2B2B2B"/>
                <w:sz w:val="19"/>
                <w:szCs w:val="19"/>
              </w:rPr>
              <w:t xml:space="preserve">41</w:t>
            </w:r>
          </w:p>
        </w:tc>
        <w:tc>
          <w:tcPr>
            <w:tcW w:type="dxa" w:w="3200"/>
            <w:tcMar>
              <w:top w:type="dxa" w:w="80"/>
              <w:left w:type="dxa" w:w="120"/>
              <w:bottom w:type="dxa" w:w="80"/>
              <w:right w:type="dxa" w:w="120"/>
            </w:tcMar>
            <w:vAlign w:val="center"/>
          </w:tcPr>
          <w:p>
            <w:r>
              <w:rPr>
                <w:b w:val="false"/>
                <w:bCs w:val="false"/>
                <w:color w:val="2B2B2B"/>
                <w:sz w:val="19"/>
                <w:szCs w:val="19"/>
              </w:rPr>
              <w:t xml:space="preserve">20</w:t>
            </w:r>
          </w:p>
        </w:tc>
        <w:tc>
          <w:tcPr>
            <w:tcW w:type="dxa" w:w="5900"/>
            <w:tcMar>
              <w:top w:type="dxa" w:w="80"/>
              <w:left w:type="dxa" w:w="120"/>
              <w:bottom w:type="dxa" w:w="80"/>
              <w:right w:type="dxa" w:w="120"/>
            </w:tcMar>
            <w:vAlign w:val="center"/>
          </w:tcPr>
          <w:p>
            <w:r>
              <w:rPr>
                <w:b w:val="false"/>
                <w:bCs w:val="false"/>
                <w:color w:val="2B2B2B"/>
                <w:sz w:val="19"/>
                <w:szCs w:val="19"/>
              </w:rPr>
              <w:t xml:space="preserve">Slowly-changing reference/dimension data: menu, catalog, kiosk, location, organization, customer.</w:t>
            </w:r>
          </w:p>
        </w:tc>
      </w:tr>
      <w:tr>
        <w:tc>
          <w:tcPr>
            <w:tcW w:type="dxa" w:w="1600"/>
            <w:shd w:fill="EFF3F5" w:val="clear"/>
            <w:tcMar>
              <w:top w:type="dxa" w:w="80"/>
              <w:left w:type="dxa" w:w="120"/>
              <w:bottom w:type="dxa" w:w="80"/>
              <w:right w:type="dxa" w:w="120"/>
            </w:tcMar>
            <w:vAlign w:val="center"/>
          </w:tcPr>
          <w:p>
            <w:r>
              <w:rPr>
                <w:b w:val="false"/>
                <w:bCs w:val="false"/>
                <w:color w:val="2B2B2B"/>
                <w:sz w:val="19"/>
                <w:szCs w:val="19"/>
              </w:rPr>
              <w:t xml:space="preserve">fact</w:t>
            </w:r>
          </w:p>
        </w:tc>
        <w:tc>
          <w:tcPr>
            <w:tcW w:type="dxa" w:w="1300"/>
            <w:shd w:fill="EFF3F5" w:val="clear"/>
            <w:tcMar>
              <w:top w:type="dxa" w:w="80"/>
              <w:left w:type="dxa" w:w="120"/>
              <w:bottom w:type="dxa" w:w="80"/>
              <w:right w:type="dxa" w:w="120"/>
            </w:tcMar>
            <w:vAlign w:val="center"/>
          </w:tcPr>
          <w:p>
            <w:r>
              <w:rPr>
                <w:b w:val="false"/>
                <w:bCs w:val="false"/>
                <w:color w:val="2B2B2B"/>
                <w:sz w:val="19"/>
                <w:szCs w:val="19"/>
              </w:rPr>
              <w:t xml:space="preserve">33</w:t>
            </w:r>
          </w:p>
        </w:tc>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36 (34 proc + 2 fn)</w:t>
            </w:r>
          </w:p>
        </w:tc>
        <w:tc>
          <w:tcPr>
            <w:tcW w:type="dxa" w:w="5900"/>
            <w:shd w:fill="EFF3F5" w:val="clear"/>
            <w:tcMar>
              <w:top w:type="dxa" w:w="80"/>
              <w:left w:type="dxa" w:w="120"/>
              <w:bottom w:type="dxa" w:w="80"/>
              <w:right w:type="dxa" w:w="120"/>
            </w:tcMar>
            <w:vAlign w:val="center"/>
          </w:tcPr>
          <w:p>
            <w:r>
              <w:rPr>
                <w:b w:val="false"/>
                <w:bCs w:val="false"/>
                <w:color w:val="2B2B2B"/>
                <w:sz w:val="19"/>
                <w:szCs w:val="19"/>
              </w:rPr>
              <w:t xml:space="preserve">Transactional and event-grain measures: orders, device events, telemetry, surveys, recommendations.</w:t>
            </w:r>
          </w:p>
        </w:tc>
      </w:tr>
      <w:tr>
        <w:tc>
          <w:tcPr>
            <w:tcW w:type="dxa" w:w="1600"/>
            <w:tcMar>
              <w:top w:type="dxa" w:w="80"/>
              <w:left w:type="dxa" w:w="120"/>
              <w:bottom w:type="dxa" w:w="80"/>
              <w:right w:type="dxa" w:w="120"/>
            </w:tcMar>
            <w:vAlign w:val="center"/>
          </w:tcPr>
          <w:p>
            <w:r>
              <w:rPr>
                <w:b w:val="false"/>
                <w:bCs w:val="false"/>
                <w:color w:val="2B2B2B"/>
                <w:sz w:val="19"/>
                <w:szCs w:val="19"/>
              </w:rPr>
              <w:t xml:space="preserve">ml</w:t>
            </w:r>
          </w:p>
        </w:tc>
        <w:tc>
          <w:tcPr>
            <w:tcW w:type="dxa" w:w="1300"/>
            <w:tcMar>
              <w:top w:type="dxa" w:w="80"/>
              <w:left w:type="dxa" w:w="120"/>
              <w:bottom w:type="dxa" w:w="80"/>
              <w:right w:type="dxa" w:w="120"/>
            </w:tcMar>
            <w:vAlign w:val="center"/>
          </w:tcPr>
          <w:p>
            <w:r>
              <w:rPr>
                <w:b w:val="false"/>
                <w:bCs w:val="false"/>
                <w:color w:val="2B2B2B"/>
                <w:sz w:val="19"/>
                <w:szCs w:val="19"/>
              </w:rPr>
              <w:t xml:space="preserve">8</w:t>
            </w:r>
          </w:p>
        </w:tc>
        <w:tc>
          <w:tcPr>
            <w:tcW w:type="dxa" w:w="3200"/>
            <w:tcMar>
              <w:top w:type="dxa" w:w="80"/>
              <w:left w:type="dxa" w:w="120"/>
              <w:bottom w:type="dxa" w:w="80"/>
              <w:right w:type="dxa" w:w="120"/>
            </w:tcMar>
            <w:vAlign w:val="center"/>
          </w:tcPr>
          <w:p>
            <w:r>
              <w:rPr>
                <w:b w:val="false"/>
                <w:bCs w:val="false"/>
                <w:color w:val="2B2B2B"/>
                <w:sz w:val="19"/>
                <w:szCs w:val="19"/>
              </w:rPr>
              <w:t xml:space="preserve">8</w:t>
            </w:r>
          </w:p>
        </w:tc>
        <w:tc>
          <w:tcPr>
            <w:tcW w:type="dxa" w:w="5900"/>
            <w:tcMar>
              <w:top w:type="dxa" w:w="80"/>
              <w:left w:type="dxa" w:w="120"/>
              <w:bottom w:type="dxa" w:w="80"/>
              <w:right w:type="dxa" w:w="120"/>
            </w:tcMar>
            <w:vAlign w:val="center"/>
          </w:tcPr>
          <w:p>
            <w:r>
              <w:rPr>
                <w:b w:val="false"/>
                <w:bCs w:val="false"/>
                <w:color w:val="2B2B2B"/>
                <w:sz w:val="19"/>
                <w:szCs w:val="19"/>
              </w:rPr>
              <w:t xml:space="preserve">Denormalized feature tables consumed by the ML/Data Science team.</w:t>
            </w:r>
          </w:p>
        </w:tc>
      </w:tr>
      <w:tr>
        <w:tc>
          <w:tcPr>
            <w:tcW w:type="dxa" w:w="1600"/>
            <w:shd w:fill="EFF3F5" w:val="clear"/>
            <w:tcMar>
              <w:top w:type="dxa" w:w="80"/>
              <w:left w:type="dxa" w:w="120"/>
              <w:bottom w:type="dxa" w:w="80"/>
              <w:right w:type="dxa" w:w="120"/>
            </w:tcMar>
            <w:vAlign w:val="center"/>
          </w:tcPr>
          <w:p>
            <w:r>
              <w:rPr>
                <w:b w:val="false"/>
                <w:bCs w:val="false"/>
                <w:color w:val="2B2B2B"/>
                <w:sz w:val="19"/>
                <w:szCs w:val="19"/>
              </w:rPr>
              <w:t xml:space="preserve">stg</w:t>
            </w:r>
          </w:p>
        </w:tc>
        <w:tc>
          <w:tcPr>
            <w:tcW w:type="dxa" w:w="1300"/>
            <w:shd w:fill="EFF3F5" w:val="clear"/>
            <w:tcMar>
              <w:top w:type="dxa" w:w="80"/>
              <w:left w:type="dxa" w:w="120"/>
              <w:bottom w:type="dxa" w:w="80"/>
              <w:right w:type="dxa" w:w="120"/>
            </w:tcMar>
            <w:vAlign w:val="center"/>
          </w:tcPr>
          <w:p>
            <w:r>
              <w:rPr>
                <w:b w:val="false"/>
                <w:bCs w:val="false"/>
                <w:color w:val="2B2B2B"/>
                <w:sz w:val="19"/>
                <w:szCs w:val="19"/>
              </w:rPr>
              <w:t xml:space="preserve">45</w:t>
            </w:r>
          </w:p>
        </w:tc>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0 (loaded by ADF Copy/Data Flow, truncated by etl.truncate_silver_staging)</w:t>
            </w:r>
          </w:p>
        </w:tc>
        <w:tc>
          <w:tcPr>
            <w:tcW w:type="dxa" w:w="5900"/>
            <w:shd w:fill="EFF3F5" w:val="clear"/>
            <w:tcMar>
              <w:top w:type="dxa" w:w="80"/>
              <w:left w:type="dxa" w:w="120"/>
              <w:bottom w:type="dxa" w:w="80"/>
              <w:right w:type="dxa" w:w="120"/>
            </w:tcMar>
            <w:vAlign w:val="center"/>
          </w:tcPr>
          <w:p>
            <w:r>
              <w:rPr>
                <w:b w:val="false"/>
                <w:bCs w:val="false"/>
                <w:color w:val="2B2B2B"/>
                <w:sz w:val="19"/>
                <w:szCs w:val="19"/>
              </w:rPr>
              <w:t xml:space="preserve">Silver staging / landing zone for Bronze data before Gold load.</w:t>
            </w:r>
          </w:p>
        </w:tc>
      </w:tr>
      <w:tr>
        <w:tc>
          <w:tcPr>
            <w:tcW w:type="dxa" w:w="1600"/>
            <w:tcMar>
              <w:top w:type="dxa" w:w="80"/>
              <w:left w:type="dxa" w:w="120"/>
              <w:bottom w:type="dxa" w:w="80"/>
              <w:right w:type="dxa" w:w="120"/>
            </w:tcMar>
            <w:vAlign w:val="center"/>
          </w:tcPr>
          <w:p>
            <w:r>
              <w:rPr>
                <w:b w:val="false"/>
                <w:bCs w:val="false"/>
                <w:color w:val="2B2B2B"/>
                <w:sz w:val="19"/>
                <w:szCs w:val="19"/>
              </w:rPr>
              <w:t xml:space="preserve">etl</w:t>
            </w:r>
          </w:p>
        </w:tc>
        <w:tc>
          <w:tcPr>
            <w:tcW w:type="dxa" w:w="1300"/>
            <w:tcMar>
              <w:top w:type="dxa" w:w="80"/>
              <w:left w:type="dxa" w:w="120"/>
              <w:bottom w:type="dxa" w:w="80"/>
              <w:right w:type="dxa" w:w="120"/>
            </w:tcMar>
            <w:vAlign w:val="center"/>
          </w:tcPr>
          <w:p>
            <w:r>
              <w:rPr>
                <w:b w:val="false"/>
                <w:bCs w:val="false"/>
                <w:color w:val="2B2B2B"/>
                <w:sz w:val="19"/>
                <w:szCs w:val="19"/>
              </w:rPr>
              <w:t xml:space="preserve">1</w:t>
            </w:r>
          </w:p>
        </w:tc>
        <w:tc>
          <w:tcPr>
            <w:tcW w:type="dxa" w:w="3200"/>
            <w:tcMar>
              <w:top w:type="dxa" w:w="80"/>
              <w:left w:type="dxa" w:w="120"/>
              <w:bottom w:type="dxa" w:w="80"/>
              <w:right w:type="dxa" w:w="120"/>
            </w:tcMar>
            <w:vAlign w:val="center"/>
          </w:tcPr>
          <w:p>
            <w:r>
              <w:rPr>
                <w:b w:val="false"/>
                <w:bCs w:val="false"/>
                <w:color w:val="2B2B2B"/>
                <w:sz w:val="19"/>
                <w:szCs w:val="19"/>
              </w:rPr>
              <w:t xml:space="preserve">1 (truncate_silver_staging)</w:t>
            </w:r>
          </w:p>
        </w:tc>
        <w:tc>
          <w:tcPr>
            <w:tcW w:type="dxa" w:w="5900"/>
            <w:tcMar>
              <w:top w:type="dxa" w:w="80"/>
              <w:left w:type="dxa" w:w="120"/>
              <w:bottom w:type="dxa" w:w="80"/>
              <w:right w:type="dxa" w:w="120"/>
            </w:tcMar>
            <w:vAlign w:val="center"/>
          </w:tcPr>
          <w:p>
            <w:r>
              <w:rPr>
                <w:b w:val="false"/>
                <w:bCs w:val="false"/>
                <w:color w:val="2B2B2B"/>
                <w:sz w:val="19"/>
                <w:szCs w:val="19"/>
              </w:rPr>
              <w:t xml:space="preserve">Pipeline orchestration metadata: Bronze partition watermark registry.</w:t>
            </w:r>
          </w:p>
        </w:tc>
      </w:tr>
    </w:tbl>
    <w:p>
      <w:pPr>
        <w:spacing w:after="120"/>
      </w:pPr>
    </w:p>
    <w:p>
      <w:pPr>
        <w:spacing w:after="160" w:line="276"/>
      </w:pPr>
      <w:r>
        <w:rPr>
          <w:b w:val="false"/>
          <w:bCs w:val="false"/>
          <w:i w:val="false"/>
          <w:iCs w:val="false"/>
          <w:color w:val="2B2B2B"/>
          <w:sz w:val="21"/>
          <w:szCs w:val="21"/>
        </w:rPr>
        <w:t xml:space="preserve">128 tables and 64 stored routines total, orchestrated by 67 ADF pipelines. The sections below cover each schema in depth, then the ADF orchestration layer, then a consolidated list of known issues and a recommended KT session plan.</w:t>
      </w:r>
    </w:p>
    <w:p>
      <w:r>
        <w:br w:type="page"/>
      </w:r>
    </w:p>
    <w:p>
      <w:pPr>
        <w:pStyle w:val="Heading1"/>
        <w:pBdr>
          <w:bottom w:val="single" w:color="0F6E6B" w:sz="8" w:space="4"/>
        </w:pBdr>
        <w:spacing w:after="200" w:before="480"/>
      </w:pPr>
      <w:r>
        <w:rPr>
          <w:b/>
          <w:bCs/>
          <w:color w:val="1F2A44"/>
          <w:sz w:val="30"/>
          <w:szCs w:val="30"/>
        </w:rPr>
        <w:t xml:space="preserve">3. Schema: dim — Reference &amp; Dimension Data</w:t>
      </w:r>
    </w:p>
    <w:p>
      <w:pPr>
        <w:spacing w:after="160" w:line="276"/>
      </w:pPr>
      <w:r>
        <w:rPr>
          <w:b w:val="false"/>
          <w:bCs w:val="false"/>
          <w:i w:val="false"/>
          <w:iCs w:val="false"/>
          <w:color w:val="2B2B2B"/>
          <w:sz w:val="21"/>
          <w:szCs w:val="21"/>
        </w:rPr>
        <w:t xml:space="preserve">41 tables. Slowly-changing reference data refreshed from stg.dim_* staging tables. Every dim refresh procedure follows the same rebuild pattern (Section 3.2) and every surrogate-keyed dim table uses one of the 12 manually-managed sequences described in Section 8, not IDENTITY columns.</w:t>
      </w:r>
    </w:p>
    <w:p>
      <w:pPr>
        <w:pStyle w:val="Heading2"/>
        <w:spacing w:after="160" w:before="360"/>
      </w:pPr>
      <w:r>
        <w:rPr>
          <w:b/>
          <w:bCs/>
          <w:color w:val="1F2A44"/>
          <w:sz w:val="24"/>
          <w:szCs w:val="24"/>
        </w:rPr>
        <w:t xml:space="preserve">3.1 Table Inventory</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400"/>
        <w:gridCol w:w="900"/>
        <w:gridCol w:w="660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9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6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abtests</w:t>
            </w:r>
          </w:p>
        </w:tc>
        <w:tc>
          <w:tcPr>
            <w:tcW w:type="dxa" w:w="900"/>
            <w:tcMar>
              <w:top w:type="dxa" w:w="80"/>
              <w:left w:type="dxa" w:w="120"/>
              <w:bottom w:type="dxa" w:w="80"/>
              <w:right w:type="dxa" w:w="120"/>
            </w:tcMar>
            <w:vAlign w:val="center"/>
          </w:tcPr>
          <w:p>
            <w:r>
              <w:rPr>
                <w:b w:val="false"/>
                <w:bCs w:val="false"/>
                <w:color w:val="2B2B2B"/>
                <w:sz w:val="19"/>
                <w:szCs w:val="19"/>
              </w:rPr>
              <w:t xml:space="preserve">12</w:t>
            </w:r>
          </w:p>
        </w:tc>
        <w:tc>
          <w:tcPr>
            <w:tcW w:type="dxa" w:w="6600"/>
            <w:tcMar>
              <w:top w:type="dxa" w:w="80"/>
              <w:left w:type="dxa" w:w="120"/>
              <w:bottom w:type="dxa" w:w="80"/>
              <w:right w:type="dxa" w:w="120"/>
            </w:tcMar>
            <w:vAlign w:val="center"/>
          </w:tcPr>
          <w:p>
            <w:r>
              <w:rPr>
                <w:b w:val="false"/>
                <w:bCs w:val="false"/>
                <w:color w:val="2B2B2B"/>
                <w:sz w:val="19"/>
                <w:szCs w:val="19"/>
              </w:rPr>
              <w:t xml:space="preserve">A/B test assignment per order session — links experimentid/variantid to a device and session.</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catalog</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14</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One row per menu catalog (a catalog is the top-level menu container tied to an organization).</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category_hierarchy</w:t>
            </w:r>
          </w:p>
        </w:tc>
        <w:tc>
          <w:tcPr>
            <w:tcW w:type="dxa" w:w="900"/>
            <w:tcMar>
              <w:top w:type="dxa" w:w="80"/>
              <w:left w:type="dxa" w:w="120"/>
              <w:bottom w:type="dxa" w:w="80"/>
              <w:right w:type="dxa" w:w="120"/>
            </w:tcMar>
            <w:vAlign w:val="center"/>
          </w:tcPr>
          <w:p>
            <w:r>
              <w:rPr>
                <w:b w:val="false"/>
                <w:bCs w:val="false"/>
                <w:color w:val="2B2B2B"/>
                <w:sz w:val="19"/>
                <w:szCs w:val="19"/>
              </w:rPr>
              <w:t xml:space="preserve">29</w:t>
            </w:r>
          </w:p>
        </w:tc>
        <w:tc>
          <w:tcPr>
            <w:tcW w:type="dxa" w:w="6600"/>
            <w:tcMar>
              <w:top w:type="dxa" w:w="80"/>
              <w:left w:type="dxa" w:w="120"/>
              <w:bottom w:type="dxa" w:w="80"/>
              <w:right w:type="dxa" w:w="120"/>
            </w:tcMar>
            <w:vAlign w:val="center"/>
          </w:tcPr>
          <w:p>
            <w:r>
              <w:rPr>
                <w:b w:val="false"/>
                <w:bCs w:val="false"/>
                <w:color w:val="2B2B2B"/>
                <w:sz w:val="19"/>
                <w:szCs w:val="19"/>
              </w:rPr>
              <w:t xml:space="preserve">Widest dim table (29 cols) — full catalog→category→subcategory mapping hierarchy incl. audit timestamps.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company</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10</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Company/brand-level reference data (business contact info, address).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datedim</w:t>
            </w:r>
          </w:p>
        </w:tc>
        <w:tc>
          <w:tcPr>
            <w:tcW w:type="dxa" w:w="900"/>
            <w:tcMar>
              <w:top w:type="dxa" w:w="80"/>
              <w:left w:type="dxa" w:w="120"/>
              <w:bottom w:type="dxa" w:w="80"/>
              <w:right w:type="dxa" w:w="120"/>
            </w:tcMar>
            <w:vAlign w:val="center"/>
          </w:tcPr>
          <w:p>
            <w:r>
              <w:rPr>
                <w:b w:val="false"/>
                <w:bCs w:val="false"/>
                <w:color w:val="2B2B2B"/>
                <w:sz w:val="19"/>
                <w:szCs w:val="19"/>
              </w:rPr>
              <w:t xml:space="preserve">13</w:t>
            </w:r>
          </w:p>
        </w:tc>
        <w:tc>
          <w:tcPr>
            <w:tcW w:type="dxa" w:w="6600"/>
            <w:tcMar>
              <w:top w:type="dxa" w:w="80"/>
              <w:left w:type="dxa" w:w="120"/>
              <w:bottom w:type="dxa" w:w="80"/>
              <w:right w:type="dxa" w:w="120"/>
            </w:tcMar>
            <w:vAlign w:val="center"/>
          </w:tcPr>
          <w:p>
            <w:r>
              <w:rPr>
                <w:b w:val="false"/>
                <w:bCs w:val="false"/>
                <w:color w:val="2B2B2B"/>
                <w:sz w:val="19"/>
                <w:szCs w:val="19"/>
              </w:rPr>
              <w:t xml:space="preserve">Standard calendar date dimension (day/week/month/quarter/year attributes) — joined by nearly every fact table for dateid.</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device</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15</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Physical device registry (kiosks, KDS, etc.) with current/previous operational state.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duplicate_items_master</w:t>
            </w:r>
          </w:p>
        </w:tc>
        <w:tc>
          <w:tcPr>
            <w:tcW w:type="dxa" w:w="900"/>
            <w:tcMar>
              <w:top w:type="dxa" w:w="80"/>
              <w:left w:type="dxa" w:w="120"/>
              <w:bottom w:type="dxa" w:w="80"/>
              <w:right w:type="dxa" w:w="120"/>
            </w:tcMar>
            <w:vAlign w:val="center"/>
          </w:tcPr>
          <w:p>
            <w:r>
              <w:rPr>
                <w:b w:val="false"/>
                <w:bCs w:val="false"/>
                <w:color w:val="2B2B2B"/>
                <w:sz w:val="19"/>
                <w:szCs w:val="19"/>
              </w:rPr>
              <w:t xml:space="preserve">12</w:t>
            </w:r>
          </w:p>
        </w:tc>
        <w:tc>
          <w:tcPr>
            <w:tcW w:type="dxa" w:w="6600"/>
            <w:tcMar>
              <w:top w:type="dxa" w:w="80"/>
              <w:left w:type="dxa" w:w="120"/>
              <w:bottom w:type="dxa" w:w="80"/>
              <w:right w:type="dxa" w:w="120"/>
            </w:tcMar>
            <w:vAlign w:val="center"/>
          </w:tcPr>
          <w:p>
            <w:r>
              <w:rPr>
                <w:b w:val="false"/>
                <w:bCs w:val="false"/>
                <w:color w:val="2B2B2B"/>
                <w:sz w:val="19"/>
                <w:szCs w:val="19"/>
              </w:rPr>
              <w:t xml:space="preserve">Output of dim.usp_master_keys_for_duplicate_items — maps duplicate item instances to one master item key per category.</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element</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5</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"GOU element" lookup; surrogate key via dim.element_elementid_seq.</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experiment</w:t>
            </w:r>
          </w:p>
        </w:tc>
        <w:tc>
          <w:tcPr>
            <w:tcW w:type="dxa" w:w="900"/>
            <w:tcMar>
              <w:top w:type="dxa" w:w="80"/>
              <w:left w:type="dxa" w:w="120"/>
              <w:bottom w:type="dxa" w:w="80"/>
              <w:right w:type="dxa" w:w="120"/>
            </w:tcMar>
            <w:vAlign w:val="center"/>
          </w:tcPr>
          <w:p>
            <w:r>
              <w:rPr>
                <w:b w:val="false"/>
                <w:bCs w:val="false"/>
                <w:color w:val="2B2B2B"/>
                <w:sz w:val="19"/>
                <w:szCs w:val="19"/>
              </w:rPr>
              <w:t xml:space="preserve">2</w:t>
            </w:r>
          </w:p>
        </w:tc>
        <w:tc>
          <w:tcPr>
            <w:tcW w:type="dxa" w:w="6600"/>
            <w:tcMar>
              <w:top w:type="dxa" w:w="80"/>
              <w:left w:type="dxa" w:w="120"/>
              <w:bottom w:type="dxa" w:w="80"/>
              <w:right w:type="dxa" w:w="120"/>
            </w:tcMar>
            <w:vAlign w:val="center"/>
          </w:tcPr>
          <w:p>
            <w:r>
              <w:rPr>
                <w:b w:val="false"/>
                <w:bCs w:val="false"/>
                <w:color w:val="2B2B2B"/>
                <w:sz w:val="19"/>
                <w:szCs w:val="19"/>
              </w:rPr>
              <w:t xml:space="preserve">Minimal experiment key/data pair supporting dim.abtests.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feedbackrating</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2</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Static lookup: survey rating code → description.</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feedbackstatus</w:t>
            </w:r>
          </w:p>
        </w:tc>
        <w:tc>
          <w:tcPr>
            <w:tcW w:type="dxa" w:w="900"/>
            <w:tcMar>
              <w:top w:type="dxa" w:w="80"/>
              <w:left w:type="dxa" w:w="120"/>
              <w:bottom w:type="dxa" w:w="80"/>
              <w:right w:type="dxa" w:w="120"/>
            </w:tcMar>
            <w:vAlign w:val="center"/>
          </w:tcPr>
          <w:p>
            <w:r>
              <w:rPr>
                <w:b w:val="false"/>
                <w:bCs w:val="false"/>
                <w:color w:val="2B2B2B"/>
                <w:sz w:val="19"/>
                <w:szCs w:val="19"/>
              </w:rPr>
              <w:t xml:space="preserve">2</w:t>
            </w:r>
          </w:p>
        </w:tc>
        <w:tc>
          <w:tcPr>
            <w:tcW w:type="dxa" w:w="6600"/>
            <w:tcMar>
              <w:top w:type="dxa" w:w="80"/>
              <w:left w:type="dxa" w:w="120"/>
              <w:bottom w:type="dxa" w:w="80"/>
              <w:right w:type="dxa" w:w="120"/>
            </w:tcMar>
            <w:vAlign w:val="center"/>
          </w:tcPr>
          <w:p>
            <w:r>
              <w:rPr>
                <w:b w:val="false"/>
                <w:bCs w:val="false"/>
                <w:color w:val="2B2B2B"/>
                <w:sz w:val="19"/>
                <w:szCs w:val="19"/>
              </w:rPr>
              <w:t xml:space="preserve">Static lookup: survey transaction status code → description.</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frequentcustomer</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15</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Loyalty/repeat-customer dimension (name, contact, first/last order date).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frequentcustomer_bkp</w:t>
            </w:r>
          </w:p>
        </w:tc>
        <w:tc>
          <w:tcPr>
            <w:tcW w:type="dxa" w:w="900"/>
            <w:tcMar>
              <w:top w:type="dxa" w:w="80"/>
              <w:left w:type="dxa" w:w="120"/>
              <w:bottom w:type="dxa" w:w="80"/>
              <w:right w:type="dxa" w:w="120"/>
            </w:tcMar>
            <w:vAlign w:val="center"/>
          </w:tcPr>
          <w:p>
            <w:r>
              <w:rPr>
                <w:b w:val="false"/>
                <w:bCs w:val="false"/>
                <w:color w:val="2B2B2B"/>
                <w:sz w:val="19"/>
                <w:szCs w:val="19"/>
              </w:rPr>
              <w:t xml:space="preserve">15</w:t>
            </w:r>
          </w:p>
        </w:tc>
        <w:tc>
          <w:tcPr>
            <w:tcW w:type="dxa" w:w="6600"/>
            <w:tcMar>
              <w:top w:type="dxa" w:w="80"/>
              <w:left w:type="dxa" w:w="120"/>
              <w:bottom w:type="dxa" w:w="80"/>
              <w:right w:type="dxa" w:w="120"/>
            </w:tcMar>
            <w:vAlign w:val="center"/>
          </w:tcPr>
          <w:p>
            <w:r>
              <w:rPr>
                <w:b w:val="false"/>
                <w:bCs w:val="false"/>
                <w:color w:val="2B2B2B"/>
                <w:sz w:val="19"/>
                <w:szCs w:val="19"/>
              </w:rPr>
              <w:t xml:space="preserve">Point-in-time backup of dim.frequentcustomer (pre-refresh safety copy).</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grubbrr_source_lookup</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Static lookup of upstream source systems (NGE/GEM/GSH/GXS/GOU) referenced by sourceid columns.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holidays</w:t>
            </w:r>
          </w:p>
        </w:tc>
        <w:tc>
          <w:tcPr>
            <w:tcW w:type="dxa" w:w="900"/>
            <w:tcMar>
              <w:top w:type="dxa" w:w="80"/>
              <w:left w:type="dxa" w:w="120"/>
              <w:bottom w:type="dxa" w:w="80"/>
              <w:right w:type="dxa" w:w="120"/>
            </w:tcMar>
            <w:vAlign w:val="center"/>
          </w:tcPr>
          <w:p>
            <w:r>
              <w:rPr>
                <w:b w:val="false"/>
                <w:bCs w:val="false"/>
                <w:color w:val="2B2B2B"/>
                <w:sz w:val="19"/>
                <w:szCs w:val="19"/>
              </w:rPr>
              <w:t xml:space="preserve">8</w:t>
            </w:r>
          </w:p>
        </w:tc>
        <w:tc>
          <w:tcPr>
            <w:tcW w:type="dxa" w:w="6600"/>
            <w:tcMar>
              <w:top w:type="dxa" w:w="80"/>
              <w:left w:type="dxa" w:w="120"/>
              <w:bottom w:type="dxa" w:w="80"/>
              <w:right w:type="dxa" w:w="120"/>
            </w:tcMar>
            <w:vAlign w:val="center"/>
          </w:tcPr>
          <w:p>
            <w:r>
              <w:rPr>
                <w:b w:val="false"/>
                <w:bCs w:val="false"/>
                <w:color w:val="2B2B2B"/>
                <w:sz w:val="19"/>
                <w:szCs w:val="19"/>
              </w:rPr>
              <w:t xml:space="preserve">Holiday calendar (name, date, religion/type flags) used for demand-pattern and weather-adjacent analysis.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item_modifier_group_modifier_mapping</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25</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Item→modifier-group→modifier bridge with min/max/free-count selection rules (25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itemcategory</w:t>
            </w:r>
          </w:p>
        </w:tc>
        <w:tc>
          <w:tcPr>
            <w:tcW w:type="dxa" w:w="900"/>
            <w:tcMar>
              <w:top w:type="dxa" w:w="80"/>
              <w:left w:type="dxa" w:w="120"/>
              <w:bottom w:type="dxa" w:w="80"/>
              <w:right w:type="dxa" w:w="120"/>
            </w:tcMar>
            <w:vAlign w:val="center"/>
          </w:tcPr>
          <w:p>
            <w:r>
              <w:rPr>
                <w:b w:val="false"/>
                <w:bCs w:val="false"/>
                <w:color w:val="2B2B2B"/>
                <w:sz w:val="19"/>
                <w:szCs w:val="19"/>
              </w:rPr>
              <w:t xml:space="preserve">17</w:t>
            </w:r>
          </w:p>
        </w:tc>
        <w:tc>
          <w:tcPr>
            <w:tcW w:type="dxa" w:w="6600"/>
            <w:tcMar>
              <w:top w:type="dxa" w:w="80"/>
              <w:left w:type="dxa" w:w="120"/>
              <w:bottom w:type="dxa" w:w="80"/>
              <w:right w:type="dxa" w:w="120"/>
            </w:tcMar>
            <w:vAlign w:val="center"/>
          </w:tcPr>
          <w:p>
            <w:r>
              <w:rPr>
                <w:b w:val="false"/>
                <w:bCs w:val="false"/>
                <w:color w:val="2B2B2B"/>
                <w:sz w:val="19"/>
                <w:szCs w:val="19"/>
              </w:rPr>
              <w:t xml:space="preserve">Location-scoped category dimension.</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itemcategory_bkp</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5</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Backup copy of dim.itemcategory.</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itemcategorymapping</w:t>
            </w:r>
          </w:p>
        </w:tc>
        <w:tc>
          <w:tcPr>
            <w:tcW w:type="dxa" w:w="900"/>
            <w:tcMar>
              <w:top w:type="dxa" w:w="80"/>
              <w:left w:type="dxa" w:w="120"/>
              <w:bottom w:type="dxa" w:w="80"/>
              <w:right w:type="dxa" w:w="120"/>
            </w:tcMar>
            <w:vAlign w:val="center"/>
          </w:tcPr>
          <w:p>
            <w:r>
              <w:rPr>
                <w:b w:val="false"/>
                <w:bCs w:val="false"/>
                <w:color w:val="2B2B2B"/>
                <w:sz w:val="19"/>
                <w:szCs w:val="19"/>
              </w:rPr>
              <w:t xml:space="preserve">9</w:t>
            </w:r>
          </w:p>
        </w:tc>
        <w:tc>
          <w:tcPr>
            <w:tcW w:type="dxa" w:w="6600"/>
            <w:tcMar>
              <w:top w:type="dxa" w:w="80"/>
              <w:left w:type="dxa" w:w="120"/>
              <w:bottom w:type="dxa" w:w="80"/>
              <w:right w:type="dxa" w:w="120"/>
            </w:tcMar>
            <w:vAlign w:val="center"/>
          </w:tcPr>
          <w:p>
            <w:r>
              <w:rPr>
                <w:b w:val="false"/>
                <w:bCs w:val="false"/>
                <w:color w:val="2B2B2B"/>
                <w:sz w:val="19"/>
                <w:szCs w:val="19"/>
              </w:rPr>
              <w:t xml:space="preserve">Category-to-menu-item mapping bridge table.</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kiosk</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12</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Kiosk device dimension (serial number, app version, test-kiosk flag); surrogate key via dim.kiosk_id_seq.</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kioskdetails</w:t>
            </w:r>
          </w:p>
        </w:tc>
        <w:tc>
          <w:tcPr>
            <w:tcW w:type="dxa" w:w="900"/>
            <w:tcMar>
              <w:top w:type="dxa" w:w="80"/>
              <w:left w:type="dxa" w:w="120"/>
              <w:bottom w:type="dxa" w:w="80"/>
              <w:right w:type="dxa" w:w="120"/>
            </w:tcMar>
            <w:vAlign w:val="center"/>
          </w:tcPr>
          <w:p>
            <w:r>
              <w:rPr>
                <w:b w:val="false"/>
                <w:bCs w:val="false"/>
                <w:color w:val="2B2B2B"/>
                <w:sz w:val="19"/>
                <w:szCs w:val="19"/>
              </w:rPr>
              <w:t xml:space="preserve">42</w:t>
            </w:r>
          </w:p>
        </w:tc>
        <w:tc>
          <w:tcPr>
            <w:tcW w:type="dxa" w:w="6600"/>
            <w:tcMar>
              <w:top w:type="dxa" w:w="80"/>
              <w:left w:type="dxa" w:w="120"/>
              <w:bottom w:type="dxa" w:w="80"/>
              <w:right w:type="dxa" w:w="120"/>
            </w:tcMar>
            <w:vAlign w:val="center"/>
          </w:tcPr>
          <w:p>
            <w:r>
              <w:rPr>
                <w:b w:val="false"/>
                <w:bCs w:val="false"/>
                <w:color w:val="2B2B2B"/>
                <w:sz w:val="19"/>
                <w:szCs w:val="19"/>
              </w:rPr>
              <w:t xml:space="preserve">Widest kiosk-related dim (42 cols) — sync version, POS/loyalty/payment provider linkage per kiosk.</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location</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14</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Store/location master (address, geo-coordinates, grouping).</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locationcatalog</w:t>
            </w:r>
          </w:p>
        </w:tc>
        <w:tc>
          <w:tcPr>
            <w:tcW w:type="dxa" w:w="900"/>
            <w:tcMar>
              <w:top w:type="dxa" w:w="80"/>
              <w:left w:type="dxa" w:w="120"/>
              <w:bottom w:type="dxa" w:w="80"/>
              <w:right w:type="dxa" w:w="120"/>
            </w:tcMar>
            <w:vAlign w:val="center"/>
          </w:tcPr>
          <w:p>
            <w:r>
              <w:rPr>
                <w:b w:val="false"/>
                <w:bCs w:val="false"/>
                <w:color w:val="2B2B2B"/>
                <w:sz w:val="19"/>
                <w:szCs w:val="19"/>
              </w:rPr>
              <w:t xml:space="preserve">7</w:t>
            </w:r>
          </w:p>
        </w:tc>
        <w:tc>
          <w:tcPr>
            <w:tcW w:type="dxa" w:w="6600"/>
            <w:tcMar>
              <w:top w:type="dxa" w:w="80"/>
              <w:left w:type="dxa" w:w="120"/>
              <w:bottom w:type="dxa" w:w="80"/>
              <w:right w:type="dxa" w:w="120"/>
            </w:tcMar>
            <w:vAlign w:val="center"/>
          </w:tcPr>
          <w:p>
            <w:r>
              <w:rPr>
                <w:b w:val="false"/>
                <w:bCs w:val="false"/>
                <w:color w:val="2B2B2B"/>
                <w:sz w:val="19"/>
                <w:szCs w:val="19"/>
              </w:rPr>
              <w:t xml:space="preserve">Location-to-catalog assignment, including timezone — the timezone column is joined constantly for UTC→local conversions.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menuentities</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26</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Generic catalog entity dimension (items, combos, categories) with nutrition attributes (26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menuitem</w:t>
            </w:r>
          </w:p>
        </w:tc>
        <w:tc>
          <w:tcPr>
            <w:tcW w:type="dxa" w:w="900"/>
            <w:tcMar>
              <w:top w:type="dxa" w:w="80"/>
              <w:left w:type="dxa" w:w="120"/>
              <w:bottom w:type="dxa" w:w="80"/>
              <w:right w:type="dxa" w:w="120"/>
            </w:tcMar>
            <w:vAlign w:val="center"/>
          </w:tcPr>
          <w:p>
            <w:r>
              <w:rPr>
                <w:b w:val="false"/>
                <w:bCs w:val="false"/>
                <w:color w:val="2B2B2B"/>
                <w:sz w:val="19"/>
                <w:szCs w:val="19"/>
              </w:rPr>
              <w:t xml:space="preserve">26</w:t>
            </w:r>
          </w:p>
        </w:tc>
        <w:tc>
          <w:tcPr>
            <w:tcW w:type="dxa" w:w="6600"/>
            <w:tcMar>
              <w:top w:type="dxa" w:w="80"/>
              <w:left w:type="dxa" w:w="120"/>
              <w:bottom w:type="dxa" w:w="80"/>
              <w:right w:type="dxa" w:w="120"/>
            </w:tcMar>
            <w:vAlign w:val="center"/>
          </w:tcPr>
          <w:p>
            <w:r>
              <w:rPr>
                <w:b w:val="false"/>
                <w:bCs w:val="false"/>
                <w:color w:val="2B2B2B"/>
                <w:sz w:val="19"/>
                <w:szCs w:val="19"/>
              </w:rPr>
              <w:t xml:space="preserve">Core menu item dimension (26 cols) — item class, nutrition facts; surrogate key via dim.menuitem_id_seq. Joined by nearly every fact-load procedure.</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modifier</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21</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Modifier dimension (quantity rules, calories, active/deleted flags).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modifier_group</w:t>
            </w:r>
          </w:p>
        </w:tc>
        <w:tc>
          <w:tcPr>
            <w:tcW w:type="dxa" w:w="900"/>
            <w:tcMar>
              <w:top w:type="dxa" w:w="80"/>
              <w:left w:type="dxa" w:w="120"/>
              <w:bottom w:type="dxa" w:w="80"/>
              <w:right w:type="dxa" w:w="120"/>
            </w:tcMar>
            <w:vAlign w:val="center"/>
          </w:tcPr>
          <w:p>
            <w:r>
              <w:rPr>
                <w:b w:val="false"/>
                <w:bCs w:val="false"/>
                <w:color w:val="2B2B2B"/>
                <w:sz w:val="19"/>
                <w:szCs w:val="19"/>
              </w:rPr>
              <w:t xml:space="preserve">21</w:t>
            </w:r>
          </w:p>
        </w:tc>
        <w:tc>
          <w:tcPr>
            <w:tcW w:type="dxa" w:w="6600"/>
            <w:tcMar>
              <w:top w:type="dxa" w:w="80"/>
              <w:left w:type="dxa" w:w="120"/>
              <w:bottom w:type="dxa" w:w="80"/>
              <w:right w:type="dxa" w:w="120"/>
            </w:tcMar>
            <w:vAlign w:val="center"/>
          </w:tcPr>
          <w:p>
            <w:r>
              <w:rPr>
                <w:b w:val="false"/>
                <w:bCs w:val="false"/>
                <w:color w:val="2B2B2B"/>
                <w:sz w:val="19"/>
                <w:szCs w:val="19"/>
              </w:rPr>
              <w:t xml:space="preserve">Modifier group dimension (min/max/free selection counts).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modifier_group_mapping</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18</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Modifier-to-modifier-group bridge with default-selection flags.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occasionsurvey</w:t>
            </w:r>
          </w:p>
        </w:tc>
        <w:tc>
          <w:tcPr>
            <w:tcW w:type="dxa" w:w="900"/>
            <w:tcMar>
              <w:top w:type="dxa" w:w="80"/>
              <w:left w:type="dxa" w:w="120"/>
              <w:bottom w:type="dxa" w:w="80"/>
              <w:right w:type="dxa" w:w="120"/>
            </w:tcMar>
            <w:vAlign w:val="center"/>
          </w:tcPr>
          <w:p>
            <w:r>
              <w:rPr>
                <w:b w:val="false"/>
                <w:bCs w:val="false"/>
                <w:color w:val="2B2B2B"/>
                <w:sz w:val="19"/>
                <w:szCs w:val="19"/>
              </w:rPr>
              <w:t xml:space="preserve">13</w:t>
            </w:r>
          </w:p>
        </w:tc>
        <w:tc>
          <w:tcPr>
            <w:tcW w:type="dxa" w:w="6600"/>
            <w:tcMar>
              <w:top w:type="dxa" w:w="80"/>
              <w:left w:type="dxa" w:w="120"/>
              <w:bottom w:type="dxa" w:w="80"/>
              <w:right w:type="dxa" w:w="120"/>
            </w:tcMar>
            <w:vAlign w:val="center"/>
          </w:tcPr>
          <w:p>
            <w:r>
              <w:rPr>
                <w:b w:val="false"/>
                <w:bCs w:val="false"/>
                <w:color w:val="2B2B2B"/>
                <w:sz w:val="19"/>
                <w:szCs w:val="19"/>
              </w:rPr>
              <w:t xml:space="preserve">Survey definition dimension (type, question/selection type, status); surrogate key via dim.occasionsurvey_surveykey_seq.</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ordertype</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7</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Order-type lookup scoped by location + kiosk; surrogate key via dim.ordertype_id_seq. Joined during every transactionheader load.</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ordertype_bkp</w:t>
            </w:r>
          </w:p>
        </w:tc>
        <w:tc>
          <w:tcPr>
            <w:tcW w:type="dxa" w:w="900"/>
            <w:tcMar>
              <w:top w:type="dxa" w:w="80"/>
              <w:left w:type="dxa" w:w="120"/>
              <w:bottom w:type="dxa" w:w="80"/>
              <w:right w:type="dxa" w:w="120"/>
            </w:tcMar>
            <w:vAlign w:val="center"/>
          </w:tcPr>
          <w:p>
            <w:r>
              <w:rPr>
                <w:b w:val="false"/>
                <w:bCs w:val="false"/>
                <w:color w:val="2B2B2B"/>
                <w:sz w:val="19"/>
                <w:szCs w:val="19"/>
              </w:rPr>
              <w:t xml:space="preserve">5</w:t>
            </w:r>
          </w:p>
        </w:tc>
        <w:tc>
          <w:tcPr>
            <w:tcW w:type="dxa" w:w="6600"/>
            <w:tcMar>
              <w:top w:type="dxa" w:w="80"/>
              <w:left w:type="dxa" w:w="120"/>
              <w:bottom w:type="dxa" w:w="80"/>
              <w:right w:type="dxa" w:w="120"/>
            </w:tcMar>
            <w:vAlign w:val="center"/>
          </w:tcPr>
          <w:p>
            <w:r>
              <w:rPr>
                <w:b w:val="false"/>
                <w:bCs w:val="false"/>
                <w:color w:val="2B2B2B"/>
                <w:sz w:val="19"/>
                <w:szCs w:val="19"/>
              </w:rPr>
              <w:t xml:space="preserve">Backup copy of dim.ordertype.</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organization</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34</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Widest core dim (34 cols) — the company/org/location hierarchy root; almost every fact/dim procedure joins this for timezone and org attributes.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organizationlocation</w:t>
            </w:r>
          </w:p>
        </w:tc>
        <w:tc>
          <w:tcPr>
            <w:tcW w:type="dxa" w:w="900"/>
            <w:tcMar>
              <w:top w:type="dxa" w:w="80"/>
              <w:left w:type="dxa" w:w="120"/>
              <w:bottom w:type="dxa" w:w="80"/>
              <w:right w:type="dxa" w:w="120"/>
            </w:tcMar>
            <w:vAlign w:val="center"/>
          </w:tcPr>
          <w:p>
            <w:r>
              <w:rPr>
                <w:b w:val="false"/>
                <w:bCs w:val="false"/>
                <w:color w:val="2B2B2B"/>
                <w:sz w:val="19"/>
                <w:szCs w:val="19"/>
              </w:rPr>
              <w:t xml:space="preserve">8</w:t>
            </w:r>
          </w:p>
        </w:tc>
        <w:tc>
          <w:tcPr>
            <w:tcW w:type="dxa" w:w="6600"/>
            <w:tcMar>
              <w:top w:type="dxa" w:w="80"/>
              <w:left w:type="dxa" w:w="120"/>
              <w:bottom w:type="dxa" w:w="80"/>
              <w:right w:type="dxa" w:w="120"/>
            </w:tcMar>
            <w:vAlign w:val="center"/>
          </w:tcPr>
          <w:p>
            <w:r>
              <w:rPr>
                <w:b w:val="false"/>
                <w:bCs w:val="false"/>
                <w:color w:val="2B2B2B"/>
                <w:sz w:val="19"/>
                <w:szCs w:val="19"/>
              </w:rPr>
              <w:t xml:space="preserve">Organization-to-location bridge, incl. round-up-for-charity flag.</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peripheral</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11</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Peripheral device dimension (printers, scanners, payment terminals) with state history.</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upsellgrouplookup</w:t>
            </w:r>
          </w:p>
        </w:tc>
        <w:tc>
          <w:tcPr>
            <w:tcW w:type="dxa" w:w="900"/>
            <w:tcMar>
              <w:top w:type="dxa" w:w="80"/>
              <w:left w:type="dxa" w:w="120"/>
              <w:bottom w:type="dxa" w:w="80"/>
              <w:right w:type="dxa" w:w="120"/>
            </w:tcMar>
            <w:vAlign w:val="center"/>
          </w:tcPr>
          <w:p>
            <w:r>
              <w:rPr>
                <w:b w:val="false"/>
                <w:bCs w:val="false"/>
                <w:color w:val="2B2B2B"/>
                <w:sz w:val="19"/>
                <w:szCs w:val="19"/>
              </w:rPr>
              <w:t xml:space="preserve">7</w:t>
            </w:r>
          </w:p>
        </w:tc>
        <w:tc>
          <w:tcPr>
            <w:tcW w:type="dxa" w:w="6600"/>
            <w:tcMar>
              <w:top w:type="dxa" w:w="80"/>
              <w:left w:type="dxa" w:w="120"/>
              <w:bottom w:type="dxa" w:w="80"/>
              <w:right w:type="dxa" w:w="120"/>
            </w:tcMar>
            <w:vAlign w:val="center"/>
          </w:tcPr>
          <w:p>
            <w:r>
              <w:rPr>
                <w:b w:val="false"/>
                <w:bCs w:val="false"/>
                <w:color w:val="2B2B2B"/>
                <w:sz w:val="19"/>
                <w:szCs w:val="19"/>
              </w:rPr>
              <w:t xml:space="preserve">Upsell group lookup used by the recommendation/upsell fact pipeline.</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userlocation</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User-to-location access mapping.</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view</w:t>
            </w:r>
          </w:p>
        </w:tc>
        <w:tc>
          <w:tcPr>
            <w:tcW w:type="dxa" w:w="900"/>
            <w:tcMar>
              <w:top w:type="dxa" w:w="80"/>
              <w:left w:type="dxa" w:w="120"/>
              <w:bottom w:type="dxa" w:w="80"/>
              <w:right w:type="dxa" w:w="120"/>
            </w:tcMar>
            <w:vAlign w:val="center"/>
          </w:tcPr>
          <w:p>
            <w:r>
              <w:rPr>
                <w:b w:val="false"/>
                <w:bCs w:val="false"/>
                <w:color w:val="2B2B2B"/>
                <w:sz w:val="19"/>
                <w:szCs w:val="19"/>
              </w:rPr>
              <w:t xml:space="preserve">4</w:t>
            </w:r>
          </w:p>
        </w:tc>
        <w:tc>
          <w:tcPr>
            <w:tcW w:type="dxa" w:w="6600"/>
            <w:tcMar>
              <w:top w:type="dxa" w:w="80"/>
              <w:left w:type="dxa" w:w="120"/>
              <w:bottom w:type="dxa" w:w="80"/>
              <w:right w:type="dxa" w:w="120"/>
            </w:tcMar>
            <w:vAlign w:val="center"/>
          </w:tcPr>
          <w:p>
            <w:r>
              <w:rPr>
                <w:b w:val="false"/>
                <w:bCs w:val="false"/>
                <w:color w:val="2B2B2B"/>
                <w:sz w:val="19"/>
                <w:szCs w:val="19"/>
              </w:rPr>
              <w:t xml:space="preserve">"GOU view" lookup; surrogate key via dim.view_id_seq.</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vw_grubbrrinstallbase</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142</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Materialized install-base reporting table (142 cols) — rebuilt by dim.usp_grubbrr_install_base; one row per active kiosk/device with full org/location/hardware/software context.</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vw_grubbrrinstallbase_all_devices</w:t>
            </w:r>
          </w:p>
        </w:tc>
        <w:tc>
          <w:tcPr>
            <w:tcW w:type="dxa" w:w="900"/>
            <w:tcMar>
              <w:top w:type="dxa" w:w="80"/>
              <w:left w:type="dxa" w:w="120"/>
              <w:bottom w:type="dxa" w:w="80"/>
              <w:right w:type="dxa" w:w="120"/>
            </w:tcMar>
            <w:vAlign w:val="center"/>
          </w:tcPr>
          <w:p>
            <w:r>
              <w:rPr>
                <w:b w:val="false"/>
                <w:bCs w:val="false"/>
                <w:color w:val="2B2B2B"/>
                <w:sz w:val="19"/>
                <w:szCs w:val="19"/>
              </w:rPr>
              <w:t xml:space="preserve">142</w:t>
            </w:r>
          </w:p>
        </w:tc>
        <w:tc>
          <w:tcPr>
            <w:tcW w:type="dxa" w:w="6600"/>
            <w:tcMar>
              <w:top w:type="dxa" w:w="80"/>
              <w:left w:type="dxa" w:w="120"/>
              <w:bottom w:type="dxa" w:w="80"/>
              <w:right w:type="dxa" w:w="120"/>
            </w:tcMar>
            <w:vAlign w:val="center"/>
          </w:tcPr>
          <w:p>
            <w:r>
              <w:rPr>
                <w:b w:val="false"/>
                <w:bCs w:val="false"/>
                <w:color w:val="2B2B2B"/>
                <w:sz w:val="19"/>
                <w:szCs w:val="19"/>
              </w:rPr>
              <w:t xml:space="preserve">Same shape as vw_grubbrrinstallbase but includes inactive/retired devices; rebuilt by dim.usp_grubbrr_install_base_all_devices.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weather</w:t>
            </w:r>
          </w:p>
        </w:tc>
        <w:tc>
          <w:tcPr>
            <w:tcW w:type="dxa" w:w="900"/>
            <w:shd w:fill="EFF3F5" w:val="clear"/>
            <w:tcMar>
              <w:top w:type="dxa" w:w="80"/>
              <w:left w:type="dxa" w:w="120"/>
              <w:bottom w:type="dxa" w:w="80"/>
              <w:right w:type="dxa" w:w="120"/>
            </w:tcMar>
            <w:vAlign w:val="center"/>
          </w:tcPr>
          <w:p>
            <w:r>
              <w:rPr>
                <w:b w:val="false"/>
                <w:bCs w:val="false"/>
                <w:color w:val="2B2B2B"/>
                <w:sz w:val="19"/>
                <w:szCs w:val="19"/>
              </w:rPr>
              <w:t xml:space="preserve">9</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Current weather-info dimension per organization/location (raw API payload + parsed fields).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weather_bkp</w:t>
            </w:r>
          </w:p>
        </w:tc>
        <w:tc>
          <w:tcPr>
            <w:tcW w:type="dxa" w:w="900"/>
            <w:tcMar>
              <w:top w:type="dxa" w:w="80"/>
              <w:left w:type="dxa" w:w="120"/>
              <w:bottom w:type="dxa" w:w="80"/>
              <w:right w:type="dxa" w:w="120"/>
            </w:tcMar>
            <w:vAlign w:val="center"/>
          </w:tcPr>
          <w:p>
            <w:r>
              <w:rPr>
                <w:b w:val="false"/>
                <w:bCs w:val="false"/>
                <w:color w:val="2B2B2B"/>
                <w:sz w:val="19"/>
                <w:szCs w:val="19"/>
              </w:rPr>
              <w:t xml:space="preserve">8</w:t>
            </w:r>
          </w:p>
        </w:tc>
        <w:tc>
          <w:tcPr>
            <w:tcW w:type="dxa" w:w="6600"/>
            <w:tcMar>
              <w:top w:type="dxa" w:w="80"/>
              <w:left w:type="dxa" w:w="120"/>
              <w:bottom w:type="dxa" w:w="80"/>
              <w:right w:type="dxa" w:w="120"/>
            </w:tcMar>
            <w:vAlign w:val="center"/>
          </w:tcPr>
          <w:p>
            <w:r>
              <w:rPr>
                <w:b w:val="false"/>
                <w:bCs w:val="false"/>
                <w:color w:val="2B2B2B"/>
                <w:sz w:val="19"/>
                <w:szCs w:val="19"/>
              </w:rPr>
              <w:t xml:space="preserve">Backup copy of dim.weather, keyed by businessdate.</w:t>
            </w:r>
          </w:p>
        </w:tc>
      </w:tr>
    </w:tbl>
    <w:p>
      <w:pPr>
        <w:pStyle w:val="Heading2"/>
        <w:spacing w:after="160" w:before="360"/>
      </w:pPr>
      <w:r>
        <w:rPr>
          <w:b/>
          <w:bCs/>
          <w:color w:val="1F2A44"/>
          <w:sz w:val="24"/>
          <w:szCs w:val="24"/>
        </w:rPr>
        <w:t xml:space="preserve">3.2 Standard dim Refresh Pattern</w:t>
      </w:r>
    </w:p>
    <w:p>
      <w:pPr>
        <w:spacing w:after="160" w:line="276"/>
      </w:pPr>
      <w:r>
        <w:rPr>
          <w:b w:val="false"/>
          <w:bCs w:val="false"/>
          <w:i w:val="false"/>
          <w:iCs w:val="false"/>
          <w:color w:val="2B2B2B"/>
          <w:sz w:val="21"/>
          <w:szCs w:val="21"/>
        </w:rPr>
        <w:t xml:space="preserve">All 15 dim.usp_refresh_* procedures (menuitem, kiosk, organization, modifier, modifiergroup, catalog, category_hierarchy, frequentcustomer, itemcategory, occasionsurvey, ordertype, organizationlocation, element, view, dim_location_kiosk_details) share one pattern:</w:t>
      </w:r>
    </w:p>
    <w:p>
      <w:pPr>
        <w:spacing w:after="70"/>
        <w:ind w:left="0"/>
      </w:pPr>
      <w:r>
        <w:rPr>
          <w:b/>
          <w:bCs/>
          <w:color w:val="0F6E6B"/>
          <w:sz w:val="21"/>
          <w:szCs w:val="21"/>
        </w:rPr>
        <w:t xml:space="preserve"/>
      </w:r>
      <w:r>
        <w:rPr>
          <w:b w:val="false"/>
          <w:bCs w:val="false"/>
          <w:color w:val="2B2B2B"/>
          <w:sz w:val="21"/>
          <w:szCs w:val="21"/>
        </w:rPr>
        <w:t xml:space="preserve">CREATE TEMP TABLE tmp_&lt;entity&gt; ON COMMIT DROP AS — pull + shape the delta from stg.dim_&lt;entity&gt;</w:t>
      </w:r>
      <w:r>
        <w:t xml:space="preserve"/>
      </w:r>
    </w:p>
    <w:p>
      <w:pPr>
        <w:spacing w:after="70"/>
        <w:ind w:left="360"/>
      </w:pPr>
      <w:r>
        <w:rPr>
          <w:b/>
          <w:bCs/>
          <w:color w:val="0F6E6B"/>
          <w:sz w:val="21"/>
          <w:szCs w:val="21"/>
        </w:rPr>
        <w:t xml:space="preserve">→ </w:t>
      </w:r>
      <w:r>
        <w:rPr>
          <w:b w:val="false"/>
          <w:bCs w:val="false"/>
          <w:color w:val="2B2B2B"/>
          <w:sz w:val="21"/>
          <w:szCs w:val="21"/>
        </w:rPr>
        <w:t xml:space="preserve">ANALYZE tmp_&lt;entity&gt; — refresh planner statistics on the temp table before it drives a join/merge</w:t>
      </w:r>
      <w:r>
        <w:t xml:space="preserve"/>
      </w:r>
    </w:p>
    <w:p>
      <w:pPr>
        <w:spacing w:after="70"/>
        <w:ind w:left="360"/>
      </w:pPr>
      <w:r>
        <w:rPr>
          <w:b/>
          <w:bCs/>
          <w:color w:val="0F6E6B"/>
          <w:sz w:val="21"/>
          <w:szCs w:val="21"/>
        </w:rPr>
        <w:t xml:space="preserve">→ </w:t>
      </w:r>
      <w:r>
        <w:rPr>
          <w:b w:val="false"/>
          <w:bCs w:val="false"/>
          <w:color w:val="2B2B2B"/>
          <w:sz w:val="21"/>
          <w:szCs w:val="21"/>
        </w:rPr>
        <w:t xml:space="preserve">INSERT INTO dim.&lt;entity&gt; ... SELECT ... FROM tmp_&lt;entity&gt; ON CONFLICT (...) DO UPDATE SET ... — upsert against the natural key</w:t>
      </w:r>
      <w:r>
        <w:t xml:space="preserve"/>
      </w:r>
    </w:p>
    <w:p>
      <w:pPr>
        <w:spacing w:after="70"/>
        <w:ind w:left="360"/>
      </w:pPr>
      <w:r>
        <w:rPr>
          <w:b/>
          <w:bCs/>
          <w:color w:val="0F6E6B"/>
          <w:sz w:val="21"/>
          <w:szCs w:val="21"/>
        </w:rPr>
        <w:t xml:space="preserve">→ </w:t>
      </w:r>
      <w:r>
        <w:rPr>
          <w:b w:val="false"/>
          <w:bCs w:val="false"/>
          <w:color w:val="2B2B2B"/>
          <w:sz w:val="21"/>
          <w:szCs w:val="21"/>
        </w:rPr>
        <w:t xml:space="preserve">nextval('dim.&lt;entity&gt;_..._seq') supplies the surrogate id column on INSERT — never an IDENTITY default</w:t>
      </w:r>
      <w:r>
        <w:t xml:space="preserve"/>
      </w:r>
    </w:p>
    <w:p>
      <w:pPr>
        <w:spacing w:after="60"/>
      </w:pPr>
    </w:p>
    <w:p>
      <w:pPr>
        <w:spacing w:after="160" w:line="276"/>
      </w:pPr>
      <w:r>
        <w:rPr>
          <w:b w:val="false"/>
          <w:bCs w:val="false"/>
          <w:i w:val="false"/>
          <w:iCs w:val="false"/>
          <w:color w:val="2B2B2B"/>
          <w:sz w:val="21"/>
          <w:szCs w:val="21"/>
        </w:rPr>
        <w:t xml:space="preserve">Because ON COMMIT DROP temp tables are transaction-scoped, and because Citus distributes tables across worker shards, this pattern keeps each refresh procedure self-contained and idempotent — safe to re-run without manual cleanup if a run fails partway.</w:t>
      </w:r>
    </w:p>
    <w:p>
      <w:pPr>
        <w:pStyle w:val="Heading2"/>
        <w:spacing w:after="160" w:before="360"/>
      </w:pPr>
      <w:r>
        <w:rPr>
          <w:b/>
          <w:bCs/>
          <w:color w:val="1F2A44"/>
          <w:sz w:val="24"/>
          <w:szCs w:val="24"/>
        </w:rPr>
        <w:t xml:space="preserve">3.3 Stored Procedures (20)</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3000"/>
        <w:gridCol w:w="690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Procedure</w:t>
            </w:r>
          </w:p>
        </w:tc>
        <w:tc>
          <w:tcPr>
            <w:tcW w:type="dxa" w:w="69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usp_grubbrr_install_base</w:t>
            </w:r>
          </w:p>
        </w:tc>
        <w:tc>
          <w:tcPr>
            <w:tcW w:type="dxa" w:w="6900"/>
            <w:tcMar>
              <w:top w:type="dxa" w:w="80"/>
              <w:left w:type="dxa" w:w="120"/>
              <w:bottom w:type="dxa" w:w="80"/>
              <w:right w:type="dxa" w:w="120"/>
            </w:tcMar>
            <w:vAlign w:val="center"/>
          </w:tcPr>
          <w:p>
            <w:r>
              <w:rPr>
                <w:b w:val="false"/>
                <w:bCs w:val="false"/>
                <w:color w:val="2B2B2B"/>
                <w:sz w:val="19"/>
                <w:szCs w:val="19"/>
              </w:rPr>
              <w:t xml:space="preserve">Rebuilds dim.vw_grubbrrinstallbase — the full device/install-base reporting view (142 cols) joining device, location, org, kiosk, and peripheral dimensions.</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usp_grubbrr_install_base_all_devices</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Variant of the install-base rebuild that includes all devices (not just active/in-service units).</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usp_master_keys_for_duplicate_items</w:t>
            </w:r>
          </w:p>
        </w:tc>
        <w:tc>
          <w:tcPr>
            <w:tcW w:type="dxa" w:w="6900"/>
            <w:tcMar>
              <w:top w:type="dxa" w:w="80"/>
              <w:left w:type="dxa" w:w="120"/>
              <w:bottom w:type="dxa" w:w="80"/>
              <w:right w:type="dxa" w:w="120"/>
            </w:tcMar>
            <w:vAlign w:val="center"/>
          </w:tcPr>
          <w:p>
            <w:r>
              <w:rPr>
                <w:b w:val="false"/>
                <w:bCs w:val="false"/>
                <w:color w:val="2B2B2B"/>
                <w:sz w:val="19"/>
                <w:szCs w:val="19"/>
              </w:rPr>
              <w:t xml:space="preserve">Resolves dim.duplicate_items_master — maps duplicate menu-item records (across catalogs/locations) to a single master item key.</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usp_refresh_catalog</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dim.catalog from stg.dim_catalog.</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usp_refresh_category_hierarchy</w:t>
            </w:r>
          </w:p>
        </w:tc>
        <w:tc>
          <w:tcPr>
            <w:tcW w:type="dxa" w:w="6900"/>
            <w:tcMar>
              <w:top w:type="dxa" w:w="80"/>
              <w:left w:type="dxa" w:w="120"/>
              <w:bottom w:type="dxa" w:w="80"/>
              <w:right w:type="dxa" w:w="120"/>
            </w:tcMar>
            <w:vAlign w:val="center"/>
          </w:tcPr>
          <w:p>
            <w:r>
              <w:rPr>
                <w:b w:val="false"/>
                <w:bCs w:val="false"/>
                <w:color w:val="2B2B2B"/>
                <w:sz w:val="19"/>
                <w:szCs w:val="19"/>
              </w:rPr>
              <w:t xml:space="preserve">Temp-table rebuild + upsert of dim.category_hierarchy (29 cols) from stg.dim_category_hierarchy; the pipeline previously implicated in the ADF SSL/connection-exhaustion incident.</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usp_refresh_dim_location_kiosk_details</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Refreshes a combined location+kiosk detail dimension used for install-base and kiosk reporting.</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usp_refresh_element</w:t>
            </w:r>
          </w:p>
        </w:tc>
        <w:tc>
          <w:tcPr>
            <w:tcW w:type="dxa" w:w="6900"/>
            <w:tcMar>
              <w:top w:type="dxa" w:w="80"/>
              <w:left w:type="dxa" w:w="120"/>
              <w:bottom w:type="dxa" w:w="80"/>
              <w:right w:type="dxa" w:w="120"/>
            </w:tcMar>
            <w:vAlign w:val="center"/>
          </w:tcPr>
          <w:p>
            <w:r>
              <w:rPr>
                <w:b w:val="false"/>
                <w:bCs w:val="false"/>
                <w:color w:val="2B2B2B"/>
                <w:sz w:val="19"/>
                <w:szCs w:val="19"/>
              </w:rPr>
              <w:t xml:space="preserve">Refreshes dim.element (GOU "element" lookup) — uses dim.element_elementid_seq for surrogate keys.</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usp_refresh_frequentcustomer</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dim.frequentcustomer (loyalty/repeat-customer dimension) from stg.dim_frequentcustomer.</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usp_refresh_itemcategory</w:t>
            </w:r>
          </w:p>
        </w:tc>
        <w:tc>
          <w:tcPr>
            <w:tcW w:type="dxa" w:w="6900"/>
            <w:tcMar>
              <w:top w:type="dxa" w:w="80"/>
              <w:left w:type="dxa" w:w="120"/>
              <w:bottom w:type="dxa" w:w="80"/>
              <w:right w:type="dxa" w:w="120"/>
            </w:tcMar>
            <w:vAlign w:val="center"/>
          </w:tcPr>
          <w:p>
            <w:r>
              <w:rPr>
                <w:b w:val="false"/>
                <w:bCs w:val="false"/>
                <w:color w:val="2B2B2B"/>
                <w:sz w:val="19"/>
                <w:szCs w:val="19"/>
              </w:rPr>
              <w:t xml:space="preserve">Temp-table rebuild + upsert of dim.itemcategory from stg.dim_itemcategory.</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usp_refresh_kiosk</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dim.kiosk from stg.dim_kiosk.</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usp_refresh_location_kiosk_details</w:t>
            </w:r>
          </w:p>
        </w:tc>
        <w:tc>
          <w:tcPr>
            <w:tcW w:type="dxa" w:w="6900"/>
            <w:tcMar>
              <w:top w:type="dxa" w:w="80"/>
              <w:left w:type="dxa" w:w="120"/>
              <w:bottom w:type="dxa" w:w="80"/>
              <w:right w:type="dxa" w:w="120"/>
            </w:tcMar>
            <w:vAlign w:val="center"/>
          </w:tcPr>
          <w:p>
            <w:r>
              <w:rPr>
                <w:b w:val="false"/>
                <w:bCs w:val="false"/>
                <w:color w:val="2B2B2B"/>
                <w:sz w:val="19"/>
                <w:szCs w:val="19"/>
              </w:rPr>
              <w:t xml:space="preserve">Refreshes location-to-kiosk mapping details from stg.dim_location_kiosks.</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usp_refresh_menuitem</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dim.menuitem (26 cols) from stg.dim_menuitem — one of the highest-traffic dimension refreshes (joined by nearly every fact-load procedure).</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usp_refresh_modifier</w:t>
            </w:r>
          </w:p>
        </w:tc>
        <w:tc>
          <w:tcPr>
            <w:tcW w:type="dxa" w:w="6900"/>
            <w:tcMar>
              <w:top w:type="dxa" w:w="80"/>
              <w:left w:type="dxa" w:w="120"/>
              <w:bottom w:type="dxa" w:w="80"/>
              <w:right w:type="dxa" w:w="120"/>
            </w:tcMar>
            <w:vAlign w:val="center"/>
          </w:tcPr>
          <w:p>
            <w:r>
              <w:rPr>
                <w:b w:val="false"/>
                <w:bCs w:val="false"/>
                <w:color w:val="2B2B2B"/>
                <w:sz w:val="19"/>
                <w:szCs w:val="19"/>
              </w:rPr>
              <w:t xml:space="preserve">Temp-table rebuild + upsert of dim.modifier from stg.dim_modifier.</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usp_refresh_modifiergroup</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dim.modifier_group from stg.dim_modifiergroup.</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usp_refresh_modifiergroup_modifier_mapping</w:t>
            </w:r>
          </w:p>
        </w:tc>
        <w:tc>
          <w:tcPr>
            <w:tcW w:type="dxa" w:w="6900"/>
            <w:tcMar>
              <w:top w:type="dxa" w:w="80"/>
              <w:left w:type="dxa" w:w="120"/>
              <w:bottom w:type="dxa" w:w="80"/>
              <w:right w:type="dxa" w:w="120"/>
            </w:tcMar>
            <w:vAlign w:val="center"/>
          </w:tcPr>
          <w:p>
            <w:r>
              <w:rPr>
                <w:b w:val="false"/>
                <w:bCs w:val="false"/>
                <w:color w:val="2B2B2B"/>
                <w:sz w:val="19"/>
                <w:szCs w:val="19"/>
              </w:rPr>
              <w:t xml:space="preserve">Refreshes dim.modifier_group_mapping (the modifier-group-to-modifier bridge table) from stg.dim_modifiergroup_modifier_mapping.</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usp_refresh_occasionsurvey</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dim.occasionsurvey from stg.dim_occasionsurvey.</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usp_refresh_ordertype</w:t>
            </w:r>
          </w:p>
        </w:tc>
        <w:tc>
          <w:tcPr>
            <w:tcW w:type="dxa" w:w="6900"/>
            <w:tcMar>
              <w:top w:type="dxa" w:w="80"/>
              <w:left w:type="dxa" w:w="120"/>
              <w:bottom w:type="dxa" w:w="80"/>
              <w:right w:type="dxa" w:w="120"/>
            </w:tcMar>
            <w:vAlign w:val="center"/>
          </w:tcPr>
          <w:p>
            <w:r>
              <w:rPr>
                <w:b w:val="false"/>
                <w:bCs w:val="false"/>
                <w:color w:val="2B2B2B"/>
                <w:sz w:val="19"/>
                <w:szCs w:val="19"/>
              </w:rPr>
              <w:t xml:space="preserve">Temp-table rebuild + upsert of dim.ordertype from stg staging; feeds the ordertype lookup joined during transactionheader loads.</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usp_refresh_organization</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Temp-table rebuild + upsert of dim.organization (34 cols — the company/org/location hierarchy root) from stg.dim_organization.</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usp_refresh_organizationlocation</w:t>
            </w:r>
          </w:p>
        </w:tc>
        <w:tc>
          <w:tcPr>
            <w:tcW w:type="dxa" w:w="6900"/>
            <w:tcMar>
              <w:top w:type="dxa" w:w="80"/>
              <w:left w:type="dxa" w:w="120"/>
              <w:bottom w:type="dxa" w:w="80"/>
              <w:right w:type="dxa" w:w="120"/>
            </w:tcMar>
            <w:vAlign w:val="center"/>
          </w:tcPr>
          <w:p>
            <w:r>
              <w:rPr>
                <w:b w:val="false"/>
                <w:bCs w:val="false"/>
                <w:color w:val="2B2B2B"/>
                <w:sz w:val="19"/>
                <w:szCs w:val="19"/>
              </w:rPr>
              <w:t xml:space="preserve">Temp-table rebuild + upsert of dim.organizationlocation from stg.dim_organizationlocation.</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usp_refresh_view</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Refreshes dim.view (GOU "view" lookup) — uses dim.view_id_seq for surrogate keys.</w:t>
            </w:r>
          </w:p>
        </w:tc>
      </w:tr>
    </w:tbl>
    <w:p>
      <w:pPr>
        <w:pStyle w:val="Heading2"/>
        <w:spacing w:after="160" w:before="360"/>
      </w:pPr>
      <w:r>
        <w:rPr>
          <w:b/>
          <w:bCs/>
          <w:color w:val="1F2A44"/>
          <w:sz w:val="24"/>
          <w:szCs w:val="24"/>
        </w:rPr>
        <w:t xml:space="preserve">3.4 Notable Special Cases</w:t>
      </w:r>
    </w:p>
    <w:p>
      <w:pPr>
        <w:pStyle w:val="ListParagraph"/>
        <w:numPr>
          <w:ilvl w:val="0"/>
          <w:numId w:val="1"/>
        </w:numPr>
        <w:spacing w:after="90" w:line="264"/>
      </w:pPr>
      <w:r>
        <w:rPr>
          <w:b w:val="false"/>
          <w:bCs w:val="false"/>
          <w:color w:val="2B2B2B"/>
          <w:sz w:val="21"/>
          <w:szCs w:val="21"/>
        </w:rPr>
        <w:t xml:space="preserve">dim.usp_master_keys_for_duplicate_items — not a simple refresh; it resolves duplicate menu-item instances across categories/locations to a single dim.duplicate_items_master.masteritemid. This feeds downstream dedup logic elsewhere in the warehouse — trace its consumers before changing its output shape.</w:t>
      </w:r>
    </w:p>
    <w:p>
      <w:pPr>
        <w:pStyle w:val="ListParagraph"/>
        <w:numPr>
          <w:ilvl w:val="0"/>
          <w:numId w:val="1"/>
        </w:numPr>
        <w:spacing w:after="90" w:line="264"/>
      </w:pPr>
      <w:r>
        <w:rPr>
          <w:b w:val="false"/>
          <w:bCs w:val="false"/>
          <w:color w:val="2B2B2B"/>
          <w:sz w:val="21"/>
          <w:szCs w:val="21"/>
        </w:rPr>
        <w:t xml:space="preserve">dim.usp_grubbrr_install_base / _all_devices — these rebuild 142-column reporting views used directly by the install-base dashboard (see ADF trigger TwiceDaily in Section 12.4). They are wide joins across device/kiosk/location/org/peripheral — check execution time before scheduling them more frequently.</w:t>
      </w:r>
    </w:p>
    <w:p>
      <w:pPr>
        <w:pStyle w:val="ListParagraph"/>
        <w:numPr>
          <w:ilvl w:val="0"/>
          <w:numId w:val="1"/>
        </w:numPr>
        <w:spacing w:after="90" w:line="264"/>
      </w:pPr>
      <w:r>
        <w:rPr>
          <w:b w:val="false"/>
          <w:bCs w:val="false"/>
          <w:color w:val="2B2B2B"/>
          <w:sz w:val="21"/>
          <w:szCs w:val="21"/>
        </w:rPr>
        <w:t xml:space="preserve">dim.organization and dim.menuitem are the two most heavily-joined dim tables in the entire warehouse — any schema change to either has a wide blast radius across both dim and fact procedures.</w:t>
      </w:r>
    </w:p>
    <w:p>
      <w:r>
        <w:br w:type="page"/>
      </w:r>
    </w:p>
    <w:p>
      <w:pPr>
        <w:pStyle w:val="Heading1"/>
        <w:pBdr>
          <w:bottom w:val="single" w:color="0F6E6B" w:sz="8" w:space="4"/>
        </w:pBdr>
        <w:spacing w:after="200" w:before="480"/>
      </w:pPr>
      <w:r>
        <w:rPr>
          <w:b/>
          <w:bCs/>
          <w:color w:val="1F2A44"/>
          <w:sz w:val="30"/>
          <w:szCs w:val="30"/>
        </w:rPr>
        <w:t xml:space="preserve">4. Schema: fact — Transactional &amp; Event Data</w:t>
      </w:r>
    </w:p>
    <w:p>
      <w:pPr>
        <w:spacing w:after="160" w:line="276"/>
      </w:pPr>
      <w:r>
        <w:rPr>
          <w:b w:val="false"/>
          <w:bCs w:val="false"/>
          <w:i w:val="false"/>
          <w:iCs w:val="false"/>
          <w:color w:val="2B2B2B"/>
          <w:sz w:val="21"/>
          <w:szCs w:val="21"/>
        </w:rPr>
        <w:t xml:space="preserve">33 tables, 34 load/aggregation procedures, and 2 utility functions. This is where order, device-event, telemetry, survey, and recommendation grain data lands after Silver staging. Two utility tables underpin the whole schema: fact.watermarktable (read by nearly every silver-to-fact loader to bound its delta) and fact.pipelinerunstatus (written by the ADF master pipelines — see Section 13).</w:t>
      </w:r>
    </w:p>
    <w:p>
      <w:pPr>
        <w:pStyle w:val="Heading2"/>
        <w:spacing w:after="160" w:before="360"/>
      </w:pPr>
      <w:r>
        <w:rPr>
          <w:b/>
          <w:bCs/>
          <w:color w:val="1F2A44"/>
          <w:sz w:val="24"/>
          <w:szCs w:val="24"/>
        </w:rPr>
        <w:t xml:space="preserve">4.1 Table Inventory</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500"/>
        <w:gridCol w:w="800"/>
        <w:gridCol w:w="6600"/>
      </w:tblGrid>
      <w:tr>
        <w:trPr>
          <w:tblHeader/>
        </w:trPr>
        <w:tc>
          <w:tcPr>
            <w:tcW w:type="dxa" w:w="25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8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6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cep_incidents</w:t>
            </w:r>
          </w:p>
        </w:tc>
        <w:tc>
          <w:tcPr>
            <w:tcW w:type="dxa" w:w="800"/>
            <w:tcMar>
              <w:top w:type="dxa" w:w="80"/>
              <w:left w:type="dxa" w:w="120"/>
              <w:bottom w:type="dxa" w:w="80"/>
              <w:right w:type="dxa" w:w="120"/>
            </w:tcMar>
            <w:vAlign w:val="center"/>
          </w:tcPr>
          <w:p>
            <w:r>
              <w:rPr>
                <w:b w:val="false"/>
                <w:bCs w:val="false"/>
                <w:color w:val="2B2B2B"/>
                <w:sz w:val="19"/>
                <w:szCs w:val="19"/>
              </w:rPr>
              <w:t xml:space="preserve">19</w:t>
            </w:r>
          </w:p>
        </w:tc>
        <w:tc>
          <w:tcPr>
            <w:tcW w:type="dxa" w:w="6600"/>
            <w:tcMar>
              <w:top w:type="dxa" w:w="80"/>
              <w:left w:type="dxa" w:w="120"/>
              <w:bottom w:type="dxa" w:w="80"/>
              <w:right w:type="dxa" w:w="120"/>
            </w:tcMar>
            <w:vAlign w:val="center"/>
          </w:tcPr>
          <w:p>
            <w:r>
              <w:rPr>
                <w:b w:val="false"/>
                <w:bCs w:val="false"/>
                <w:color w:val="2B2B2B"/>
                <w:sz w:val="19"/>
                <w:szCs w:val="19"/>
              </w:rPr>
              <w:t xml:space="preserve">CEP (Complex Event Processing) incident/alert facts raised by the connector/device layer.</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customer_menu_preferences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9</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Per-customer daypart × item ordering-frequency aggregation (rebuilt by fact.usp_customer_menu_preferences).</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deviceevent</w:t>
            </w:r>
          </w:p>
        </w:tc>
        <w:tc>
          <w:tcPr>
            <w:tcW w:type="dxa" w:w="800"/>
            <w:tcMar>
              <w:top w:type="dxa" w:w="80"/>
              <w:left w:type="dxa" w:w="120"/>
              <w:bottom w:type="dxa" w:w="80"/>
              <w:right w:type="dxa" w:w="120"/>
            </w:tcMar>
            <w:vAlign w:val="center"/>
          </w:tcPr>
          <w:p>
            <w:r>
              <w:rPr>
                <w:b w:val="false"/>
                <w:bCs w:val="false"/>
                <w:color w:val="2B2B2B"/>
                <w:sz w:val="19"/>
                <w:szCs w:val="19"/>
              </w:rPr>
              <w:t xml:space="preserve">20</w:t>
            </w:r>
          </w:p>
        </w:tc>
        <w:tc>
          <w:tcPr>
            <w:tcW w:type="dxa" w:w="6600"/>
            <w:tcMar>
              <w:top w:type="dxa" w:w="80"/>
              <w:left w:type="dxa" w:w="120"/>
              <w:bottom w:type="dxa" w:w="80"/>
              <w:right w:type="dxa" w:w="120"/>
            </w:tcMar>
            <w:vAlign w:val="center"/>
          </w:tcPr>
          <w:p>
            <w:r>
              <w:rPr>
                <w:b w:val="false"/>
                <w:bCs w:val="false"/>
                <w:color w:val="2B2B2B"/>
                <w:sz w:val="19"/>
                <w:szCs w:val="19"/>
              </w:rPr>
              <w:t xml:space="preserve">Largest fact table in the warehouse (262M+ rows) — raw kiosk/device event stream (session, order, payment, insight events). Recently deduplicated and performance-tuned (Section 4.3).</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devicehealth</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Device health-check status events.</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devicestate</w:t>
            </w:r>
          </w:p>
        </w:tc>
        <w:tc>
          <w:tcPr>
            <w:tcW w:type="dxa" w:w="800"/>
            <w:tcMar>
              <w:top w:type="dxa" w:w="80"/>
              <w:left w:type="dxa" w:w="120"/>
              <w:bottom w:type="dxa" w:w="80"/>
              <w:right w:type="dxa" w:w="120"/>
            </w:tcMar>
            <w:vAlign w:val="center"/>
          </w:tcPr>
          <w:p>
            <w:r>
              <w:rPr>
                <w:b w:val="false"/>
                <w:bCs w:val="false"/>
                <w:color w:val="2B2B2B"/>
                <w:sz w:val="19"/>
                <w:szCs w:val="19"/>
              </w:rPr>
              <w:t xml:space="preserve">15</w:t>
            </w:r>
          </w:p>
        </w:tc>
        <w:tc>
          <w:tcPr>
            <w:tcW w:type="dxa" w:w="6600"/>
            <w:tcMar>
              <w:top w:type="dxa" w:w="80"/>
              <w:left w:type="dxa" w:w="120"/>
              <w:bottom w:type="dxa" w:w="80"/>
              <w:right w:type="dxa" w:w="120"/>
            </w:tcMar>
            <w:vAlign w:val="center"/>
          </w:tcPr>
          <w:p>
            <w:r>
              <w:rPr>
                <w:b w:val="false"/>
                <w:bCs w:val="false"/>
                <w:color w:val="2B2B2B"/>
                <w:sz w:val="19"/>
                <w:szCs w:val="19"/>
              </w:rPr>
              <w:t xml:space="preserve">Device state transitions with duration; source for fact.updatewatermark(); surrogate key via fact.devicestate_id_seq.</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devicetelemetry</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10</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CPU/memory telemetry samples per device.</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gem_failed_order_job_notifications</w:t>
            </w:r>
          </w:p>
        </w:tc>
        <w:tc>
          <w:tcPr>
            <w:tcW w:type="dxa" w:w="800"/>
            <w:tcMar>
              <w:top w:type="dxa" w:w="80"/>
              <w:left w:type="dxa" w:w="120"/>
              <w:bottom w:type="dxa" w:w="80"/>
              <w:right w:type="dxa" w:w="120"/>
            </w:tcMar>
            <w:vAlign w:val="center"/>
          </w:tcPr>
          <w:p>
            <w:r>
              <w:rPr>
                <w:b w:val="false"/>
                <w:bCs w:val="false"/>
                <w:color w:val="2B2B2B"/>
                <w:sz w:val="19"/>
                <w:szCs w:val="19"/>
              </w:rPr>
              <w:t xml:space="preserve">15</w:t>
            </w:r>
          </w:p>
        </w:tc>
        <w:tc>
          <w:tcPr>
            <w:tcW w:type="dxa" w:w="6600"/>
            <w:tcMar>
              <w:top w:type="dxa" w:w="80"/>
              <w:left w:type="dxa" w:w="120"/>
              <w:bottom w:type="dxa" w:w="80"/>
              <w:right w:type="dxa" w:w="120"/>
            </w:tcMar>
            <w:vAlign w:val="center"/>
          </w:tcPr>
          <w:p>
            <w:r>
              <w:rPr>
                <w:b w:val="false"/>
                <w:bCs w:val="false"/>
                <w:color w:val="2B2B2B"/>
                <w:sz w:val="19"/>
                <w:szCs w:val="19"/>
              </w:rPr>
              <w:t xml:space="preserve">Operational-monitoring fact for failed order-processing jobs (incident count, first/last occurrence).</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itemmodifier</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14</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Order-line-item-to-modifier fact (which modifiers were attached to which item on which order).</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itemssurvey</w:t>
            </w:r>
          </w:p>
        </w:tc>
        <w:tc>
          <w:tcPr>
            <w:tcW w:type="dxa" w:w="800"/>
            <w:tcMar>
              <w:top w:type="dxa" w:w="80"/>
              <w:left w:type="dxa" w:w="120"/>
              <w:bottom w:type="dxa" w:w="80"/>
              <w:right w:type="dxa" w:w="120"/>
            </w:tcMar>
            <w:vAlign w:val="center"/>
          </w:tcPr>
          <w:p>
            <w:r>
              <w:rPr>
                <w:b w:val="false"/>
                <w:bCs w:val="false"/>
                <w:color w:val="2B2B2B"/>
                <w:sz w:val="19"/>
                <w:szCs w:val="19"/>
              </w:rPr>
              <w:t xml:space="preserve">22</w:t>
            </w:r>
          </w:p>
        </w:tc>
        <w:tc>
          <w:tcPr>
            <w:tcW w:type="dxa" w:w="6600"/>
            <w:tcMar>
              <w:top w:type="dxa" w:w="80"/>
              <w:left w:type="dxa" w:w="120"/>
              <w:bottom w:type="dxa" w:w="80"/>
              <w:right w:type="dxa" w:w="120"/>
            </w:tcMar>
            <w:vAlign w:val="center"/>
          </w:tcPr>
          <w:p>
            <w:r>
              <w:rPr>
                <w:b w:val="false"/>
                <w:bCs w:val="false"/>
                <w:color w:val="2B2B2B"/>
                <w:sz w:val="19"/>
                <w:szCs w:val="19"/>
              </w:rPr>
              <w:t xml:space="preserve">Item-level post-order survey rating fact.</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location_menu_preferences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8</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Location-level daypart × item ordering-frequency aggregation.</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location_statistics</w:t>
            </w:r>
          </w:p>
        </w:tc>
        <w:tc>
          <w:tcPr>
            <w:tcW w:type="dxa" w:w="800"/>
            <w:tcMar>
              <w:top w:type="dxa" w:w="80"/>
              <w:left w:type="dxa" w:w="120"/>
              <w:bottom w:type="dxa" w:w="80"/>
              <w:right w:type="dxa" w:w="120"/>
            </w:tcMar>
            <w:vAlign w:val="center"/>
          </w:tcPr>
          <w:p>
            <w:r>
              <w:rPr>
                <w:b w:val="false"/>
                <w:bCs w:val="false"/>
                <w:color w:val="2B2B2B"/>
                <w:sz w:val="19"/>
                <w:szCs w:val="19"/>
              </w:rPr>
              <w:t xml:space="preserve">22</w:t>
            </w:r>
          </w:p>
        </w:tc>
        <w:tc>
          <w:tcPr>
            <w:tcW w:type="dxa" w:w="6600"/>
            <w:tcMar>
              <w:top w:type="dxa" w:w="80"/>
              <w:left w:type="dxa" w:w="120"/>
              <w:bottom w:type="dxa" w:w="80"/>
              <w:right w:type="dxa" w:w="120"/>
            </w:tcMar>
            <w:vAlign w:val="center"/>
          </w:tcPr>
          <w:p>
            <w:r>
              <w:rPr>
                <w:b w:val="false"/>
                <w:bCs w:val="false"/>
                <w:color w:val="2B2B2B"/>
                <w:sz w:val="19"/>
                <w:szCs w:val="19"/>
              </w:rPr>
              <w:t xml:space="preserve">Location-grain KPI rollup (22 cols) — org/location attributes joined with order-type performance labels.</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modifier_impressions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23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Every modifier shown to a customer during ordering (impression-level, pre-selection) — 23 cols incl. nesting depth/position for menu-UX analysis.</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modifier_interactions</w:t>
            </w:r>
          </w:p>
        </w:tc>
        <w:tc>
          <w:tcPr>
            <w:tcW w:type="dxa" w:w="800"/>
            <w:tcMar>
              <w:top w:type="dxa" w:w="80"/>
              <w:left w:type="dxa" w:w="120"/>
              <w:bottom w:type="dxa" w:w="80"/>
              <w:right w:type="dxa" w:w="120"/>
            </w:tcMar>
            <w:vAlign w:val="center"/>
          </w:tcPr>
          <w:p>
            <w:r>
              <w:rPr>
                <w:b w:val="false"/>
                <w:bCs w:val="false"/>
                <w:color w:val="2B2B2B"/>
                <w:sz w:val="19"/>
                <w:szCs w:val="19"/>
              </w:rPr>
              <w:t xml:space="preserve">24</w:t>
            </w:r>
          </w:p>
        </w:tc>
        <w:tc>
          <w:tcPr>
            <w:tcW w:type="dxa" w:w="6600"/>
            <w:tcMar>
              <w:top w:type="dxa" w:w="80"/>
              <w:left w:type="dxa" w:w="120"/>
              <w:bottom w:type="dxa" w:w="80"/>
              <w:right w:type="dxa" w:w="120"/>
            </w:tcMar>
            <w:vAlign w:val="center"/>
          </w:tcPr>
          <w:p>
            <w:r>
              <w:rPr>
                <w:b w:val="false"/>
                <w:bCs w:val="false"/>
                <w:color w:val="2B2B2B"/>
                <w:sz w:val="19"/>
                <w:szCs w:val="19"/>
              </w:rPr>
              <w:t xml:space="preserve">Every modifier the customer actually interacted with/selected (24 cols) — pairs with modifier_impressions for funnel/conversion analysis.</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modifier_recommendations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Recommendation-engine modifier suggestions and outcome tracking, tied back to impressions/interactions.</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occasionsurveydetail</w:t>
            </w:r>
          </w:p>
        </w:tc>
        <w:tc>
          <w:tcPr>
            <w:tcW w:type="dxa" w:w="800"/>
            <w:tcMar>
              <w:top w:type="dxa" w:w="80"/>
              <w:left w:type="dxa" w:w="120"/>
              <w:bottom w:type="dxa" w:w="80"/>
              <w:right w:type="dxa" w:w="120"/>
            </w:tcMar>
            <w:vAlign w:val="center"/>
          </w:tcPr>
          <w:p>
            <w:r>
              <w:rPr>
                <w:b w:val="false"/>
                <w:bCs w:val="false"/>
                <w:color w:val="2B2B2B"/>
                <w:sz w:val="19"/>
                <w:szCs w:val="19"/>
              </w:rPr>
              <w:t xml:space="preserve">16</w:t>
            </w:r>
          </w:p>
        </w:tc>
        <w:tc>
          <w:tcPr>
            <w:tcW w:type="dxa" w:w="6600"/>
            <w:tcMar>
              <w:top w:type="dxa" w:w="80"/>
              <w:left w:type="dxa" w:w="120"/>
              <w:bottom w:type="dxa" w:w="80"/>
              <w:right w:type="dxa" w:w="120"/>
            </w:tcMar>
            <w:vAlign w:val="center"/>
          </w:tcPr>
          <w:p>
            <w:r>
              <w:rPr>
                <w:b w:val="false"/>
                <w:bCs w:val="false"/>
                <w:color w:val="2B2B2B"/>
                <w:sz w:val="19"/>
                <w:szCs w:val="19"/>
              </w:rPr>
              <w:t xml:space="preserve">Order-level (not item-level) post-order survey response fact.</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ordertiming</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27</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Millisecond-level kiosk-session timing checkpoints (session/menu/item/checkout starts) — 27 cols; surrogate key via fact.ordertiming_id_seq.</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peripheralhealth</w:t>
            </w:r>
          </w:p>
        </w:tc>
        <w:tc>
          <w:tcPr>
            <w:tcW w:type="dxa" w:w="800"/>
            <w:tcMar>
              <w:top w:type="dxa" w:w="80"/>
              <w:left w:type="dxa" w:w="120"/>
              <w:bottom w:type="dxa" w:w="80"/>
              <w:right w:type="dxa" w:w="120"/>
            </w:tcMar>
            <w:vAlign w:val="center"/>
          </w:tcPr>
          <w:p>
            <w:r>
              <w:rPr>
                <w:b w:val="false"/>
                <w:bCs w:val="false"/>
                <w:color w:val="2B2B2B"/>
                <w:sz w:val="19"/>
                <w:szCs w:val="19"/>
              </w:rPr>
              <w:t xml:space="preserve">5</w:t>
            </w:r>
          </w:p>
        </w:tc>
        <w:tc>
          <w:tcPr>
            <w:tcW w:type="dxa" w:w="6600"/>
            <w:tcMar>
              <w:top w:type="dxa" w:w="80"/>
              <w:left w:type="dxa" w:w="120"/>
              <w:bottom w:type="dxa" w:w="80"/>
              <w:right w:type="dxa" w:w="120"/>
            </w:tcMar>
            <w:vAlign w:val="center"/>
          </w:tcPr>
          <w:p>
            <w:r>
              <w:rPr>
                <w:b w:val="false"/>
                <w:bCs w:val="false"/>
                <w:color w:val="2B2B2B"/>
                <w:sz w:val="19"/>
                <w:szCs w:val="19"/>
              </w:rPr>
              <w:t xml:space="preserve">Peripheral (printer/scanner/terminal) health-check status.</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peripheralstate</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7</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Peripheral state transitions with duration.</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pipelinerunstatus</w:t>
            </w:r>
          </w:p>
        </w:tc>
        <w:tc>
          <w:tcPr>
            <w:tcW w:type="dxa" w:w="800"/>
            <w:tcMar>
              <w:top w:type="dxa" w:w="80"/>
              <w:left w:type="dxa" w:w="120"/>
              <w:bottom w:type="dxa" w:w="80"/>
              <w:right w:type="dxa" w:w="120"/>
            </w:tcMar>
            <w:vAlign w:val="center"/>
          </w:tcPr>
          <w:p>
            <w:r>
              <w:rPr>
                <w:b w:val="false"/>
                <w:bCs w:val="false"/>
                <w:color w:val="2B2B2B"/>
                <w:sz w:val="19"/>
                <w:szCs w:val="19"/>
              </w:rPr>
              <w:t xml:space="preserve">9</w:t>
            </w:r>
          </w:p>
        </w:tc>
        <w:tc>
          <w:tcPr>
            <w:tcW w:type="dxa" w:w="6600"/>
            <w:tcMar>
              <w:top w:type="dxa" w:w="80"/>
              <w:left w:type="dxa" w:w="120"/>
              <w:bottom w:type="dxa" w:w="80"/>
              <w:right w:type="dxa" w:w="120"/>
            </w:tcMar>
            <w:vAlign w:val="center"/>
          </w:tcPr>
          <w:p>
            <w:r>
              <w:rPr>
                <w:b w:val="false"/>
                <w:bCs w:val="false"/>
                <w:color w:val="2B2B2B"/>
                <w:sz w:val="19"/>
                <w:szCs w:val="19"/>
              </w:rPr>
              <w:t xml:space="preserve">ADF master-pipeline run log — written by DimensionsFactsMaster (and child masters) on both success and failure. See Section 13.</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pos_sales_details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11</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POS-reported daily sales/tips reconciliation fact.</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recommendations</w:t>
            </w:r>
          </w:p>
        </w:tc>
        <w:tc>
          <w:tcPr>
            <w:tcW w:type="dxa" w:w="800"/>
            <w:tcMar>
              <w:top w:type="dxa" w:w="80"/>
              <w:left w:type="dxa" w:w="120"/>
              <w:bottom w:type="dxa" w:w="80"/>
              <w:right w:type="dxa" w:w="120"/>
            </w:tcMar>
            <w:vAlign w:val="center"/>
          </w:tcPr>
          <w:p>
            <w:r>
              <w:rPr>
                <w:b w:val="false"/>
                <w:bCs w:val="false"/>
                <w:color w:val="2B2B2B"/>
                <w:sz w:val="19"/>
                <w:szCs w:val="19"/>
              </w:rPr>
              <w:t xml:space="preserve">9</w:t>
            </w:r>
          </w:p>
        </w:tc>
        <w:tc>
          <w:tcPr>
            <w:tcW w:type="dxa" w:w="6600"/>
            <w:tcMar>
              <w:top w:type="dxa" w:w="80"/>
              <w:left w:type="dxa" w:w="120"/>
              <w:bottom w:type="dxa" w:w="80"/>
              <w:right w:type="dxa" w:w="120"/>
            </w:tcMar>
            <w:vAlign w:val="center"/>
          </w:tcPr>
          <w:p>
            <w:r>
              <w:rPr>
                <w:b w:val="false"/>
                <w:bCs w:val="false"/>
                <w:color w:val="2B2B2B"/>
                <w:sz w:val="19"/>
                <w:szCs w:val="19"/>
              </w:rPr>
              <w:t xml:space="preserve">Item-recommendation offer/acceptance fact (offered vs. selected items, conversion flag).</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recommendations_bkp</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7</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Backup copy of fact.recommendations.</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sent_surveys</w:t>
            </w:r>
          </w:p>
        </w:tc>
        <w:tc>
          <w:tcPr>
            <w:tcW w:type="dxa" w:w="800"/>
            <w:tcMar>
              <w:top w:type="dxa" w:w="80"/>
              <w:left w:type="dxa" w:w="120"/>
              <w:bottom w:type="dxa" w:w="80"/>
              <w:right w:type="dxa" w:w="120"/>
            </w:tcMar>
            <w:vAlign w:val="center"/>
          </w:tcPr>
          <w:p>
            <w:r>
              <w:rPr>
                <w:b w:val="false"/>
                <w:bCs w:val="false"/>
                <w:color w:val="2B2B2B"/>
                <w:sz w:val="19"/>
                <w:szCs w:val="19"/>
              </w:rPr>
              <w:t xml:space="preserve">12</w:t>
            </w:r>
          </w:p>
        </w:tc>
        <w:tc>
          <w:tcPr>
            <w:tcW w:type="dxa" w:w="6600"/>
            <w:tcMar>
              <w:top w:type="dxa" w:w="80"/>
              <w:left w:type="dxa" w:w="120"/>
              <w:bottom w:type="dxa" w:w="80"/>
              <w:right w:type="dxa" w:w="120"/>
            </w:tcMar>
            <w:vAlign w:val="center"/>
          </w:tcPr>
          <w:p>
            <w:r>
              <w:rPr>
                <w:b w:val="false"/>
                <w:bCs w:val="false"/>
                <w:color w:val="2B2B2B"/>
                <w:sz w:val="19"/>
                <w:szCs w:val="19"/>
              </w:rPr>
              <w:t xml:space="preserve">Survey-send event log (which survey was sent for which order, GEM event metadata).</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timingsdatalake</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2</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Minimal 2-column timing metric sink (container name + timing value) — likely an ADF/pipeline-duration probe table.</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transactionheader</w:t>
            </w:r>
          </w:p>
        </w:tc>
        <w:tc>
          <w:tcPr>
            <w:tcW w:type="dxa" w:w="800"/>
            <w:tcMar>
              <w:top w:type="dxa" w:w="80"/>
              <w:left w:type="dxa" w:w="120"/>
              <w:bottom w:type="dxa" w:w="80"/>
              <w:right w:type="dxa" w:w="120"/>
            </w:tcMar>
            <w:vAlign w:val="center"/>
          </w:tcPr>
          <w:p>
            <w:r>
              <w:rPr>
                <w:b w:val="false"/>
                <w:bCs w:val="false"/>
                <w:color w:val="2B2B2B"/>
                <w:sz w:val="19"/>
                <w:szCs w:val="19"/>
              </w:rPr>
              <w:t xml:space="preserve">45</w:t>
            </w:r>
          </w:p>
        </w:tc>
        <w:tc>
          <w:tcPr>
            <w:tcW w:type="dxa" w:w="6600"/>
            <w:tcMar>
              <w:top w:type="dxa" w:w="80"/>
              <w:left w:type="dxa" w:w="120"/>
              <w:bottom w:type="dxa" w:w="80"/>
              <w:right w:type="dxa" w:w="120"/>
            </w:tcMar>
            <w:vAlign w:val="center"/>
          </w:tcPr>
          <w:p>
            <w:r>
              <w:rPr>
                <w:b w:val="false"/>
                <w:bCs w:val="false"/>
                <w:color w:val="2B2B2B"/>
                <w:sz w:val="19"/>
                <w:szCs w:val="19"/>
              </w:rPr>
              <w:t xml:space="preserve">Core order-header fact (45 cols) — one row per completed order; the most heavily-modeled fact table in the warehouse. Surrogate key via fact.transactionheader_id_seq.</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transactionitem</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29</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Order line-item fact (29 cols) — one row per item/combo on an order.</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transactionpayment</w:t>
            </w:r>
          </w:p>
        </w:tc>
        <w:tc>
          <w:tcPr>
            <w:tcW w:type="dxa" w:w="800"/>
            <w:tcMar>
              <w:top w:type="dxa" w:w="80"/>
              <w:left w:type="dxa" w:w="120"/>
              <w:bottom w:type="dxa" w:w="80"/>
              <w:right w:type="dxa" w:w="120"/>
            </w:tcMar>
            <w:vAlign w:val="center"/>
          </w:tcPr>
          <w:p>
            <w:r>
              <w:rPr>
                <w:b w:val="false"/>
                <w:bCs w:val="false"/>
                <w:color w:val="2B2B2B"/>
                <w:sz w:val="19"/>
                <w:szCs w:val="19"/>
              </w:rPr>
              <w:t xml:space="preserve">14</w:t>
            </w:r>
          </w:p>
        </w:tc>
        <w:tc>
          <w:tcPr>
            <w:tcW w:type="dxa" w:w="6600"/>
            <w:tcMar>
              <w:top w:type="dxa" w:w="80"/>
              <w:left w:type="dxa" w:w="120"/>
              <w:bottom w:type="dxa" w:w="80"/>
              <w:right w:type="dxa" w:w="120"/>
            </w:tcMar>
            <w:vAlign w:val="center"/>
          </w:tcPr>
          <w:p>
            <w:r>
              <w:rPr>
                <w:b w:val="false"/>
                <w:bCs w:val="false"/>
                <w:color w:val="2B2B2B"/>
                <w:sz w:val="19"/>
                <w:szCs w:val="19"/>
              </w:rPr>
              <w:t xml:space="preserve">Order payment fact (tender type, amount, integration label).</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transactionrefunds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10</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Order refund fact, linked back to the original transaction and payment.</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userbehaviour</w:t>
            </w:r>
          </w:p>
        </w:tc>
        <w:tc>
          <w:tcPr>
            <w:tcW w:type="dxa" w:w="800"/>
            <w:tcMar>
              <w:top w:type="dxa" w:w="80"/>
              <w:left w:type="dxa" w:w="120"/>
              <w:bottom w:type="dxa" w:w="80"/>
              <w:right w:type="dxa" w:w="120"/>
            </w:tcMar>
            <w:vAlign w:val="center"/>
          </w:tcPr>
          <w:p>
            <w:r>
              <w:rPr>
                <w:b w:val="false"/>
                <w:bCs w:val="false"/>
                <w:color w:val="2B2B2B"/>
                <w:sz w:val="19"/>
                <w:szCs w:val="19"/>
              </w:rPr>
              <w:t xml:space="preserve">20</w:t>
            </w:r>
          </w:p>
        </w:tc>
        <w:tc>
          <w:tcPr>
            <w:tcW w:type="dxa" w:w="6600"/>
            <w:tcMar>
              <w:top w:type="dxa" w:w="80"/>
              <w:left w:type="dxa" w:w="120"/>
              <w:bottom w:type="dxa" w:w="80"/>
              <w:right w:type="dxa" w:w="120"/>
            </w:tcMar>
            <w:vAlign w:val="center"/>
          </w:tcPr>
          <w:p>
            <w:r>
              <w:rPr>
                <w:b w:val="false"/>
                <w:bCs w:val="false"/>
                <w:color w:val="2B2B2B"/>
                <w:sz w:val="19"/>
                <w:szCs w:val="19"/>
              </w:rPr>
              <w:t xml:space="preserve">Kiosk session/clickstream behavior fact (20 cols) — recently rebuilt via INSERT...SELECT with enrichment joins during the dedup/performance cycle. Surrogate key via fact.userbehaviour_id_seq.</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userbehaviour_exceptions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13</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Rows that failed userbehaviour enrichment/validation, quarantined for investigation rather than silently dropped.</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usercheckedin</w:t>
            </w:r>
          </w:p>
        </w:tc>
        <w:tc>
          <w:tcPr>
            <w:tcW w:type="dxa" w:w="800"/>
            <w:tcMar>
              <w:top w:type="dxa" w:w="80"/>
              <w:left w:type="dxa" w:w="120"/>
              <w:bottom w:type="dxa" w:w="80"/>
              <w:right w:type="dxa" w:w="120"/>
            </w:tcMar>
            <w:vAlign w:val="center"/>
          </w:tcPr>
          <w:p>
            <w:r>
              <w:rPr>
                <w:b w:val="false"/>
                <w:bCs w:val="false"/>
                <w:color w:val="2B2B2B"/>
                <w:sz w:val="19"/>
                <w:szCs w:val="19"/>
              </w:rPr>
              <w:t xml:space="preserve">18</w:t>
            </w:r>
          </w:p>
        </w:tc>
        <w:tc>
          <w:tcPr>
            <w:tcW w:type="dxa" w:w="6600"/>
            <w:tcMar>
              <w:top w:type="dxa" w:w="80"/>
              <w:left w:type="dxa" w:w="120"/>
              <w:bottom w:type="dxa" w:w="80"/>
              <w:right w:type="dxa" w:w="120"/>
            </w:tcMar>
            <w:vAlign w:val="center"/>
          </w:tcPr>
          <w:p>
            <w:r>
              <w:rPr>
                <w:b w:val="false"/>
                <w:bCs w:val="false"/>
                <w:color w:val="2B2B2B"/>
                <w:sz w:val="19"/>
                <w:szCs w:val="19"/>
              </w:rPr>
              <w:t xml:space="preserve">Customer check-in event fact (dine-in / call-ahead style flows).</w:t>
            </w:r>
          </w:p>
        </w:tc>
      </w:tr>
      <w:tr>
        <w:tc>
          <w:tcPr>
            <w:tcW w:type="dxa" w:w="2500"/>
            <w:shd w:fill="EFF3F5" w:val="clear"/>
            <w:tcMar>
              <w:top w:type="dxa" w:w="80"/>
              <w:left w:type="dxa" w:w="120"/>
              <w:bottom w:type="dxa" w:w="80"/>
              <w:right w:type="dxa" w:w="120"/>
            </w:tcMar>
            <w:vAlign w:val="center"/>
          </w:tcPr>
          <w:p>
            <w:r>
              <w:rPr>
                <w:b w:val="false"/>
                <w:bCs w:val="false"/>
                <w:color w:val="2B2B2B"/>
                <w:sz w:val="19"/>
                <w:szCs w:val="19"/>
              </w:rPr>
              <w:t xml:space="preserve">vw_offer_analysis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19</w:t>
            </w:r>
          </w:p>
        </w:tc>
        <w:tc>
          <w:tcPr>
            <w:tcW w:type="dxa" w:w="6600"/>
            <w:shd w:fill="EFF3F5" w:val="clear"/>
            <w:tcMar>
              <w:top w:type="dxa" w:w="80"/>
              <w:left w:type="dxa" w:w="120"/>
              <w:bottom w:type="dxa" w:w="80"/>
              <w:right w:type="dxa" w:w="120"/>
            </w:tcMar>
            <w:vAlign w:val="center"/>
          </w:tcPr>
          <w:p>
            <w:r>
              <w:rPr>
                <w:b w:val="false"/>
                <w:bCs w:val="false"/>
                <w:color w:val="2B2B2B"/>
                <w:sz w:val="19"/>
                <w:szCs w:val="19"/>
              </w:rPr>
              <w:t xml:space="preserve">Upsell-offer performance fact (offered vs. selected item, upsell group, quantity).</w:t>
            </w:r>
          </w:p>
        </w:tc>
      </w:tr>
      <w:tr>
        <w:tc>
          <w:tcPr>
            <w:tcW w:type="dxa" w:w="2500"/>
            <w:tcMar>
              <w:top w:type="dxa" w:w="80"/>
              <w:left w:type="dxa" w:w="120"/>
              <w:bottom w:type="dxa" w:w="80"/>
              <w:right w:type="dxa" w:w="120"/>
            </w:tcMar>
            <w:vAlign w:val="center"/>
          </w:tcPr>
          <w:p>
            <w:r>
              <w:rPr>
                <w:b w:val="false"/>
                <w:bCs w:val="false"/>
                <w:color w:val="2B2B2B"/>
                <w:sz w:val="19"/>
                <w:szCs w:val="19"/>
              </w:rPr>
              <w:t xml:space="preserve">watermarktable</w:t>
            </w:r>
          </w:p>
        </w:tc>
        <w:tc>
          <w:tcPr>
            <w:tcW w:type="dxa" w:w="800"/>
            <w:tcMar>
              <w:top w:type="dxa" w:w="80"/>
              <w:left w:type="dxa" w:w="120"/>
              <w:bottom w:type="dxa" w:w="80"/>
              <w:right w:type="dxa" w:w="120"/>
            </w:tcMar>
            <w:vAlign w:val="center"/>
          </w:tcPr>
          <w:p>
            <w:r>
              <w:rPr>
                <w:b w:val="false"/>
                <w:bCs w:val="false"/>
                <w:color w:val="2B2B2B"/>
                <w:sz w:val="19"/>
                <w:szCs w:val="19"/>
              </w:rPr>
              <w:t xml:space="preserve">8</w:t>
            </w:r>
          </w:p>
        </w:tc>
        <w:tc>
          <w:tcPr>
            <w:tcW w:type="dxa" w:w="6600"/>
            <w:tcMar>
              <w:top w:type="dxa" w:w="80"/>
              <w:left w:type="dxa" w:w="120"/>
              <w:bottom w:type="dxa" w:w="80"/>
              <w:right w:type="dxa" w:w="120"/>
            </w:tcMar>
            <w:vAlign w:val="center"/>
          </w:tcPr>
          <w:p>
            <w:r>
              <w:rPr>
                <w:b w:val="false"/>
                <w:bCs w:val="false"/>
                <w:color w:val="2B2B2B"/>
                <w:sz w:val="19"/>
                <w:szCs w:val="19"/>
              </w:rPr>
              <w:t xml:space="preserve">The central ETL watermark table — one row per (watermarktablename, source) pair holding ticks/ts high-water marks read by nearly every silver-to-fact loader.</w:t>
            </w:r>
          </w:p>
        </w:tc>
      </w:tr>
    </w:tbl>
    <w:p>
      <w:pPr>
        <w:pStyle w:val="Heading2"/>
        <w:spacing w:after="160" w:before="360"/>
      </w:pPr>
      <w:r>
        <w:rPr>
          <w:b/>
          <w:bCs/>
          <w:color w:val="1F2A44"/>
          <w:sz w:val="24"/>
          <w:szCs w:val="24"/>
        </w:rPr>
        <w:t xml:space="preserve">4.2 Stored Procedures &amp; Functions (36)</w:t>
      </w:r>
    </w:p>
    <w:p>
      <w:pPr>
        <w:spacing w:after="160" w:line="276"/>
      </w:pPr>
      <w:r>
        <w:rPr>
          <w:b w:val="false"/>
          <w:bCs w:val="false"/>
          <w:i w:val="false"/>
          <w:iCs w:val="false"/>
          <w:color w:val="2B2B2B"/>
          <w:sz w:val="21"/>
          <w:szCs w:val="21"/>
        </w:rPr>
        <w:t xml:space="preserve">Two utility functions, plus 34 procedures that fall into two groups: (a) silver-to-fact loaders that move a Silver staging table into its Gold fact table, and (b) analytics/aggregation procedures that recompute a derived fact from data already in Gold.</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3400"/>
        <w:gridCol w:w="6500"/>
      </w:tblGrid>
      <w:tr>
        <w:trPr>
          <w:tblHeader/>
        </w:trPr>
        <w:tc>
          <w:tcPr>
            <w:tcW w:type="dxa" w:w="3400"/>
            <w:shd w:fill="1F2A44" w:val="clear"/>
            <w:tcMar>
              <w:top w:type="dxa" w:w="100"/>
              <w:left w:type="dxa" w:w="120"/>
              <w:bottom w:type="dxa" w:w="100"/>
              <w:right w:type="dxa" w:w="120"/>
            </w:tcMar>
            <w:vAlign w:val="center"/>
          </w:tcPr>
          <w:p>
            <w:r>
              <w:rPr>
                <w:b/>
                <w:bCs/>
                <w:color w:val="FFFFFF"/>
                <w:sz w:val="19"/>
                <w:szCs w:val="19"/>
              </w:rPr>
              <w:t xml:space="preserve">Procedure / Function</w:t>
            </w:r>
          </w:p>
        </w:tc>
        <w:tc>
          <w:tcPr>
            <w:tcW w:type="dxa" w:w="65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fn_getdata</w:t>
            </w:r>
          </w:p>
        </w:tc>
        <w:tc>
          <w:tcPr>
            <w:tcW w:type="dxa" w:w="6500"/>
            <w:tcMar>
              <w:top w:type="dxa" w:w="80"/>
              <w:left w:type="dxa" w:w="120"/>
              <w:bottom w:type="dxa" w:w="80"/>
              <w:right w:type="dxa" w:w="120"/>
            </w:tcMar>
            <w:vAlign w:val="center"/>
          </w:tcPr>
          <w:p>
            <w:r>
              <w:rPr>
                <w:b w:val="false"/>
                <w:bCs w:val="false"/>
                <w:color w:val="2B2B2B"/>
                <w:sz w:val="19"/>
                <w:szCs w:val="19"/>
              </w:rPr>
              <w:t xml:space="preserve">Utility TABLE function — parameterized lookup (application, data category, module, action type) over device-event-shaped data.</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updatewatermark</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Utility function that stamps fact.watermarktable.watermarkvalue with MAX(fact.devicestate.healthdatatime) for the given watermark key.</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usp_customer_menu_preferences</w:t>
            </w:r>
          </w:p>
        </w:tc>
        <w:tc>
          <w:tcPr>
            <w:tcW w:type="dxa" w:w="6500"/>
            <w:tcMar>
              <w:top w:type="dxa" w:w="80"/>
              <w:left w:type="dxa" w:w="120"/>
              <w:bottom w:type="dxa" w:w="80"/>
              <w:right w:type="dxa" w:w="120"/>
            </w:tcMar>
            <w:vAlign w:val="center"/>
          </w:tcPr>
          <w:p>
            <w:r>
              <w:rPr>
                <w:b w:val="false"/>
                <w:bCs w:val="false"/>
                <w:color w:val="2B2B2B"/>
                <w:sz w:val="19"/>
                <w:szCs w:val="19"/>
              </w:rPr>
              <w:t xml:space="preserve">Rebuilds fact.customer_menu_preferences — per-customer daypart/item ordering-frequency aggregation from fact.transactionheader/transactionitem.</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usp_distribute_silver_gem_events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Fan-out procedure that routes stg.silver_kiosk_events / stg.silver_all_gem_events rows to the correct fact loaders by event category.</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usp_distribute_silver_transaction_entities</w:t>
            </w:r>
          </w:p>
        </w:tc>
        <w:tc>
          <w:tcPr>
            <w:tcW w:type="dxa" w:w="6500"/>
            <w:tcMar>
              <w:top w:type="dxa" w:w="80"/>
              <w:left w:type="dxa" w:w="120"/>
              <w:bottom w:type="dxa" w:w="80"/>
              <w:right w:type="dxa" w:w="120"/>
            </w:tcMar>
            <w:vAlign w:val="center"/>
          </w:tcPr>
          <w:p>
            <w:r>
              <w:rPr>
                <w:b w:val="false"/>
                <w:bCs w:val="false"/>
                <w:color w:val="2B2B2B"/>
                <w:sz w:val="19"/>
                <w:szCs w:val="19"/>
              </w:rPr>
              <w:t xml:space="preserve">Fan-out procedure that routes staged transaction-entity rows (header/item/payment/combo/etc.) to their respective fact loaders.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usp_gem_ordertiming_to_fact_ordertiming</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GEM order-timing telemetry into fact.ordertiming (27 cols).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usp_gem_sent_surveys_to_fact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staged sent-survey events into fact.sent_surveys.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usp_gem_usercheckedin_to_fact_usercheckedin</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GEM user-check-in events into fact.usercheckedin.</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usp_gsh_devicehealth_to_fact_devicestate</w:t>
            </w:r>
          </w:p>
        </w:tc>
        <w:tc>
          <w:tcPr>
            <w:tcW w:type="dxa" w:w="6500"/>
            <w:tcMar>
              <w:top w:type="dxa" w:w="80"/>
              <w:left w:type="dxa" w:w="120"/>
              <w:bottom w:type="dxa" w:w="80"/>
              <w:right w:type="dxa" w:w="120"/>
            </w:tcMar>
            <w:vAlign w:val="center"/>
          </w:tcPr>
          <w:p>
            <w:r>
              <w:rPr>
                <w:b w:val="false"/>
                <w:bCs w:val="false"/>
                <w:color w:val="2B2B2B"/>
                <w:sz w:val="19"/>
                <w:szCs w:val="19"/>
              </w:rPr>
              <w:t xml:space="preserve">Loads GSH device-health telemetry into fact.devicestate; source for fact.updatewatermark().</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usp_gsh_devicetelemetry_to_fact_devicetelemetry</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GSH device telemetry into fact.devicetelemetry.</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usp_item_recommendations_stage_to_fact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staged item-recommendation rows into fact.recommendations.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usp_location_menu_preferences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Rebuilds fact.location_menu_preferences — location-level daypart/item ordering aggregation.</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usp_location_statistics</w:t>
            </w:r>
          </w:p>
        </w:tc>
        <w:tc>
          <w:tcPr>
            <w:tcW w:type="dxa" w:w="6500"/>
            <w:tcMar>
              <w:top w:type="dxa" w:w="80"/>
              <w:left w:type="dxa" w:w="120"/>
              <w:bottom w:type="dxa" w:w="80"/>
              <w:right w:type="dxa" w:w="120"/>
            </w:tcMar>
            <w:vAlign w:val="center"/>
          </w:tcPr>
          <w:p>
            <w:r>
              <w:rPr>
                <w:b w:val="false"/>
                <w:bCs w:val="false"/>
                <w:color w:val="2B2B2B"/>
                <w:sz w:val="19"/>
                <w:szCs w:val="19"/>
              </w:rPr>
              <w:t xml:space="preserve">Rebuilds fact.location_statistics (22 cols) — location-grain KPI rollups.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usp_modifier_impression_analysis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Aggregates stg.silver_modifier_impressions into fact.modifier_impressions (23 cols).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usp_modifier_interaction_analysis</w:t>
            </w:r>
          </w:p>
        </w:tc>
        <w:tc>
          <w:tcPr>
            <w:tcW w:type="dxa" w:w="6500"/>
            <w:tcMar>
              <w:top w:type="dxa" w:w="80"/>
              <w:left w:type="dxa" w:w="120"/>
              <w:bottom w:type="dxa" w:w="80"/>
              <w:right w:type="dxa" w:w="120"/>
            </w:tcMar>
            <w:vAlign w:val="center"/>
          </w:tcPr>
          <w:p>
            <w:r>
              <w:rPr>
                <w:b w:val="false"/>
                <w:bCs w:val="false"/>
                <w:color w:val="2B2B2B"/>
                <w:sz w:val="19"/>
                <w:szCs w:val="19"/>
              </w:rPr>
              <w:t xml:space="preserve">Aggregates stg.silver_modifier_interactions into fact.modifier_interactions (24 cols).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usp_modifier_recommendation_analysis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Aggregates stg.silver_modifier_recommendations into fact.modifier_recommendations.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usp_nge_update_itemssurvey</w:t>
            </w:r>
          </w:p>
        </w:tc>
        <w:tc>
          <w:tcPr>
            <w:tcW w:type="dxa" w:w="6500"/>
            <w:tcMar>
              <w:top w:type="dxa" w:w="80"/>
              <w:left w:type="dxa" w:w="120"/>
              <w:bottom w:type="dxa" w:w="80"/>
              <w:right w:type="dxa" w:w="120"/>
            </w:tcMar>
            <w:vAlign w:val="center"/>
          </w:tcPr>
          <w:p>
            <w:r>
              <w:rPr>
                <w:b w:val="false"/>
                <w:bCs w:val="false"/>
                <w:color w:val="2B2B2B"/>
                <w:sz w:val="19"/>
                <w:szCs w:val="19"/>
              </w:rPr>
              <w:t xml:space="preserve">Applies NGE-sourced updates to fact.itemssurvey rows already loaded.</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usp_offer_analysis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Rebuilds fact.vw_offer_analysis (19 cols) — offer/promotion performance aggregation.</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usp_sent_surveys_to_fact_itemssurvey</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staged sent-survey data into fact.itemssurvey.</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usp_silver_aborted_orders_and_items_to_fact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abandoned/aborted kiosk sessions (never completed to a transaction) into their fact destination for funnel analysis.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usp_silver_item_modifiers_to_fact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stg.silver_item_modifiers (52 cols, the widest staging table) into fact.itemmodifier.</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usp_silver_kiosk_events_to_fact_deviceevent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stg.silver_kiosk_events into fact.deviceevent — the largest fact table (262M+ rows); dedup/performance-tuned via ROW_NUMBER loop with mid-loop commits (see 12.3).</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usp_silver_kiosk_events_to_fact_userbehaviour</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stg.silver_kiosk_events into fact.userbehaviour (20 cols) — the session/clickstream behavior fact, rebuilt via INSERT...SELECT with enrichment joins during the recent performance cycle.</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usp_stg_gem_failed_order_job_notifications_to_fact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failed-order-job notification events into their fact table for operational monitoring.</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usp_silver_cep_incidents_to_fact_cep_incidents</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stg.silver_cep_incidents into fact.cep_incidents (19 cols) — CEP (Complex Event Processing) incident/alert facts.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usp_silver_modifier_impressions_to_fact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stg.silver_modifier_impressions into fact.modifier_impressions.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usp_silver_modifier_interactions_to_fact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stg.silver_modifier_interactions into fact.modifier_interactions.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usp_silver_modifier_recommendations_to_fact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stg.silver_modifier_recommendations into fact.modifier_recommendations.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usp_silver_transaction_header_to_fact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stg.silver_transaction_header into fact.transactionheader (45 cols) — watermark filter, DISTINCT ON dedup, kiosk-event journey-timing enrichment join, INSERT...ON CONFLICT DO UPDATE with COALESCE guards. See walkthrough in 12.2.</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usp_silver_transaction_item_to_fact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stg.silver_transaction_item into fact.transactionitem (29 cols), the same pattern as the header loader.</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usp_silver_transaction_payment_to_fact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stg.silver_transaction_payment into fact.transactionpayment.</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usp_silver_transaction_refunds_to_fact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stg.silver_transaction_refunds into fact.transactionrefunds.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usp_silver_upsell_recommendations_to_fact</w:t>
            </w:r>
          </w:p>
        </w:tc>
        <w:tc>
          <w:tcPr>
            <w:tcW w:type="dxa" w:w="6500"/>
            <w:tcMar>
              <w:top w:type="dxa" w:w="80"/>
              <w:left w:type="dxa" w:w="120"/>
              <w:bottom w:type="dxa" w:w="80"/>
              <w:right w:type="dxa" w:w="120"/>
            </w:tcMar>
            <w:vAlign w:val="center"/>
          </w:tcPr>
          <w:p>
            <w:r>
              <w:rPr>
                <w:b w:val="false"/>
                <w:bCs w:val="false"/>
                <w:color w:val="2B2B2B"/>
                <w:sz w:val="19"/>
                <w:szCs w:val="19"/>
              </w:rPr>
              <w:t xml:space="preserve">Loads stg.silver_upsell_recommendations into fact.recommendations.</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usp_stg_occasionsurveydetail_to_fact</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Loads stg.fact_occasionsurveydetail into fact.occasionsurveydetail (16 cols).</w:t>
            </w:r>
          </w:p>
        </w:tc>
      </w:tr>
      <w:tr>
        <w:tc>
          <w:tcPr>
            <w:tcW w:type="dxa" w:w="3400"/>
            <w:tcMar>
              <w:top w:type="dxa" w:w="80"/>
              <w:left w:type="dxa" w:w="120"/>
              <w:bottom w:type="dxa" w:w="80"/>
              <w:right w:type="dxa" w:w="120"/>
            </w:tcMar>
            <w:vAlign w:val="center"/>
          </w:tcPr>
          <w:p>
            <w:r>
              <w:rPr>
                <w:b w:val="false"/>
                <w:bCs w:val="false"/>
                <w:color w:val="2B2B2B"/>
                <w:sz w:val="19"/>
                <w:szCs w:val="19"/>
              </w:rPr>
              <w:t xml:space="preserve">usp_update_datetime_fields</w:t>
            </w:r>
          </w:p>
        </w:tc>
        <w:tc>
          <w:tcPr>
            <w:tcW w:type="dxa" w:w="6500"/>
            <w:tcMar>
              <w:top w:type="dxa" w:w="80"/>
              <w:left w:type="dxa" w:w="120"/>
              <w:bottom w:type="dxa" w:w="80"/>
              <w:right w:type="dxa" w:w="120"/>
            </w:tcMar>
            <w:vAlign w:val="center"/>
          </w:tcPr>
          <w:p>
            <w:r>
              <w:rPr>
                <w:b w:val="false"/>
                <w:bCs w:val="false"/>
                <w:color w:val="2B2B2B"/>
                <w:sz w:val="19"/>
                <w:szCs w:val="19"/>
              </w:rPr>
              <w:t xml:space="preserve">Backfill/repair procedure that re-parses and corrects datetime columns across fact tables (ties to the to_timestamp/HH12-AM-PM parsing work).</w:t>
            </w:r>
          </w:p>
        </w:tc>
      </w:tr>
      <w:tr>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usp_update_occasion_survey_datetime_fields</w:t>
            </w:r>
          </w:p>
        </w:tc>
        <w:tc>
          <w:tcPr>
            <w:tcW w:type="dxa" w:w="6500"/>
            <w:shd w:fill="EFF3F5" w:val="clear"/>
            <w:tcMar>
              <w:top w:type="dxa" w:w="80"/>
              <w:left w:type="dxa" w:w="120"/>
              <w:bottom w:type="dxa" w:w="80"/>
              <w:right w:type="dxa" w:w="120"/>
            </w:tcMar>
            <w:vAlign w:val="center"/>
          </w:tcPr>
          <w:p>
            <w:r>
              <w:rPr>
                <w:b w:val="false"/>
                <w:bCs w:val="false"/>
                <w:color w:val="2B2B2B"/>
                <w:sz w:val="19"/>
                <w:szCs w:val="19"/>
              </w:rPr>
              <w:t xml:space="preserve">Same datetime backfill/repair pattern, scoped to fact.occasionsurveydetail.</w:t>
            </w:r>
          </w:p>
        </w:tc>
      </w:tr>
    </w:tbl>
    <w:p>
      <w:pPr>
        <w:pStyle w:val="Heading2"/>
        <w:spacing w:after="160" w:before="360"/>
      </w:pPr>
      <w:r>
        <w:rPr>
          <w:b/>
          <w:bCs/>
          <w:color w:val="1F2A44"/>
          <w:sz w:val="24"/>
          <w:szCs w:val="24"/>
        </w:rPr>
        <w:t xml:space="preserve">4.3 Walkthrough: fact.usp_silver_transaction_header_to_fact</w:t>
      </w:r>
    </w:p>
    <w:p>
      <w:pPr>
        <w:spacing w:after="160" w:line="276"/>
      </w:pPr>
      <w:r>
        <w:rPr>
          <w:b w:val="false"/>
          <w:bCs w:val="false"/>
          <w:i w:val="false"/>
          <w:iCs w:val="false"/>
          <w:color w:val="2B2B2B"/>
          <w:sz w:val="21"/>
          <w:szCs w:val="21"/>
        </w:rPr>
        <w:t xml:space="preserve">This procedure is the clearest example of the full silver-to-fact loading pattern used across the warehouse (transactionitem, transactionpayment, transactionrefunds, deviceevent, and userbehaviour loaders all follow the same shape). Reading it top-to-bottom:</w:t>
      </w:r>
    </w:p>
    <w:p>
      <w:pPr>
        <w:spacing w:after="70"/>
        <w:ind w:left="0"/>
      </w:pPr>
      <w:r>
        <w:rPr>
          <w:b/>
          <w:bCs/>
          <w:color w:val="0F6E6B"/>
          <w:sz w:val="21"/>
          <w:szCs w:val="21"/>
        </w:rPr>
        <w:t xml:space="preserve"/>
      </w:r>
      <w:r>
        <w:rPr>
          <w:b w:val="false"/>
          <w:bCs w:val="false"/>
          <w:color w:val="2B2B2B"/>
          <w:sz w:val="21"/>
          <w:szCs w:val="21"/>
        </w:rPr>
        <w:t xml:space="preserve">Capture the watermark once, upfront: SELECT COALESCE(ts, &lt;seed&gt;) - 600 FROM fact.watermarktable WHERE watermarktablename = 'fact.transactionheader' AND source = 'nge' — the 600-second (10-minute) buffer exists for the same reason etl.truncate_silver_staging keeps a 10-minute sliding window (Section 6.2): late-arriving events near an hour boundary.</w:t>
      </w:r>
      <w:r>
        <w:t xml:space="preserve"/>
      </w:r>
    </w:p>
    <w:p>
      <w:pPr>
        <w:spacing w:after="70"/>
        <w:ind w:left="0"/>
      </w:pPr>
      <w:r>
        <w:rPr>
          <w:b/>
          <w:bCs/>
          <w:color w:val="0F6E6B"/>
          <w:sz w:val="21"/>
          <w:szCs w:val="21"/>
        </w:rPr>
        <w:t xml:space="preserve"/>
      </w:r>
      <w:r>
        <w:rPr>
          <w:b w:val="false"/>
          <w:bCs w:val="false"/>
          <w:color w:val="2B2B2B"/>
          <w:sz w:val="21"/>
          <w:szCs w:val="21"/>
        </w:rPr>
        <w:t xml:space="preserve">delta_transactions CTE — SELECT DISTINCT ON (locationid, transactionheaderid) ... ORDER BY locationid, transactionheaderid, orderdateutc DESC pulls the latest version of each transaction. Note the commented-out line AND syscosmosts &gt; v_max_syscosmosts, with an inline comment recording why it was removed: "cross-hour syscosmosts values can’t always be reliable" — this is the watermark-gate bug fix.</w:t>
      </w:r>
      <w:r>
        <w:t xml:space="preserve"/>
      </w:r>
    </w:p>
    <w:p>
      <w:pPr>
        <w:spacing w:after="70"/>
        <w:ind w:left="0"/>
      </w:pPr>
      <w:r>
        <w:rPr>
          <w:b/>
          <w:bCs/>
          <w:color w:val="0F6E6B"/>
          <w:sz w:val="21"/>
          <w:szCs w:val="21"/>
        </w:rPr>
        <w:t xml:space="preserve"/>
      </w:r>
      <w:r>
        <w:rPr>
          <w:b w:val="false"/>
          <w:bCs w:val="false"/>
          <w:color w:val="2B2B2B"/>
          <w:sz w:val="21"/>
          <w:szCs w:val="21"/>
        </w:rPr>
        <w:t xml:space="preserve">qualified_trxns CTE — LEFT JOINs dim.ordertype and dim.organization to resolve ordertype and convert orderdateutc to orderdatelocal using the location’s timezone.</w:t>
      </w:r>
      <w:r>
        <w:t xml:space="preserve"/>
      </w:r>
    </w:p>
    <w:p>
      <w:pPr>
        <w:spacing w:after="70"/>
        <w:ind w:left="0"/>
      </w:pPr>
      <w:r>
        <w:rPr>
          <w:b/>
          <w:bCs/>
          <w:color w:val="0F6E6B"/>
          <w:sz w:val="21"/>
          <w:szCs w:val="21"/>
        </w:rPr>
        <w:t xml:space="preserve"/>
      </w:r>
      <w:r>
        <w:rPr>
          <w:b w:val="false"/>
          <w:bCs w:val="false"/>
          <w:color w:val="2B2B2B"/>
          <w:sz w:val="21"/>
          <w:szCs w:val="21"/>
        </w:rPr>
        <w:t xml:space="preserve">aggregated_kiosk_events CTE — pulls only stg.silver_kiosk_events rows matching sessions already present in this batch (inner-joined to qualified_trxns first) specifically to avoid a full scan of silver_kiosk_events on every run, then pivots session/menu/checkout/payment timestamps out with MIN()/MAX() CASE expressions.</w:t>
      </w:r>
      <w:r>
        <w:t xml:space="preserve"/>
      </w:r>
    </w:p>
    <w:p>
      <w:pPr>
        <w:spacing w:after="70"/>
        <w:ind w:left="0"/>
      </w:pPr>
      <w:r>
        <w:rPr>
          <w:b/>
          <w:bCs/>
          <w:color w:val="0F6E6B"/>
          <w:sz w:val="21"/>
          <w:szCs w:val="21"/>
        </w:rPr>
        <w:t xml:space="preserve"/>
      </w:r>
      <w:r>
        <w:rPr>
          <w:b w:val="false"/>
          <w:bCs w:val="false"/>
          <w:color w:val="2B2B2B"/>
          <w:sz w:val="21"/>
          <w:szCs w:val="21"/>
        </w:rPr>
        <w:t xml:space="preserve">orders_enriched CTE — second DISTINCT ON pass joining the pivoted kiosk-event timings onto the transaction.</w:t>
      </w:r>
      <w:r>
        <w:t xml:space="preserve"/>
      </w:r>
    </w:p>
    <w:p>
      <w:pPr>
        <w:spacing w:after="70"/>
        <w:ind w:left="0"/>
      </w:pPr>
      <w:r>
        <w:rPr>
          <w:b/>
          <w:bCs/>
          <w:color w:val="0F6E6B"/>
          <w:sz w:val="21"/>
          <w:szCs w:val="21"/>
        </w:rPr>
        <w:t xml:space="preserve"/>
      </w:r>
      <w:r>
        <w:rPr>
          <w:b w:val="false"/>
          <w:bCs w:val="false"/>
          <w:color w:val="2B2B2B"/>
          <w:sz w:val="21"/>
          <w:szCs w:val="21"/>
        </w:rPr>
        <w:t xml:space="preserve">INSERT INTO fact.transactionheader (...) SELECT nextval('fact.transactionheader_id_seq') AS id, ... FROM orders_enriched — manual sequence-generated surrogate key, never IDENTITY.</w:t>
      </w:r>
      <w:r>
        <w:t xml:space="preserve"/>
      </w:r>
    </w:p>
    <w:p>
      <w:pPr>
        <w:spacing w:after="70"/>
        <w:ind w:left="0"/>
      </w:pPr>
      <w:r>
        <w:rPr>
          <w:b/>
          <w:bCs/>
          <w:color w:val="0F6E6B"/>
          <w:sz w:val="21"/>
          <w:szCs w:val="21"/>
        </w:rPr>
        <w:t xml:space="preserve"/>
      </w:r>
      <w:r>
        <w:rPr>
          <w:b w:val="false"/>
          <w:bCs w:val="false"/>
          <w:color w:val="2B2B2B"/>
          <w:sz w:val="21"/>
          <w:szCs w:val="21"/>
        </w:rPr>
        <w:t xml:space="preserve">ON CONFLICT (locationid, transactionheaderid) DO UPDATE SET ... using COALESCE(fact.transactionheader.col, EXCLUDED.col) for every timing column, so a later run only fills in columns that are still NULL — it never clobbers a timestamp that was already captured.</w:t>
      </w:r>
      <w:r>
        <w:t xml:space="preserve"/>
      </w:r>
    </w:p>
    <w:p>
      <w:pPr>
        <w:spacing w:after="70"/>
        <w:ind w:left="0"/>
      </w:pPr>
      <w:r>
        <w:rPr>
          <w:b/>
          <w:bCs/>
          <w:color w:val="0F6E6B"/>
          <w:sz w:val="21"/>
          <w:szCs w:val="21"/>
        </w:rPr>
        <w:t xml:space="preserve"/>
      </w:r>
      <w:r>
        <w:rPr>
          <w:b w:val="false"/>
          <w:bCs w:val="false"/>
          <w:color w:val="2B2B2B"/>
          <w:sz w:val="21"/>
          <w:szCs w:val="21"/>
        </w:rPr>
        <w:t xml:space="preserve">WHERE (...) guard on the DO UPDATE — an explicit IS NULL / IS NOT NULL check per column so the UPDATE is skipped entirely (no-op, no updateddate bump) when nothing would actually change.</w:t>
      </w:r>
      <w:r>
        <w:t xml:space="preserve"/>
      </w:r>
    </w:p>
    <w:p>
      <w:pPr>
        <w:spacing w:after="8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PATTERN TO PRESERVE:  </w:t>
            </w:r>
            <w:r>
              <w:rPr>
                <w:color w:val="8A4B08"/>
                <w:sz w:val="20"/>
                <w:szCs w:val="20"/>
              </w:rPr>
              <w:t xml:space="preserve">If you are asked to change transaction-timing logic, change it in the CTEs (delta_transactions / qualified_trxns / aggregated_kiosk_events / orders_enriched) — not in the ON CONFLICT clause. The ON CONFLICT clause is deliberately additive/non-destructive; loosening its COALESCE guards to always overwrite would let a late-arriving partial re-run erase timing data that a previous run already captured correctly.</w:t>
            </w:r>
          </w:p>
        </w:tc>
      </w:tr>
    </w:tbl>
    <w:p>
      <w:pPr>
        <w:pStyle w:val="Heading2"/>
        <w:spacing w:after="160" w:before="360"/>
      </w:pPr>
      <w:r>
        <w:rPr>
          <w:b/>
          <w:bCs/>
          <w:color w:val="1F2A44"/>
          <w:sz w:val="24"/>
          <w:szCs w:val="24"/>
        </w:rPr>
        <w:t xml:space="preserve">4.4 fact.deviceevent — Deduplication &amp; Performance Project</w:t>
      </w:r>
    </w:p>
    <w:p>
      <w:pPr>
        <w:spacing w:after="160" w:line="276"/>
      </w:pPr>
      <w:r>
        <w:rPr>
          <w:b w:val="false"/>
          <w:bCs w:val="false"/>
          <w:i w:val="false"/>
          <w:iCs w:val="false"/>
          <w:color w:val="2B2B2B"/>
          <w:sz w:val="21"/>
          <w:szCs w:val="21"/>
        </w:rPr>
        <w:t xml:space="preserve">fact.deviceevent (262M+ rows) and fact.userbehaviour were the subject of a dedicated dedup/performance engineering cycle: a per-location loop procedure using ROW_NUMBER() with mid-loop COMMITs (to avoid one giant long-running transaction against a 262M-row table), a new unique constraint added to fact.deviceevent to make future loads naturally idempotent, and a full rebuild of fact.userbehaviour via INSERT...SELECT with enrichment joins. Session-level tuning found to matter most:</w:t>
      </w:r>
    </w:p>
    <w:p>
      <w:pPr>
        <w:pStyle w:val="ListParagraph"/>
        <w:numPr>
          <w:ilvl w:val="0"/>
          <w:numId w:val="1"/>
        </w:numPr>
        <w:spacing w:after="90" w:line="264"/>
      </w:pPr>
      <w:r>
        <w:rPr>
          <w:b w:val="false"/>
          <w:bCs w:val="false"/>
          <w:color w:val="2B2B2B"/>
          <w:sz w:val="21"/>
          <w:szCs w:val="21"/>
        </w:rPr>
        <w:t xml:space="preserve">synchronous_commit = OFF — the single biggest win for a loop doing many small commits.</w:t>
      </w:r>
    </w:p>
    <w:p>
      <w:pPr>
        <w:pStyle w:val="ListParagraph"/>
        <w:numPr>
          <w:ilvl w:val="0"/>
          <w:numId w:val="1"/>
        </w:numPr>
        <w:spacing w:after="90" w:line="264"/>
      </w:pPr>
      <w:r>
        <w:rPr>
          <w:b w:val="false"/>
          <w:bCs w:val="false"/>
          <w:color w:val="2B2B2B"/>
          <w:sz w:val="21"/>
          <w:szCs w:val="21"/>
        </w:rPr>
        <w:t xml:space="preserve">jit = OFF — JIT compilation overhead was not worth it for many short, repeated executions.</w:t>
      </w:r>
    </w:p>
    <w:p>
      <w:pPr>
        <w:pStyle w:val="ListParagraph"/>
        <w:numPr>
          <w:ilvl w:val="0"/>
          <w:numId w:val="1"/>
        </w:numPr>
        <w:spacing w:after="90" w:line="264"/>
      </w:pPr>
      <w:r>
        <w:rPr>
          <w:b w:val="false"/>
          <w:bCs w:val="false"/>
          <w:color w:val="2B2B2B"/>
          <w:sz w:val="21"/>
          <w:szCs w:val="21"/>
        </w:rPr>
        <w:t xml:space="preserve">work_mem tuned per workload — 1GB for the dedup loop, 256MB for the fact.userbehaviour rebuild.</w:t>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VERIFY AGAINST PRODUCTION:  </w:t>
            </w:r>
            <w:r>
              <w:rPr>
                <w:color w:val="8A4B08"/>
                <w:sz w:val="20"/>
                <w:szCs w:val="20"/>
              </w:rPr>
              <w:t xml:space="preserve">The uploaded DDL export (gas_db_ddls_merged_20260530.sql) does not show a unique constraint on fact.deviceevent, and gas_indexes.sql shows the deviceeventuidx composite index as commented out (removed for zero usage) with the BRIN index on fact.deviceevent.syscosmosts also commented out (not yet created). If the dedup project’s unique constraint and any accompanying index were added after May 30, 2026, they will not be reflected in these files — the incoming engineer should confirm current state directly against production (\d fact.deviceevent) rather than trusting this DDL snapshot for this specific table.</w:t>
            </w:r>
          </w:p>
        </w:tc>
      </w:tr>
    </w:tbl>
    <w:p>
      <w:pPr>
        <w:spacing w:after="160" w:line="276"/>
      </w:pPr>
      <w:r>
        <w:rPr>
          <w:b w:val="false"/>
          <w:bCs w:val="false"/>
          <w:i w:val="false"/>
          <w:iCs w:val="false"/>
          <w:color w:val="2B2B2B"/>
          <w:sz w:val="21"/>
          <w:szCs w:val="21"/>
        </w:rPr>
        <w:t xml:space="preserve">The per-location loop script itself was run as an ad-hoc maintenance operation and is not part of the committed stored-procedure files reviewed for this document. If it still exists (as a saved .sql script, a notebook, or in shell history), it should be preserved and handed off explicitly — it is not discoverable from the DDL/stored-proc exports alone.</w:t>
      </w:r>
    </w:p>
    <w:p>
      <w:r>
        <w:br w:type="page"/>
      </w:r>
    </w:p>
    <w:p>
      <w:pPr>
        <w:pStyle w:val="Heading1"/>
        <w:pBdr>
          <w:bottom w:val="single" w:color="0F6E6B" w:sz="8" w:space="4"/>
        </w:pBdr>
        <w:spacing w:after="200" w:before="480"/>
      </w:pPr>
      <w:r>
        <w:rPr>
          <w:b/>
          <w:bCs/>
          <w:color w:val="1F2A44"/>
          <w:sz w:val="30"/>
          <w:szCs w:val="30"/>
        </w:rPr>
        <w:t xml:space="preserve">5. Schema: ml — Machine Learning Feature Tables</w:t>
      </w:r>
    </w:p>
    <w:p>
      <w:pPr>
        <w:spacing w:after="160" w:line="276"/>
      </w:pPr>
      <w:r>
        <w:rPr>
          <w:b w:val="false"/>
          <w:bCs w:val="false"/>
          <w:i w:val="false"/>
          <w:iCs w:val="false"/>
          <w:color w:val="2B2B2B"/>
          <w:sz w:val="21"/>
          <w:szCs w:val="21"/>
        </w:rPr>
        <w:t xml:space="preserve">8 tables, 8 procedures. This schema exists specifically to hand the ML/Data Science team clean, business-aggregated, denormalized data without exposing them to raw fact/dim joins — every ml table spells out organization/location names rather than leaving them as IDs, and most add calendar-part columns (yyyy, mm, dd, ww, hh) for time-series feature engineering.</w:t>
      </w:r>
    </w:p>
    <w:p>
      <w:pPr>
        <w:pStyle w:val="Heading2"/>
        <w:spacing w:after="160" w:before="360"/>
      </w:pPr>
      <w:r>
        <w:rPr>
          <w:b/>
          <w:bCs/>
          <w:color w:val="1F2A44"/>
          <w:sz w:val="24"/>
          <w:szCs w:val="24"/>
        </w:rPr>
        <w:t xml:space="preserve">5.1 Table Inventory</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900"/>
        <w:gridCol w:w="800"/>
        <w:gridCol w:w="6200"/>
      </w:tblGrid>
      <w:tr>
        <w:trPr>
          <w:tblHeader/>
        </w:trPr>
        <w:tc>
          <w:tcPr>
            <w:tcW w:type="dxa" w:w="29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8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2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900"/>
            <w:tcMar>
              <w:top w:type="dxa" w:w="80"/>
              <w:left w:type="dxa" w:w="120"/>
              <w:bottom w:type="dxa" w:w="80"/>
              <w:right w:type="dxa" w:w="120"/>
            </w:tcMar>
            <w:vAlign w:val="center"/>
          </w:tcPr>
          <w:p>
            <w:r>
              <w:rPr>
                <w:b w:val="false"/>
                <w:bCs w:val="false"/>
                <w:color w:val="2B2B2B"/>
                <w:sz w:val="19"/>
                <w:szCs w:val="19"/>
              </w:rPr>
              <w:t xml:space="preserve">item_modifiergroup_modifier_mapping</w:t>
            </w:r>
          </w:p>
        </w:tc>
        <w:tc>
          <w:tcPr>
            <w:tcW w:type="dxa" w:w="800"/>
            <w:tcMar>
              <w:top w:type="dxa" w:w="80"/>
              <w:left w:type="dxa" w:w="120"/>
              <w:bottom w:type="dxa" w:w="80"/>
              <w:right w:type="dxa" w:w="120"/>
            </w:tcMar>
            <w:vAlign w:val="center"/>
          </w:tcPr>
          <w:p>
            <w:r>
              <w:rPr>
                <w:b w:val="false"/>
                <w:bCs w:val="false"/>
                <w:color w:val="2B2B2B"/>
                <w:sz w:val="19"/>
                <w:szCs w:val="19"/>
              </w:rPr>
              <w:t xml:space="preserve">28</w:t>
            </w:r>
          </w:p>
        </w:tc>
        <w:tc>
          <w:tcPr>
            <w:tcW w:type="dxa" w:w="6200"/>
            <w:tcMar>
              <w:top w:type="dxa" w:w="80"/>
              <w:left w:type="dxa" w:w="120"/>
              <w:bottom w:type="dxa" w:w="80"/>
              <w:right w:type="dxa" w:w="120"/>
            </w:tcMar>
            <w:vAlign w:val="center"/>
          </w:tcPr>
          <w:p>
            <w:r>
              <w:rPr>
                <w:b w:val="false"/>
                <w:bCs w:val="false"/>
                <w:color w:val="2B2B2B"/>
                <w:sz w:val="19"/>
                <w:szCs w:val="19"/>
              </w:rPr>
              <w:t xml:space="preserve">Denormalized, org/location-named item→modifier-group→modifier mapping (28 cols) — the ML-facing counterpart of dim.item_modifier_group_modifier_mapping, with names spelled out rather than left as IDs for feature readability.</w:t>
            </w:r>
          </w:p>
        </w:tc>
      </w:tr>
      <w:tr>
        <w:tc>
          <w:tcPr>
            <w:tcW w:type="dxa" w:w="2900"/>
            <w:shd w:fill="EFF3F5" w:val="clear"/>
            <w:tcMar>
              <w:top w:type="dxa" w:w="80"/>
              <w:left w:type="dxa" w:w="120"/>
              <w:bottom w:type="dxa" w:w="80"/>
              <w:right w:type="dxa" w:w="120"/>
            </w:tcMar>
            <w:vAlign w:val="center"/>
          </w:tcPr>
          <w:p>
            <w:r>
              <w:rPr>
                <w:b w:val="false"/>
                <w:bCs w:val="false"/>
                <w:color w:val="2B2B2B"/>
                <w:sz w:val="19"/>
                <w:szCs w:val="19"/>
              </w:rPr>
              <w:t xml:space="preserve">menu_entities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28</w:t>
            </w:r>
          </w:p>
        </w:tc>
        <w:tc>
          <w:tcPr>
            <w:tcW w:type="dxa" w:w="6200"/>
            <w:shd w:fill="EFF3F5" w:val="clear"/>
            <w:tcMar>
              <w:top w:type="dxa" w:w="80"/>
              <w:left w:type="dxa" w:w="120"/>
              <w:bottom w:type="dxa" w:w="80"/>
              <w:right w:type="dxa" w:w="120"/>
            </w:tcMar>
            <w:vAlign w:val="center"/>
          </w:tcPr>
          <w:p>
            <w:r>
              <w:rPr>
                <w:b w:val="false"/>
                <w:bCs w:val="false"/>
                <w:color w:val="2B2B2B"/>
                <w:sz w:val="19"/>
                <w:szCs w:val="19"/>
              </w:rPr>
              <w:t xml:space="preserve">Flattened menu-item + category feature table (28 cols) with unit price and class-type attributes, handed to the ML/DS team for item-level modeling.</w:t>
            </w:r>
          </w:p>
        </w:tc>
      </w:tr>
      <w:tr>
        <w:tc>
          <w:tcPr>
            <w:tcW w:type="dxa" w:w="2900"/>
            <w:tcMar>
              <w:top w:type="dxa" w:w="80"/>
              <w:left w:type="dxa" w:w="120"/>
              <w:bottom w:type="dxa" w:w="80"/>
              <w:right w:type="dxa" w:w="120"/>
            </w:tcMar>
            <w:vAlign w:val="center"/>
          </w:tcPr>
          <w:p>
            <w:r>
              <w:rPr>
                <w:b w:val="false"/>
                <w:bCs w:val="false"/>
                <w:color w:val="2B2B2B"/>
                <w:sz w:val="19"/>
                <w:szCs w:val="19"/>
              </w:rPr>
              <w:t xml:space="preserve">modifier_impressions</w:t>
            </w:r>
          </w:p>
        </w:tc>
        <w:tc>
          <w:tcPr>
            <w:tcW w:type="dxa" w:w="800"/>
            <w:tcMar>
              <w:top w:type="dxa" w:w="80"/>
              <w:left w:type="dxa" w:w="120"/>
              <w:bottom w:type="dxa" w:w="80"/>
              <w:right w:type="dxa" w:w="120"/>
            </w:tcMar>
            <w:vAlign w:val="center"/>
          </w:tcPr>
          <w:p>
            <w:r>
              <w:rPr>
                <w:b w:val="false"/>
                <w:bCs w:val="false"/>
                <w:color w:val="2B2B2B"/>
                <w:sz w:val="19"/>
                <w:szCs w:val="19"/>
              </w:rPr>
              <w:t xml:space="preserve">33</w:t>
            </w:r>
          </w:p>
        </w:tc>
        <w:tc>
          <w:tcPr>
            <w:tcW w:type="dxa" w:w="6200"/>
            <w:tcMar>
              <w:top w:type="dxa" w:w="80"/>
              <w:left w:type="dxa" w:w="120"/>
              <w:bottom w:type="dxa" w:w="80"/>
              <w:right w:type="dxa" w:w="120"/>
            </w:tcMar>
            <w:vAlign w:val="center"/>
          </w:tcPr>
          <w:p>
            <w:r>
              <w:rPr>
                <w:b w:val="false"/>
                <w:bCs w:val="false"/>
                <w:color w:val="2B2B2B"/>
                <w:sz w:val="19"/>
                <w:szCs w:val="19"/>
              </w:rPr>
              <w:t xml:space="preserve">ML feature version of fact.modifier_impressions (33 cols) — adds calendar features (yyyy, ww) for time-series modeling.</w:t>
            </w:r>
          </w:p>
        </w:tc>
      </w:tr>
      <w:tr>
        <w:tc>
          <w:tcPr>
            <w:tcW w:type="dxa" w:w="2900"/>
            <w:shd w:fill="EFF3F5" w:val="clear"/>
            <w:tcMar>
              <w:top w:type="dxa" w:w="80"/>
              <w:left w:type="dxa" w:w="120"/>
              <w:bottom w:type="dxa" w:w="80"/>
              <w:right w:type="dxa" w:w="120"/>
            </w:tcMar>
            <w:vAlign w:val="center"/>
          </w:tcPr>
          <w:p>
            <w:r>
              <w:rPr>
                <w:b w:val="false"/>
                <w:bCs w:val="false"/>
                <w:color w:val="2B2B2B"/>
                <w:sz w:val="19"/>
                <w:szCs w:val="19"/>
              </w:rPr>
              <w:t xml:space="preserve">modifier_interactions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38</w:t>
            </w:r>
          </w:p>
        </w:tc>
        <w:tc>
          <w:tcPr>
            <w:tcW w:type="dxa" w:w="6200"/>
            <w:shd w:fill="EFF3F5" w:val="clear"/>
            <w:tcMar>
              <w:top w:type="dxa" w:w="80"/>
              <w:left w:type="dxa" w:w="120"/>
              <w:bottom w:type="dxa" w:w="80"/>
              <w:right w:type="dxa" w:w="120"/>
            </w:tcMar>
            <w:vAlign w:val="center"/>
          </w:tcPr>
          <w:p>
            <w:r>
              <w:rPr>
                <w:b w:val="false"/>
                <w:bCs w:val="false"/>
                <w:color w:val="2B2B2B"/>
                <w:sz w:val="19"/>
                <w:szCs w:val="19"/>
              </w:rPr>
              <w:t xml:space="preserve">ML feature version of fact.modifier_interactions (38 cols, the widest ml table) — same calendar-feature enrichment.</w:t>
            </w:r>
          </w:p>
        </w:tc>
      </w:tr>
      <w:tr>
        <w:tc>
          <w:tcPr>
            <w:tcW w:type="dxa" w:w="2900"/>
            <w:tcMar>
              <w:top w:type="dxa" w:w="80"/>
              <w:left w:type="dxa" w:w="120"/>
              <w:bottom w:type="dxa" w:w="80"/>
              <w:right w:type="dxa" w:w="120"/>
            </w:tcMar>
            <w:vAlign w:val="center"/>
          </w:tcPr>
          <w:p>
            <w:r>
              <w:rPr>
                <w:b w:val="false"/>
                <w:bCs w:val="false"/>
                <w:color w:val="2B2B2B"/>
                <w:sz w:val="19"/>
                <w:szCs w:val="19"/>
              </w:rPr>
              <w:t xml:space="preserve">modifier_item_match</w:t>
            </w:r>
          </w:p>
        </w:tc>
        <w:tc>
          <w:tcPr>
            <w:tcW w:type="dxa" w:w="800"/>
            <w:tcMar>
              <w:top w:type="dxa" w:w="80"/>
              <w:left w:type="dxa" w:w="120"/>
              <w:bottom w:type="dxa" w:w="80"/>
              <w:right w:type="dxa" w:w="120"/>
            </w:tcMar>
            <w:vAlign w:val="center"/>
          </w:tcPr>
          <w:p>
            <w:r>
              <w:rPr>
                <w:b w:val="false"/>
                <w:bCs w:val="false"/>
                <w:color w:val="2B2B2B"/>
                <w:sz w:val="19"/>
                <w:szCs w:val="19"/>
              </w:rPr>
              <w:t xml:space="preserve">33</w:t>
            </w:r>
          </w:p>
        </w:tc>
        <w:tc>
          <w:tcPr>
            <w:tcW w:type="dxa" w:w="6200"/>
            <w:tcMar>
              <w:top w:type="dxa" w:w="80"/>
              <w:left w:type="dxa" w:w="120"/>
              <w:bottom w:type="dxa" w:w="80"/>
              <w:right w:type="dxa" w:w="120"/>
            </w:tcMar>
            <w:vAlign w:val="center"/>
          </w:tcPr>
          <w:p>
            <w:r>
              <w:rPr>
                <w:b w:val="false"/>
                <w:bCs w:val="false"/>
                <w:color w:val="2B2B2B"/>
                <w:sz w:val="19"/>
                <w:szCs w:val="19"/>
              </w:rPr>
              <w:t xml:space="preserve">Output of the fuzzy item–modifier matching subsystem (Section 5.3) — matched_menuitemid, tsr_score, match_confidence_tier, match_direction per modifier.</w:t>
            </w:r>
          </w:p>
        </w:tc>
      </w:tr>
      <w:tr>
        <w:tc>
          <w:tcPr>
            <w:tcW w:type="dxa" w:w="2900"/>
            <w:shd w:fill="EFF3F5" w:val="clear"/>
            <w:tcMar>
              <w:top w:type="dxa" w:w="80"/>
              <w:left w:type="dxa" w:w="120"/>
              <w:bottom w:type="dxa" w:w="80"/>
              <w:right w:type="dxa" w:w="120"/>
            </w:tcMar>
            <w:vAlign w:val="center"/>
          </w:tcPr>
          <w:p>
            <w:r>
              <w:rPr>
                <w:b w:val="false"/>
                <w:bCs w:val="false"/>
                <w:color w:val="2B2B2B"/>
                <w:sz w:val="19"/>
                <w:szCs w:val="19"/>
              </w:rPr>
              <w:t xml:space="preserve">transactions</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37</w:t>
            </w:r>
          </w:p>
        </w:tc>
        <w:tc>
          <w:tcPr>
            <w:tcW w:type="dxa" w:w="6200"/>
            <w:shd w:fill="EFF3F5" w:val="clear"/>
            <w:tcMar>
              <w:top w:type="dxa" w:w="80"/>
              <w:left w:type="dxa" w:w="120"/>
              <w:bottom w:type="dxa" w:w="80"/>
              <w:right w:type="dxa" w:w="120"/>
            </w:tcMar>
            <w:vAlign w:val="center"/>
          </w:tcPr>
          <w:p>
            <w:r>
              <w:rPr>
                <w:b w:val="false"/>
                <w:bCs w:val="false"/>
                <w:color w:val="2B2B2B"/>
                <w:sz w:val="19"/>
                <w:szCs w:val="19"/>
              </w:rPr>
              <w:t xml:space="preserve">Order-line-grain feature table (37 cols) built from fact.transactionheader/transactionitem, denormalized with organization/location names for direct ML consumption.</w:t>
            </w:r>
          </w:p>
        </w:tc>
      </w:tr>
      <w:tr>
        <w:tc>
          <w:tcPr>
            <w:tcW w:type="dxa" w:w="2900"/>
            <w:tcMar>
              <w:top w:type="dxa" w:w="80"/>
              <w:left w:type="dxa" w:w="120"/>
              <w:bottom w:type="dxa" w:w="80"/>
              <w:right w:type="dxa" w:w="120"/>
            </w:tcMar>
            <w:vAlign w:val="center"/>
          </w:tcPr>
          <w:p>
            <w:r>
              <w:rPr>
                <w:b w:val="false"/>
                <w:bCs w:val="false"/>
                <w:color w:val="2B2B2B"/>
                <w:sz w:val="19"/>
                <w:szCs w:val="19"/>
              </w:rPr>
              <w:t xml:space="preserve">upsell_analysis</w:t>
            </w:r>
          </w:p>
        </w:tc>
        <w:tc>
          <w:tcPr>
            <w:tcW w:type="dxa" w:w="800"/>
            <w:tcMar>
              <w:top w:type="dxa" w:w="80"/>
              <w:left w:type="dxa" w:w="120"/>
              <w:bottom w:type="dxa" w:w="80"/>
              <w:right w:type="dxa" w:w="120"/>
            </w:tcMar>
            <w:vAlign w:val="center"/>
          </w:tcPr>
          <w:p>
            <w:r>
              <w:rPr>
                <w:b w:val="false"/>
                <w:bCs w:val="false"/>
                <w:color w:val="2B2B2B"/>
                <w:sz w:val="19"/>
                <w:szCs w:val="19"/>
              </w:rPr>
              <w:t xml:space="preserve">20</w:t>
            </w:r>
          </w:p>
        </w:tc>
        <w:tc>
          <w:tcPr>
            <w:tcW w:type="dxa" w:w="6200"/>
            <w:tcMar>
              <w:top w:type="dxa" w:w="80"/>
              <w:left w:type="dxa" w:w="120"/>
              <w:bottom w:type="dxa" w:w="80"/>
              <w:right w:type="dxa" w:w="120"/>
            </w:tcMar>
            <w:vAlign w:val="center"/>
          </w:tcPr>
          <w:p>
            <w:r>
              <w:rPr>
                <w:b w:val="false"/>
                <w:bCs w:val="false"/>
                <w:color w:val="2B2B2B"/>
                <w:sz w:val="19"/>
                <w:szCs w:val="19"/>
              </w:rPr>
              <w:t xml:space="preserve">ML feature version of fact.vw_offer_analysis — upsell offer/acceptance features by customer and item class.</w:t>
            </w:r>
          </w:p>
        </w:tc>
      </w:tr>
      <w:tr>
        <w:tc>
          <w:tcPr>
            <w:tcW w:type="dxa" w:w="2900"/>
            <w:shd w:fill="EFF3F5" w:val="clear"/>
            <w:tcMar>
              <w:top w:type="dxa" w:w="80"/>
              <w:left w:type="dxa" w:w="120"/>
              <w:bottom w:type="dxa" w:w="80"/>
              <w:right w:type="dxa" w:w="120"/>
            </w:tcMar>
            <w:vAlign w:val="center"/>
          </w:tcPr>
          <w:p>
            <w:r>
              <w:rPr>
                <w:b w:val="false"/>
                <w:bCs w:val="false"/>
                <w:color w:val="2B2B2B"/>
                <w:sz w:val="19"/>
                <w:szCs w:val="19"/>
              </w:rPr>
              <w:t xml:space="preserve">weather</w:t>
            </w:r>
          </w:p>
        </w:tc>
        <w:tc>
          <w:tcPr>
            <w:tcW w:type="dxa" w:w="800"/>
            <w:shd w:fill="EFF3F5" w:val="clear"/>
            <w:tcMar>
              <w:top w:type="dxa" w:w="80"/>
              <w:left w:type="dxa" w:w="120"/>
              <w:bottom w:type="dxa" w:w="80"/>
              <w:right w:type="dxa" w:w="120"/>
            </w:tcMar>
            <w:vAlign w:val="center"/>
          </w:tcPr>
          <w:p>
            <w:r>
              <w:rPr>
                <w:b w:val="false"/>
                <w:bCs w:val="false"/>
                <w:color w:val="2B2B2B"/>
                <w:sz w:val="19"/>
                <w:szCs w:val="19"/>
              </w:rPr>
              <w:t xml:space="preserve">59</w:t>
            </w:r>
          </w:p>
        </w:tc>
        <w:tc>
          <w:tcPr>
            <w:tcW w:type="dxa" w:w="6200"/>
            <w:shd w:fill="EFF3F5" w:val="clear"/>
            <w:tcMar>
              <w:top w:type="dxa" w:w="80"/>
              <w:left w:type="dxa" w:w="120"/>
              <w:bottom w:type="dxa" w:w="80"/>
              <w:right w:type="dxa" w:w="120"/>
            </w:tcMar>
            <w:vAlign w:val="center"/>
          </w:tcPr>
          <w:p>
            <w:r>
              <w:rPr>
                <w:b w:val="false"/>
                <w:bCs w:val="false"/>
                <w:color w:val="2B2B2B"/>
                <w:sz w:val="19"/>
                <w:szCs w:val="19"/>
              </w:rPr>
              <w:t xml:space="preserve">Widest ml table (59 cols) — weather features broken out by yyyy/mm/dd/ww/hh granularity, joined to location/date for demand-modeling features.</w:t>
            </w:r>
          </w:p>
        </w:tc>
      </w:tr>
    </w:tbl>
    <w:p>
      <w:pPr>
        <w:pStyle w:val="Heading2"/>
        <w:spacing w:after="160" w:before="360"/>
      </w:pPr>
      <w:r>
        <w:rPr>
          <w:b/>
          <w:bCs/>
          <w:color w:val="1F2A44"/>
          <w:sz w:val="24"/>
          <w:szCs w:val="24"/>
        </w:rPr>
        <w:t xml:space="preserve">5.2 Stored Procedures (8)</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3200"/>
        <w:gridCol w:w="6700"/>
      </w:tblGrid>
      <w:tr>
        <w:trPr>
          <w:tblHeader/>
        </w:trPr>
        <w:tc>
          <w:tcPr>
            <w:tcW w:type="dxa" w:w="3200"/>
            <w:shd w:fill="1F2A44" w:val="clear"/>
            <w:tcMar>
              <w:top w:type="dxa" w:w="100"/>
              <w:left w:type="dxa" w:w="120"/>
              <w:bottom w:type="dxa" w:w="100"/>
              <w:right w:type="dxa" w:w="120"/>
            </w:tcMar>
            <w:vAlign w:val="center"/>
          </w:tcPr>
          <w:p>
            <w:r>
              <w:rPr>
                <w:b/>
                <w:bCs/>
                <w:color w:val="FFFFFF"/>
                <w:sz w:val="19"/>
                <w:szCs w:val="19"/>
              </w:rPr>
              <w:t xml:space="preserve">Procedure</w:t>
            </w:r>
          </w:p>
        </w:tc>
        <w:tc>
          <w:tcPr>
            <w:tcW w:type="dxa" w:w="67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3200"/>
            <w:tcMar>
              <w:top w:type="dxa" w:w="80"/>
              <w:left w:type="dxa" w:w="120"/>
              <w:bottom w:type="dxa" w:w="80"/>
              <w:right w:type="dxa" w:w="120"/>
            </w:tcMar>
            <w:vAlign w:val="center"/>
          </w:tcPr>
          <w:p>
            <w:r>
              <w:rPr>
                <w:b w:val="false"/>
                <w:bCs w:val="false"/>
                <w:color w:val="2B2B2B"/>
                <w:sz w:val="19"/>
                <w:szCs w:val="19"/>
              </w:rPr>
              <w:t xml:space="preserve">usp_refresh_item_modifiergroup_modifier_mapping</w:t>
            </w:r>
          </w:p>
        </w:tc>
        <w:tc>
          <w:tcPr>
            <w:tcW w:type="dxa" w:w="6700"/>
            <w:tcMar>
              <w:top w:type="dxa" w:w="80"/>
              <w:left w:type="dxa" w:w="120"/>
              <w:bottom w:type="dxa" w:w="80"/>
              <w:right w:type="dxa" w:w="120"/>
            </w:tcMar>
            <w:vAlign w:val="center"/>
          </w:tcPr>
          <w:p>
            <w:r>
              <w:rPr>
                <w:b w:val="false"/>
                <w:bCs w:val="false"/>
                <w:color w:val="2B2B2B"/>
                <w:sz w:val="19"/>
                <w:szCs w:val="19"/>
              </w:rPr>
              <w:t xml:space="preserve">Rebuilds ml.item_modifiergroup_modifier_mapping (28 cols) — the ML-facing, denormalized modifier/menu-item mapping feature table, scoped by organization.</w:t>
            </w:r>
          </w:p>
        </w:tc>
      </w:tr>
      <w:tr>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usp_refresh_menu_entities</w:t>
            </w:r>
          </w:p>
        </w:tc>
        <w:tc>
          <w:tcPr>
            <w:tcW w:type="dxa" w:w="6700"/>
            <w:shd w:fill="EFF3F5" w:val="clear"/>
            <w:tcMar>
              <w:top w:type="dxa" w:w="80"/>
              <w:left w:type="dxa" w:w="120"/>
              <w:bottom w:type="dxa" w:w="80"/>
              <w:right w:type="dxa" w:w="120"/>
            </w:tcMar>
            <w:vAlign w:val="center"/>
          </w:tcPr>
          <w:p>
            <w:r>
              <w:rPr>
                <w:b w:val="false"/>
                <w:bCs w:val="false"/>
                <w:color w:val="2B2B2B"/>
                <w:sz w:val="19"/>
                <w:szCs w:val="19"/>
              </w:rPr>
              <w:t xml:space="preserve">Rebuilds ml.menu_entities (28 cols) — flattened menu-item + category features for the ML/DS team.</w:t>
            </w:r>
          </w:p>
        </w:tc>
      </w:tr>
      <w:tr>
        <w:tc>
          <w:tcPr>
            <w:tcW w:type="dxa" w:w="3200"/>
            <w:tcMar>
              <w:top w:type="dxa" w:w="80"/>
              <w:left w:type="dxa" w:w="120"/>
              <w:bottom w:type="dxa" w:w="80"/>
              <w:right w:type="dxa" w:w="120"/>
            </w:tcMar>
            <w:vAlign w:val="center"/>
          </w:tcPr>
          <w:p>
            <w:r>
              <w:rPr>
                <w:b w:val="false"/>
                <w:bCs w:val="false"/>
                <w:color w:val="2B2B2B"/>
                <w:sz w:val="19"/>
                <w:szCs w:val="19"/>
              </w:rPr>
              <w:t xml:space="preserve">usp_refresh_modifier_impressions</w:t>
            </w:r>
          </w:p>
        </w:tc>
        <w:tc>
          <w:tcPr>
            <w:tcW w:type="dxa" w:w="6700"/>
            <w:tcMar>
              <w:top w:type="dxa" w:w="80"/>
              <w:left w:type="dxa" w:w="120"/>
              <w:bottom w:type="dxa" w:w="80"/>
              <w:right w:type="dxa" w:w="120"/>
            </w:tcMar>
            <w:vAlign w:val="center"/>
          </w:tcPr>
          <w:p>
            <w:r>
              <w:rPr>
                <w:b w:val="false"/>
                <w:bCs w:val="false"/>
                <w:color w:val="2B2B2B"/>
                <w:sz w:val="19"/>
                <w:szCs w:val="19"/>
              </w:rPr>
              <w:t xml:space="preserve">Refreshes ml.modifier_impressions (33 cols) feature table; supports p_refresh_mode (full vs incremental).</w:t>
            </w:r>
          </w:p>
        </w:tc>
      </w:tr>
      <w:tr>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usp_refresh_modifier_interactions</w:t>
            </w:r>
          </w:p>
        </w:tc>
        <w:tc>
          <w:tcPr>
            <w:tcW w:type="dxa" w:w="6700"/>
            <w:shd w:fill="EFF3F5" w:val="clear"/>
            <w:tcMar>
              <w:top w:type="dxa" w:w="80"/>
              <w:left w:type="dxa" w:w="120"/>
              <w:bottom w:type="dxa" w:w="80"/>
              <w:right w:type="dxa" w:w="120"/>
            </w:tcMar>
            <w:vAlign w:val="center"/>
          </w:tcPr>
          <w:p>
            <w:r>
              <w:rPr>
                <w:b w:val="false"/>
                <w:bCs w:val="false"/>
                <w:color w:val="2B2B2B"/>
                <w:sz w:val="19"/>
                <w:szCs w:val="19"/>
              </w:rPr>
              <w:t xml:space="preserve">Refreshes ml.modifier_interactions (38 cols) feature table; supports p_refresh_mode (full vs incremental).</w:t>
            </w:r>
          </w:p>
        </w:tc>
      </w:tr>
      <w:tr>
        <w:tc>
          <w:tcPr>
            <w:tcW w:type="dxa" w:w="3200"/>
            <w:tcMar>
              <w:top w:type="dxa" w:w="80"/>
              <w:left w:type="dxa" w:w="120"/>
              <w:bottom w:type="dxa" w:w="80"/>
              <w:right w:type="dxa" w:w="120"/>
            </w:tcMar>
            <w:vAlign w:val="center"/>
          </w:tcPr>
          <w:p>
            <w:r>
              <w:rPr>
                <w:b w:val="false"/>
                <w:bCs w:val="false"/>
                <w:color w:val="2B2B2B"/>
                <w:sz w:val="19"/>
                <w:szCs w:val="19"/>
              </w:rPr>
              <w:t xml:space="preserve">usp_refresh_transactions</w:t>
            </w:r>
          </w:p>
        </w:tc>
        <w:tc>
          <w:tcPr>
            <w:tcW w:type="dxa" w:w="6700"/>
            <w:tcMar>
              <w:top w:type="dxa" w:w="80"/>
              <w:left w:type="dxa" w:w="120"/>
              <w:bottom w:type="dxa" w:w="80"/>
              <w:right w:type="dxa" w:w="120"/>
            </w:tcMar>
            <w:vAlign w:val="center"/>
          </w:tcPr>
          <w:p>
            <w:r>
              <w:rPr>
                <w:b w:val="false"/>
                <w:bCs w:val="false"/>
                <w:color w:val="2B2B2B"/>
                <w:sz w:val="19"/>
                <w:szCs w:val="19"/>
              </w:rPr>
              <w:t xml:space="preserve">Refreshes ml.transactions (37 cols) — order-grain feature table for downstream ML training/inference.</w:t>
            </w:r>
          </w:p>
        </w:tc>
      </w:tr>
      <w:tr>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usp_refresh_upsell_analysis</w:t>
            </w:r>
          </w:p>
        </w:tc>
        <w:tc>
          <w:tcPr>
            <w:tcW w:type="dxa" w:w="6700"/>
            <w:shd w:fill="EFF3F5" w:val="clear"/>
            <w:tcMar>
              <w:top w:type="dxa" w:w="80"/>
              <w:left w:type="dxa" w:w="120"/>
              <w:bottom w:type="dxa" w:w="80"/>
              <w:right w:type="dxa" w:w="120"/>
            </w:tcMar>
            <w:vAlign w:val="center"/>
          </w:tcPr>
          <w:p>
            <w:r>
              <w:rPr>
                <w:b w:val="false"/>
                <w:bCs w:val="false"/>
                <w:color w:val="2B2B2B"/>
                <w:sz w:val="19"/>
                <w:szCs w:val="19"/>
              </w:rPr>
              <w:t xml:space="preserve">Refreshes ml.upsell_analysis, aggregating upsell-recommendation acceptance signals.</w:t>
            </w:r>
          </w:p>
        </w:tc>
      </w:tr>
      <w:tr>
        <w:tc>
          <w:tcPr>
            <w:tcW w:type="dxa" w:w="3200"/>
            <w:tcMar>
              <w:top w:type="dxa" w:w="80"/>
              <w:left w:type="dxa" w:w="120"/>
              <w:bottom w:type="dxa" w:w="80"/>
              <w:right w:type="dxa" w:w="120"/>
            </w:tcMar>
            <w:vAlign w:val="center"/>
          </w:tcPr>
          <w:p>
            <w:r>
              <w:rPr>
                <w:b w:val="false"/>
                <w:bCs w:val="false"/>
                <w:color w:val="2B2B2B"/>
                <w:sz w:val="19"/>
                <w:szCs w:val="19"/>
              </w:rPr>
              <w:t xml:space="preserve">usp_refresh_weather</w:t>
            </w:r>
          </w:p>
        </w:tc>
        <w:tc>
          <w:tcPr>
            <w:tcW w:type="dxa" w:w="6700"/>
            <w:tcMar>
              <w:top w:type="dxa" w:w="80"/>
              <w:left w:type="dxa" w:w="120"/>
              <w:bottom w:type="dxa" w:w="80"/>
              <w:right w:type="dxa" w:w="120"/>
            </w:tcMar>
            <w:vAlign w:val="center"/>
          </w:tcPr>
          <w:p>
            <w:r>
              <w:rPr>
                <w:b w:val="false"/>
                <w:bCs w:val="false"/>
                <w:color w:val="2B2B2B"/>
                <w:sz w:val="19"/>
                <w:szCs w:val="19"/>
              </w:rPr>
              <w:t xml:space="preserve">Refreshes ml.weather (59 cols) — enriched weather-feature table joined to location/date for demand-modeling features.</w:t>
            </w:r>
          </w:p>
        </w:tc>
      </w:tr>
      <w:tr>
        <w:tc>
          <w:tcPr>
            <w:tcW w:type="dxa" w:w="3200"/>
            <w:shd w:fill="EFF3F5" w:val="clear"/>
            <w:tcMar>
              <w:top w:type="dxa" w:w="80"/>
              <w:left w:type="dxa" w:w="120"/>
              <w:bottom w:type="dxa" w:w="80"/>
              <w:right w:type="dxa" w:w="120"/>
            </w:tcMar>
            <w:vAlign w:val="center"/>
          </w:tcPr>
          <w:p>
            <w:r>
              <w:rPr>
                <w:b w:val="false"/>
                <w:bCs w:val="false"/>
                <w:color w:val="2B2B2B"/>
                <w:sz w:val="19"/>
                <w:szCs w:val="19"/>
              </w:rPr>
              <w:t xml:space="preserve">usp_refresh_item_modifier_matching</w:t>
            </w:r>
          </w:p>
        </w:tc>
        <w:tc>
          <w:tcPr>
            <w:tcW w:type="dxa" w:w="6700"/>
            <w:shd w:fill="EFF3F5" w:val="clear"/>
            <w:tcMar>
              <w:top w:type="dxa" w:w="80"/>
              <w:left w:type="dxa" w:w="120"/>
              <w:bottom w:type="dxa" w:w="80"/>
              <w:right w:type="dxa" w:w="120"/>
            </w:tcMar>
            <w:vAlign w:val="center"/>
          </w:tcPr>
          <w:p>
            <w:r>
              <w:rPr>
                <w:b w:val="false"/>
                <w:bCs w:val="false"/>
                <w:color w:val="2B2B2B"/>
                <w:sz w:val="19"/>
                <w:szCs w:val="19"/>
              </w:rPr>
              <w:t xml:space="preserve">Fuzzy-matches modifiers to menu items using dim.token_sort_ratio (ported from Python rapidfuzz) with a trigram prefilter (p_trgm_prefilter) and score threshold (p_tsr_threshold, default 70), writing results to ml.modifier_item_match, scoped per organization/location.</w:t>
            </w:r>
          </w:p>
        </w:tc>
      </w:tr>
    </w:tbl>
    <w:p>
      <w:pPr>
        <w:spacing w:after="160" w:line="276"/>
      </w:pPr>
      <w:r>
        <w:rPr>
          <w:b w:val="false"/>
          <w:bCs w:val="false"/>
          <w:i w:val="false"/>
          <w:iCs w:val="false"/>
          <w:color w:val="2B2B2B"/>
          <w:sz w:val="21"/>
          <w:szCs w:val="21"/>
        </w:rPr>
        <w:t xml:space="preserve">Seven of the eight follow a usp_refresh_&lt;entity&gt;(p_refresh_mode integer DEFAULT 1) signature — the refresh-mode parameter lets a caller choose full-rebuild vs. incremental refresh; check each procedure body for what mode 1 vs. other values actually does before assuming they mean the same thing across procedures — they were not necessarily written by the same convention at the same time as the dim.usp_refresh_* family.</w:t>
      </w:r>
    </w:p>
    <w:p>
      <w:pPr>
        <w:pStyle w:val="Heading2"/>
        <w:spacing w:after="160" w:before="360"/>
      </w:pPr>
      <w:r>
        <w:rPr>
          <w:b/>
          <w:bCs/>
          <w:color w:val="1F2A44"/>
          <w:sz w:val="24"/>
          <w:szCs w:val="24"/>
        </w:rPr>
        <w:t xml:space="preserve">5.3 Fuzzy Item–Modifier Matching Subsystem</w:t>
      </w:r>
    </w:p>
    <w:p>
      <w:pPr>
        <w:spacing w:after="160" w:line="276"/>
      </w:pPr>
      <w:r>
        <w:rPr>
          <w:b w:val="false"/>
          <w:bCs w:val="false"/>
          <w:i w:val="false"/>
          <w:iCs w:val="false"/>
          <w:color w:val="2B2B2B"/>
          <w:sz w:val="21"/>
          <w:szCs w:val="21"/>
        </w:rPr>
        <w:t xml:space="preserve">ml.usp_refresh_item_modifier_matching(p_organizationid, p_tsr_threshold DEFAULT 70, p_trgm_prefilter DEFAULT 0.40) is the most algorithmically distinct procedure in the warehouse — everything else is SQL aggregation; this one implements fuzzy string matching directly in PL/pgSQL:</w:t>
      </w:r>
    </w:p>
    <w:p>
      <w:pPr>
        <w:spacing w:after="70"/>
        <w:ind w:left="0"/>
      </w:pPr>
      <w:r>
        <w:rPr>
          <w:b/>
          <w:bCs/>
          <w:color w:val="0F6E6B"/>
          <w:sz w:val="21"/>
          <w:szCs w:val="21"/>
        </w:rPr>
        <w:t xml:space="preserve"/>
      </w:r>
      <w:r>
        <w:rPr>
          <w:b w:val="false"/>
          <w:bCs w:val="false"/>
          <w:color w:val="2B2B2B"/>
          <w:sz w:val="21"/>
          <w:szCs w:val="21"/>
        </w:rPr>
        <w:t xml:space="preserve">DELETE existing ml.modifier_item_match rows for the target org/location before rebuilding — the procedure is idempotent per scope, not append-only.</w:t>
      </w:r>
      <w:r>
        <w:t xml:space="preserve"/>
      </w:r>
    </w:p>
    <w:p>
      <w:pPr>
        <w:spacing w:after="70"/>
        <w:ind w:left="0"/>
      </w:pPr>
      <w:r>
        <w:rPr>
          <w:b/>
          <w:bCs/>
          <w:color w:val="0F6E6B"/>
          <w:sz w:val="21"/>
          <w:szCs w:val="21"/>
        </w:rPr>
        <w:t xml:space="preserve"/>
      </w:r>
      <w:r>
        <w:rPr>
          <w:b w:val="false"/>
          <w:bCs w:val="false"/>
          <w:color w:val="2B2B2B"/>
          <w:sz w:val="21"/>
          <w:szCs w:val="21"/>
        </w:rPr>
        <w:t xml:space="preserve">tmp_filtered_modifiers — collapses ml.item_modifiergroup_modifier_mapping to one row per modifierid, excluding modifier groups matched by name pattern ('%level%', '%change%', '%sauce choice%') and modifiers starting with 'no ' — these are deliberately excluded because they are structural/negation modifiers, not candidates for item-name matching.</w:t>
      </w:r>
      <w:r>
        <w:t xml:space="preserve"/>
      </w:r>
    </w:p>
    <w:p>
      <w:pPr>
        <w:spacing w:after="70"/>
        <w:ind w:left="0"/>
      </w:pPr>
      <w:r>
        <w:rPr>
          <w:b/>
          <w:bCs/>
          <w:color w:val="0F6E6B"/>
          <w:sz w:val="21"/>
          <w:szCs w:val="21"/>
        </w:rPr>
        <w:t xml:space="preserve"/>
      </w:r>
      <w:r>
        <w:rPr>
          <w:b w:val="false"/>
          <w:bCs w:val="false"/>
          <w:color w:val="2B2B2B"/>
          <w:sz w:val="21"/>
          <w:szCs w:val="21"/>
        </w:rPr>
        <w:t xml:space="preserve">dim.token_sort_ratio(fm.modifiername, mi.menuitemname) — the core fuzzy-match function, ported from Python’s rapidfuzz token_sort_ratio, computing a 0–100 similarity score between the two normalized name strings.</w:t>
      </w:r>
      <w:r>
        <w:t xml:space="preserve"/>
      </w:r>
    </w:p>
    <w:p>
      <w:pPr>
        <w:spacing w:after="70"/>
        <w:ind w:left="0"/>
      </w:pPr>
      <w:r>
        <w:rPr>
          <w:b/>
          <w:bCs/>
          <w:color w:val="0F6E6B"/>
          <w:sz w:val="21"/>
          <w:szCs w:val="21"/>
        </w:rPr>
        <w:t xml:space="preserve"/>
      </w:r>
      <w:r>
        <w:rPr>
          <w:b w:val="false"/>
          <w:bCs w:val="false"/>
          <w:color w:val="2B2B2B"/>
          <w:sz w:val="21"/>
          <w:szCs w:val="21"/>
        </w:rPr>
        <w:t xml:space="preserve">p_trgm_prefilter — a pg_trgm-based prefilter (similarity threshold, default 0.40) applied before the token_sort_ratio computation, to avoid running the expensive fuzzy comparison against every menu item for every modifier.</w:t>
      </w:r>
      <w:r>
        <w:t xml:space="preserve"/>
      </w:r>
    </w:p>
    <w:p>
      <w:pPr>
        <w:spacing w:after="70"/>
        <w:ind w:left="0"/>
      </w:pPr>
      <w:r>
        <w:rPr>
          <w:b/>
          <w:bCs/>
          <w:color w:val="0F6E6B"/>
          <w:sz w:val="21"/>
          <w:szCs w:val="21"/>
        </w:rPr>
        <w:t xml:space="preserve"/>
      </w:r>
      <w:r>
        <w:rPr>
          <w:b w:val="false"/>
          <w:bCs w:val="false"/>
          <w:color w:val="2B2B2B"/>
          <w:sz w:val="21"/>
          <w:szCs w:val="21"/>
        </w:rPr>
        <w:t xml:space="preserve">WHERE dim.token_sort_ratio(...) &gt;= p_tsr_threshold — only matches scoring at or above the threshold (default 70) are written to ml.modifier_item_match, tagged with match_confidence_tier and match_direction.</w:t>
      </w:r>
      <w:r>
        <w:t xml:space="preserve"/>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FOLLOW-UP:  </w:t>
            </w:r>
            <w:r>
              <w:rPr>
                <w:color w:val="8A4B08"/>
                <w:sz w:val="20"/>
                <w:szCs w:val="20"/>
              </w:rPr>
              <w:t xml:space="preserve">dim.token_sort_ratio lives in the dim schema (it is a shared string-similarity utility, not ml-specific) but is only actually called from this one ml procedure today. If you need to review or modify the matching algorithm itself, look for CREATE FUNCTION dim.token_sort_ratio in the DDL export — it was not included in the nine files reviewed for this document and should be located and preserved separately if it is not already in dim_stored_procs.sql on the live server.</w:t>
            </w:r>
          </w:p>
        </w:tc>
      </w:tr>
    </w:tbl>
    <w:p>
      <w:r>
        <w:br w:type="page"/>
      </w:r>
    </w:p>
    <w:p>
      <w:pPr>
        <w:pStyle w:val="Heading1"/>
        <w:pBdr>
          <w:bottom w:val="single" w:color="0F6E6B" w:sz="8" w:space="4"/>
        </w:pBdr>
        <w:spacing w:after="200" w:before="480"/>
      </w:pPr>
      <w:r>
        <w:rPr>
          <w:b/>
          <w:bCs/>
          <w:color w:val="1F2A44"/>
          <w:sz w:val="30"/>
          <w:szCs w:val="30"/>
        </w:rPr>
        <w:t xml:space="preserve">6. Schema: stg — Silver Staging Layer</w:t>
      </w:r>
    </w:p>
    <w:p>
      <w:pPr>
        <w:spacing w:after="160" w:line="276"/>
      </w:pPr>
      <w:r>
        <w:rPr>
          <w:b w:val="false"/>
          <w:bCs w:val="false"/>
          <w:i w:val="false"/>
          <w:iCs w:val="false"/>
          <w:color w:val="2B2B2B"/>
          <w:sz w:val="21"/>
          <w:szCs w:val="21"/>
        </w:rPr>
        <w:t xml:space="preserve">45 tables — the landing zone between ADLS Bronze and the dim/fact/ml Gold schemas. Every stg table is populated by an ADF Copy Activity or Data Flow reading Bronze partition files, and every table in it is either fully truncated or window-deleted by etl.truncate_silver_staging() before the next run lands new data (Section 6.2) — nothing in stg is meant to accumulate indefinitely.</w:t>
      </w:r>
    </w:p>
    <w:p>
      <w:pPr>
        <w:pStyle w:val="Heading2"/>
        <w:spacing w:after="160" w:before="360"/>
      </w:pPr>
      <w:r>
        <w:rPr>
          <w:b/>
          <w:bCs/>
          <w:color w:val="1F2A44"/>
          <w:sz w:val="24"/>
          <w:szCs w:val="24"/>
        </w:rPr>
        <w:t xml:space="preserve">Dimension staging (loaded by ADF Copy/Data Flow from Cosmos DB, consumed by dim.usp_refresh_*)</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400"/>
        <w:gridCol w:w="700"/>
        <w:gridCol w:w="680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7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8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dim_catalog</w:t>
            </w:r>
          </w:p>
        </w:tc>
        <w:tc>
          <w:tcPr>
            <w:tcW w:type="dxa" w:w="700"/>
            <w:tcMar>
              <w:top w:type="dxa" w:w="80"/>
              <w:left w:type="dxa" w:w="120"/>
              <w:bottom w:type="dxa" w:w="80"/>
              <w:right w:type="dxa" w:w="120"/>
            </w:tcMar>
            <w:vAlign w:val="center"/>
          </w:tcPr>
          <w:p>
            <w:r>
              <w:rPr>
                <w:b w:val="false"/>
                <w:bCs w:val="false"/>
                <w:color w:val="2B2B2B"/>
                <w:sz w:val="19"/>
                <w:szCs w:val="19"/>
              </w:rPr>
              <w:t xml:space="preserve">13</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dim_category_hierarchy</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28</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dim_cep_subscriptions</w:t>
            </w:r>
          </w:p>
        </w:tc>
        <w:tc>
          <w:tcPr>
            <w:tcW w:type="dxa" w:w="700"/>
            <w:tcMar>
              <w:top w:type="dxa" w:w="80"/>
              <w:left w:type="dxa" w:w="120"/>
              <w:bottom w:type="dxa" w:w="80"/>
              <w:right w:type="dxa" w:w="120"/>
            </w:tcMar>
            <w:vAlign w:val="center"/>
          </w:tcPr>
          <w:p>
            <w:r>
              <w:rPr>
                <w:b w:val="false"/>
                <w:bCs w:val="false"/>
                <w:color w:val="2B2B2B"/>
                <w:sz w:val="19"/>
                <w:szCs w:val="19"/>
              </w:rPr>
              <w:t xml:space="preserve">3</w:t>
            </w:r>
          </w:p>
        </w:tc>
        <w:tc>
          <w:tcPr>
            <w:tcW w:type="dxa" w:w="6800"/>
            <w:tcMar>
              <w:top w:type="dxa" w:w="80"/>
              <w:left w:type="dxa" w:w="120"/>
              <w:bottom w:type="dxa" w:w="80"/>
              <w:right w:type="dxa" w:w="120"/>
            </w:tcMar>
            <w:vAlign w:val="center"/>
          </w:tcPr>
          <w:p>
            <w:r>
              <w:rPr>
                <w:b w:val="false"/>
                <w:bCs w:val="false"/>
                <w:color w:val="2B2B2B"/>
                <w:sz w:val="19"/>
                <w:szCs w:val="19"/>
              </w:rPr>
              <w:t xml:space="preserve">Raw CEP subscription payload staging (single JSON-ish column).</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dim_frequentcustomer</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12</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dim_itemcategory</w:t>
            </w:r>
          </w:p>
        </w:tc>
        <w:tc>
          <w:tcPr>
            <w:tcW w:type="dxa" w:w="700"/>
            <w:tcMar>
              <w:top w:type="dxa" w:w="80"/>
              <w:left w:type="dxa" w:w="120"/>
              <w:bottom w:type="dxa" w:w="80"/>
              <w:right w:type="dxa" w:w="120"/>
            </w:tcMar>
            <w:vAlign w:val="center"/>
          </w:tcPr>
          <w:p>
            <w:r>
              <w:rPr>
                <w:b w:val="false"/>
                <w:bCs w:val="false"/>
                <w:color w:val="2B2B2B"/>
                <w:sz w:val="19"/>
                <w:szCs w:val="19"/>
              </w:rPr>
              <w:t xml:space="preserve">15</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dim_kiosk</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9</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dim_kiosk_appearance</w:t>
            </w:r>
          </w:p>
        </w:tc>
        <w:tc>
          <w:tcPr>
            <w:tcW w:type="dxa" w:w="700"/>
            <w:tcMar>
              <w:top w:type="dxa" w:w="80"/>
              <w:left w:type="dxa" w:w="120"/>
              <w:bottom w:type="dxa" w:w="80"/>
              <w:right w:type="dxa" w:w="120"/>
            </w:tcMar>
            <w:vAlign w:val="center"/>
          </w:tcPr>
          <w:p>
            <w:r>
              <w:rPr>
                <w:b w:val="false"/>
                <w:bCs w:val="false"/>
                <w:color w:val="2B2B2B"/>
                <w:sz w:val="19"/>
                <w:szCs w:val="19"/>
              </w:rPr>
              <w:t xml:space="preserve">7</w:t>
            </w:r>
          </w:p>
        </w:tc>
        <w:tc>
          <w:tcPr>
            <w:tcW w:type="dxa" w:w="6800"/>
            <w:tcMar>
              <w:top w:type="dxa" w:w="80"/>
              <w:left w:type="dxa" w:w="120"/>
              <w:bottom w:type="dxa" w:w="80"/>
              <w:right w:type="dxa" w:w="120"/>
            </w:tcMar>
            <w:vAlign w:val="center"/>
          </w:tcPr>
          <w:p>
            <w:r>
              <w:rPr>
                <w:b w:val="false"/>
                <w:bCs w:val="false"/>
                <w:color w:val="2B2B2B"/>
                <w:sz w:val="19"/>
                <w:szCs w:val="19"/>
              </w:rPr>
              <w:t xml:space="preserve">Kiosk UI theme/appearance-config staging (receipt settings, fonts, style overrides).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dim_kiosk_config</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30</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Kiosk feature-flag/config staging (30 cols — scanners, ADA config, loyalty features, etc.).</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dim_location_kiosks</w:t>
            </w:r>
          </w:p>
        </w:tc>
        <w:tc>
          <w:tcPr>
            <w:tcW w:type="dxa" w:w="700"/>
            <w:tcMar>
              <w:top w:type="dxa" w:w="80"/>
              <w:left w:type="dxa" w:w="120"/>
              <w:bottom w:type="dxa" w:w="80"/>
              <w:right w:type="dxa" w:w="120"/>
            </w:tcMar>
            <w:vAlign w:val="center"/>
          </w:tcPr>
          <w:p>
            <w:r>
              <w:rPr>
                <w:b w:val="false"/>
                <w:bCs w:val="false"/>
                <w:color w:val="2B2B2B"/>
                <w:sz w:val="19"/>
                <w:szCs w:val="19"/>
              </w:rPr>
              <w:t xml:space="preserve">8</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dim_loyalty_configuration</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4</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Per-location loyalty-provider configuration staging.</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dim_menuitem</w:t>
            </w:r>
          </w:p>
        </w:tc>
        <w:tc>
          <w:tcPr>
            <w:tcW w:type="dxa" w:w="700"/>
            <w:tcMar>
              <w:top w:type="dxa" w:w="80"/>
              <w:left w:type="dxa" w:w="120"/>
              <w:bottom w:type="dxa" w:w="80"/>
              <w:right w:type="dxa" w:w="120"/>
            </w:tcMar>
            <w:vAlign w:val="center"/>
          </w:tcPr>
          <w:p>
            <w:r>
              <w:rPr>
                <w:b w:val="false"/>
                <w:bCs w:val="false"/>
                <w:color w:val="2B2B2B"/>
                <w:sz w:val="19"/>
                <w:szCs w:val="19"/>
              </w:rPr>
              <w:t xml:space="preserve">20</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dim_modifier</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20</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dim_modifiergroup</w:t>
            </w:r>
          </w:p>
        </w:tc>
        <w:tc>
          <w:tcPr>
            <w:tcW w:type="dxa" w:w="700"/>
            <w:tcMar>
              <w:top w:type="dxa" w:w="80"/>
              <w:left w:type="dxa" w:w="120"/>
              <w:bottom w:type="dxa" w:w="80"/>
              <w:right w:type="dxa" w:w="120"/>
            </w:tcMar>
            <w:vAlign w:val="center"/>
          </w:tcPr>
          <w:p>
            <w:r>
              <w:rPr>
                <w:b w:val="false"/>
                <w:bCs w:val="false"/>
                <w:color w:val="2B2B2B"/>
                <w:sz w:val="19"/>
                <w:szCs w:val="19"/>
              </w:rPr>
              <w:t xml:space="preserve">20</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dim_modifiergroup_modifier_mapping</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17</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dim_occasionsurvey</w:t>
            </w:r>
          </w:p>
        </w:tc>
        <w:tc>
          <w:tcPr>
            <w:tcW w:type="dxa" w:w="700"/>
            <w:tcMar>
              <w:top w:type="dxa" w:w="80"/>
              <w:left w:type="dxa" w:w="120"/>
              <w:bottom w:type="dxa" w:w="80"/>
              <w:right w:type="dxa" w:w="120"/>
            </w:tcMar>
            <w:vAlign w:val="center"/>
          </w:tcPr>
          <w:p>
            <w:r>
              <w:rPr>
                <w:b w:val="false"/>
                <w:bCs w:val="false"/>
                <w:color w:val="2B2B2B"/>
                <w:sz w:val="19"/>
                <w:szCs w:val="19"/>
              </w:rPr>
              <w:t xml:space="preserve">11</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dim_organization</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33</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dim_organizationlocation</w:t>
            </w:r>
          </w:p>
        </w:tc>
        <w:tc>
          <w:tcPr>
            <w:tcW w:type="dxa" w:w="700"/>
            <w:tcMar>
              <w:top w:type="dxa" w:w="80"/>
              <w:left w:type="dxa" w:w="120"/>
              <w:bottom w:type="dxa" w:w="80"/>
              <w:right w:type="dxa" w:w="120"/>
            </w:tcMar>
            <w:vAlign w:val="center"/>
          </w:tcPr>
          <w:p>
            <w:r>
              <w:rPr>
                <w:b w:val="false"/>
                <w:bCs w:val="false"/>
                <w:color w:val="2B2B2B"/>
                <w:sz w:val="19"/>
                <w:szCs w:val="19"/>
              </w:rPr>
              <w:t xml:space="preserve">6</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dim_payment_provider</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4</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Per-location payment-provider staging.</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dim_pos_provider</w:t>
            </w:r>
          </w:p>
        </w:tc>
        <w:tc>
          <w:tcPr>
            <w:tcW w:type="dxa" w:w="700"/>
            <w:tcMar>
              <w:top w:type="dxa" w:w="80"/>
              <w:left w:type="dxa" w:w="120"/>
              <w:bottom w:type="dxa" w:w="80"/>
              <w:right w:type="dxa" w:w="120"/>
            </w:tcMar>
            <w:vAlign w:val="center"/>
          </w:tcPr>
          <w:p>
            <w:r>
              <w:rPr>
                <w:b w:val="false"/>
                <w:bCs w:val="false"/>
                <w:color w:val="2B2B2B"/>
                <w:sz w:val="19"/>
                <w:szCs w:val="19"/>
              </w:rPr>
              <w:t xml:space="preserve">4</w:t>
            </w:r>
          </w:p>
        </w:tc>
        <w:tc>
          <w:tcPr>
            <w:tcW w:type="dxa" w:w="6800"/>
            <w:tcMar>
              <w:top w:type="dxa" w:w="80"/>
              <w:left w:type="dxa" w:w="120"/>
              <w:bottom w:type="dxa" w:w="80"/>
              <w:right w:type="dxa" w:w="120"/>
            </w:tcMar>
            <w:vAlign w:val="center"/>
          </w:tcPr>
          <w:p>
            <w:r>
              <w:rPr>
                <w:b w:val="false"/>
                <w:bCs w:val="false"/>
                <w:color w:val="2B2B2B"/>
                <w:sz w:val="19"/>
                <w:szCs w:val="19"/>
              </w:rPr>
              <w:t xml:space="preserve">Per-location POS-provider staging.</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kioskdetails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7</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Legacy kiosk-details staging, superseded in Gold by dim.kioskdetails.</w:t>
            </w:r>
          </w:p>
        </w:tc>
      </w:tr>
    </w:tbl>
    <w:p>
      <w:pPr>
        <w:pStyle w:val="Heading2"/>
        <w:spacing w:after="160" w:before="360"/>
      </w:pPr>
      <w:r>
        <w:rPr>
          <w:b/>
          <w:bCs/>
          <w:color w:val="1F2A44"/>
          <w:sz w:val="24"/>
          <w:szCs w:val="24"/>
        </w:rPr>
        <w:t xml:space="preserve">Device/infrastructure staging (full-truncate each run — see 6.2)</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400"/>
        <w:gridCol w:w="700"/>
        <w:gridCol w:w="680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7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8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fact_devicestate</w:t>
            </w:r>
          </w:p>
        </w:tc>
        <w:tc>
          <w:tcPr>
            <w:tcW w:type="dxa" w:w="700"/>
            <w:tcMar>
              <w:top w:type="dxa" w:w="80"/>
              <w:left w:type="dxa" w:w="120"/>
              <w:bottom w:type="dxa" w:w="80"/>
              <w:right w:type="dxa" w:w="120"/>
            </w:tcMar>
            <w:vAlign w:val="center"/>
          </w:tcPr>
          <w:p>
            <w:r>
              <w:rPr>
                <w:b w:val="false"/>
                <w:bCs w:val="false"/>
                <w:color w:val="2B2B2B"/>
                <w:sz w:val="19"/>
                <w:szCs w:val="19"/>
              </w:rPr>
              <w:t xml:space="preserve">14</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fact_devicetelemetry</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8</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tcMar>
              <w:top w:type="dxa" w:w="80"/>
              <w:left w:type="dxa" w:w="120"/>
              <w:bottom w:type="dxa" w:w="80"/>
              <w:right w:type="dxa" w:w="120"/>
            </w:tcMar>
            <w:vAlign w:val="center"/>
          </w:tcPr>
          <w:p>
            <w:r>
              <w:rPr>
                <w:b w:val="false"/>
                <w:bCs w:val="false"/>
                <w:color w:val="2B2B2B"/>
                <w:sz w:val="19"/>
                <w:szCs w:val="19"/>
              </w:rPr>
              <w:t xml:space="preserve">fact_itemssurvey</w:t>
            </w:r>
          </w:p>
        </w:tc>
        <w:tc>
          <w:tcPr>
            <w:tcW w:type="dxa" w:w="700"/>
            <w:tcMar>
              <w:top w:type="dxa" w:w="80"/>
              <w:left w:type="dxa" w:w="120"/>
              <w:bottom w:type="dxa" w:w="80"/>
              <w:right w:type="dxa" w:w="120"/>
            </w:tcMar>
            <w:vAlign w:val="center"/>
          </w:tcPr>
          <w:p>
            <w:r>
              <w:rPr>
                <w:b w:val="false"/>
                <w:bCs w:val="false"/>
                <w:color w:val="2B2B2B"/>
                <w:sz w:val="19"/>
                <w:szCs w:val="19"/>
              </w:rPr>
              <w:t xml:space="preserve">14</w:t>
            </w:r>
          </w:p>
        </w:tc>
        <w:tc>
          <w:tcPr>
            <w:tcW w:type="dxa" w:w="6800"/>
            <w:tcMar>
              <w:top w:type="dxa" w:w="80"/>
              <w:left w:type="dxa" w:w="120"/>
              <w:bottom w:type="dxa" w:w="80"/>
              <w:right w:type="dxa" w:w="120"/>
            </w:tcMar>
            <w:vAlign w:val="center"/>
          </w:tcPr>
          <w:p>
            <w:r>
              <w:rPr>
                <w:b w:val="false"/>
                <w:bCs w:val="false"/>
                <w:color w:val="2B2B2B"/>
                <w:sz w:val="19"/>
                <w:szCs w:val="19"/>
              </w:rPr>
              <w:t xml:space="preserve"/>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fact_occasionsurveydetail</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15</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
            </w:r>
          </w:p>
        </w:tc>
      </w:tr>
    </w:tbl>
    <w:p>
      <w:pPr>
        <w:pStyle w:val="Heading2"/>
        <w:spacing w:after="160" w:before="360"/>
      </w:pPr>
      <w:r>
        <w:rPr>
          <w:b/>
          <w:bCs/>
          <w:color w:val="1F2A44"/>
          <w:sz w:val="24"/>
          <w:szCs w:val="24"/>
        </w:rPr>
        <w:t xml:space="preserve">Orders/transaction pipeline staging (10-minute sliding-window truncate — see 6.2)</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400"/>
        <w:gridCol w:w="700"/>
        <w:gridCol w:w="680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7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8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silver_all_gem_events</w:t>
            </w:r>
          </w:p>
        </w:tc>
        <w:tc>
          <w:tcPr>
            <w:tcW w:type="dxa" w:w="700"/>
            <w:tcMar>
              <w:top w:type="dxa" w:w="80"/>
              <w:left w:type="dxa" w:w="120"/>
              <w:bottom w:type="dxa" w:w="80"/>
              <w:right w:type="dxa" w:w="120"/>
            </w:tcMar>
            <w:vAlign w:val="center"/>
          </w:tcPr>
          <w:p>
            <w:r>
              <w:rPr>
                <w:b w:val="false"/>
                <w:bCs w:val="false"/>
                <w:color w:val="2B2B2B"/>
                <w:sz w:val="19"/>
                <w:szCs w:val="19"/>
              </w:rPr>
              <w:t xml:space="preserve">20</w:t>
            </w:r>
          </w:p>
        </w:tc>
        <w:tc>
          <w:tcPr>
            <w:tcW w:type="dxa" w:w="6800"/>
            <w:tcMar>
              <w:top w:type="dxa" w:w="80"/>
              <w:left w:type="dxa" w:w="120"/>
              <w:bottom w:type="dxa" w:w="80"/>
              <w:right w:type="dxa" w:w="120"/>
            </w:tcMar>
            <w:vAlign w:val="center"/>
          </w:tcPr>
          <w:p>
            <w:r>
              <w:rPr>
                <w:b w:val="false"/>
                <w:bCs w:val="false"/>
                <w:color w:val="2B2B2B"/>
                <w:sz w:val="19"/>
                <w:szCs w:val="19"/>
              </w:rPr>
              <w:t xml:space="preserve">Raw GEM event stream staging before it is split into fact.deviceevent / fact.userbehaviour via usp_distribute_silver_gem_events.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silver_all_transaction_entities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52</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Widest staging table (54 cols incl. Cosmos system fields _attachments/_etag/_rid/_self/_lsn/_ts) — raw camelCase mirror of the Cosmos order document (orderId, locationId, kioskSessionId, totals, items, combos, paymentDetails as nested JSON) plus a bronze_folderpath tracking column, before usp_distribute_silver_transaction_entities fans it out to the per-entity silver_transaction_* tables below.</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silver_cep_incidents</w:t>
            </w:r>
          </w:p>
        </w:tc>
        <w:tc>
          <w:tcPr>
            <w:tcW w:type="dxa" w:w="700"/>
            <w:tcMar>
              <w:top w:type="dxa" w:w="80"/>
              <w:left w:type="dxa" w:w="120"/>
              <w:bottom w:type="dxa" w:w="80"/>
              <w:right w:type="dxa" w:w="120"/>
            </w:tcMar>
            <w:vAlign w:val="center"/>
          </w:tcPr>
          <w:p>
            <w:r>
              <w:rPr>
                <w:b w:val="false"/>
                <w:bCs w:val="false"/>
                <w:color w:val="2B2B2B"/>
                <w:sz w:val="19"/>
                <w:szCs w:val="19"/>
              </w:rPr>
              <w:t xml:space="preserve">22</w:t>
            </w:r>
          </w:p>
        </w:tc>
        <w:tc>
          <w:tcPr>
            <w:tcW w:type="dxa" w:w="6800"/>
            <w:tcMar>
              <w:top w:type="dxa" w:w="80"/>
              <w:left w:type="dxa" w:w="120"/>
              <w:bottom w:type="dxa" w:w="80"/>
              <w:right w:type="dxa" w:w="120"/>
            </w:tcMar>
            <w:vAlign w:val="center"/>
          </w:tcPr>
          <w:p>
            <w:r>
              <w:rPr>
                <w:b w:val="false"/>
                <w:bCs w:val="false"/>
                <w:color w:val="2B2B2B"/>
                <w:sz w:val="19"/>
                <w:szCs w:val="19"/>
              </w:rPr>
              <w:t xml:space="preserve">CEP incident staging, feeds fact.usp_silver_cep_incidents_to_fact_cep_incidents.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silver_item_modifiers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52</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Widest per-entity staging table (52 cols) — order-item-to-modifier staging.</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silver_kiosk_events</w:t>
            </w:r>
          </w:p>
        </w:tc>
        <w:tc>
          <w:tcPr>
            <w:tcW w:type="dxa" w:w="700"/>
            <w:tcMar>
              <w:top w:type="dxa" w:w="80"/>
              <w:left w:type="dxa" w:w="120"/>
              <w:bottom w:type="dxa" w:w="80"/>
              <w:right w:type="dxa" w:w="120"/>
            </w:tcMar>
            <w:vAlign w:val="center"/>
          </w:tcPr>
          <w:p>
            <w:r>
              <w:rPr>
                <w:b w:val="false"/>
                <w:bCs w:val="false"/>
                <w:color w:val="2B2B2B"/>
                <w:sz w:val="19"/>
                <w:szCs w:val="19"/>
              </w:rPr>
              <w:t xml:space="preserve">22</w:t>
            </w:r>
          </w:p>
        </w:tc>
        <w:tc>
          <w:tcPr>
            <w:tcW w:type="dxa" w:w="6800"/>
            <w:tcMar>
              <w:top w:type="dxa" w:w="80"/>
              <w:left w:type="dxa" w:w="120"/>
              <w:bottom w:type="dxa" w:w="80"/>
              <w:right w:type="dxa" w:w="120"/>
            </w:tcMar>
            <w:vAlign w:val="center"/>
          </w:tcPr>
          <w:p>
            <w:r>
              <w:rPr>
                <w:b w:val="false"/>
                <w:bCs w:val="false"/>
                <w:color w:val="2B2B2B"/>
                <w:sz w:val="19"/>
                <w:szCs w:val="19"/>
              </w:rPr>
              <w:t xml:space="preserve">Kiosk session/UI event staging — the events pipeline’s primary landing table, joined by the transaction-header loader for journey timing (Section 4.3).</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silver_modifier_impressions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31</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Modifier-impression staging (31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silver_modifier_interactions</w:t>
            </w:r>
          </w:p>
        </w:tc>
        <w:tc>
          <w:tcPr>
            <w:tcW w:type="dxa" w:w="700"/>
            <w:tcMar>
              <w:top w:type="dxa" w:w="80"/>
              <w:left w:type="dxa" w:w="120"/>
              <w:bottom w:type="dxa" w:w="80"/>
              <w:right w:type="dxa" w:w="120"/>
            </w:tcMar>
            <w:vAlign w:val="center"/>
          </w:tcPr>
          <w:p>
            <w:r>
              <w:rPr>
                <w:b w:val="false"/>
                <w:bCs w:val="false"/>
                <w:color w:val="2B2B2B"/>
                <w:sz w:val="19"/>
                <w:szCs w:val="19"/>
              </w:rPr>
              <w:t xml:space="preserve">26</w:t>
            </w:r>
          </w:p>
        </w:tc>
        <w:tc>
          <w:tcPr>
            <w:tcW w:type="dxa" w:w="6800"/>
            <w:tcMar>
              <w:top w:type="dxa" w:w="80"/>
              <w:left w:type="dxa" w:w="120"/>
              <w:bottom w:type="dxa" w:w="80"/>
              <w:right w:type="dxa" w:w="120"/>
            </w:tcMar>
            <w:vAlign w:val="center"/>
          </w:tcPr>
          <w:p>
            <w:r>
              <w:rPr>
                <w:b w:val="false"/>
                <w:bCs w:val="false"/>
                <w:color w:val="2B2B2B"/>
                <w:sz w:val="19"/>
                <w:szCs w:val="19"/>
              </w:rPr>
              <w:t xml:space="preserve">Modifier-interaction staging (26 cols).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silver_modifier_recommendations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20</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Modifier-recommendation staging (20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silver_transaction_combo_items</w:t>
            </w:r>
          </w:p>
        </w:tc>
        <w:tc>
          <w:tcPr>
            <w:tcW w:type="dxa" w:w="700"/>
            <w:tcMar>
              <w:top w:type="dxa" w:w="80"/>
              <w:left w:type="dxa" w:w="120"/>
              <w:bottom w:type="dxa" w:w="80"/>
              <w:right w:type="dxa" w:w="120"/>
            </w:tcMar>
            <w:vAlign w:val="center"/>
          </w:tcPr>
          <w:p>
            <w:r>
              <w:rPr>
                <w:b w:val="false"/>
                <w:bCs w:val="false"/>
                <w:color w:val="2B2B2B"/>
                <w:sz w:val="19"/>
                <w:szCs w:val="19"/>
              </w:rPr>
              <w:t xml:space="preserve">54</w:t>
            </w:r>
          </w:p>
        </w:tc>
        <w:tc>
          <w:tcPr>
            <w:tcW w:type="dxa" w:w="6800"/>
            <w:tcMar>
              <w:top w:type="dxa" w:w="80"/>
              <w:left w:type="dxa" w:w="120"/>
              <w:bottom w:type="dxa" w:w="80"/>
              <w:right w:type="dxa" w:w="120"/>
            </w:tcMar>
            <w:vAlign w:val="center"/>
          </w:tcPr>
          <w:p>
            <w:r>
              <w:rPr>
                <w:b w:val="false"/>
                <w:bCs w:val="false"/>
                <w:color w:val="2B2B2B"/>
                <w:sz w:val="19"/>
                <w:szCs w:val="19"/>
              </w:rPr>
              <w:t xml:space="preserve">Combo-item staging (widest transaction-entity staging table at 54 cols).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silver_transaction_header</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78</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Order-header staging (78 cols — the widest table in the entire warehouse), source for fact.usp_silver_transaction_header_to_fact (Section 4.3).</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silver_transaction_item</w:t>
            </w:r>
          </w:p>
        </w:tc>
        <w:tc>
          <w:tcPr>
            <w:tcW w:type="dxa" w:w="700"/>
            <w:tcMar>
              <w:top w:type="dxa" w:w="80"/>
              <w:left w:type="dxa" w:w="120"/>
              <w:bottom w:type="dxa" w:w="80"/>
              <w:right w:type="dxa" w:w="120"/>
            </w:tcMar>
            <w:vAlign w:val="center"/>
          </w:tcPr>
          <w:p>
            <w:r>
              <w:rPr>
                <w:b w:val="false"/>
                <w:bCs w:val="false"/>
                <w:color w:val="2B2B2B"/>
                <w:sz w:val="19"/>
                <w:szCs w:val="19"/>
              </w:rPr>
              <w:t xml:space="preserve">40</w:t>
            </w:r>
          </w:p>
        </w:tc>
        <w:tc>
          <w:tcPr>
            <w:tcW w:type="dxa" w:w="6800"/>
            <w:tcMar>
              <w:top w:type="dxa" w:w="80"/>
              <w:left w:type="dxa" w:w="120"/>
              <w:bottom w:type="dxa" w:w="80"/>
              <w:right w:type="dxa" w:w="120"/>
            </w:tcMar>
            <w:vAlign w:val="center"/>
          </w:tcPr>
          <w:p>
            <w:r>
              <w:rPr>
                <w:b w:val="false"/>
                <w:bCs w:val="false"/>
                <w:color w:val="2B2B2B"/>
                <w:sz w:val="19"/>
                <w:szCs w:val="19"/>
              </w:rPr>
              <w:t xml:space="preserve">Order line-item staging (40 cols).</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silver_transaction_payment</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37</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Payment staging (37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silver_transaction_refunds</w:t>
            </w:r>
          </w:p>
        </w:tc>
        <w:tc>
          <w:tcPr>
            <w:tcW w:type="dxa" w:w="700"/>
            <w:tcMar>
              <w:top w:type="dxa" w:w="80"/>
              <w:left w:type="dxa" w:w="120"/>
              <w:bottom w:type="dxa" w:w="80"/>
              <w:right w:type="dxa" w:w="120"/>
            </w:tcMar>
            <w:vAlign w:val="center"/>
          </w:tcPr>
          <w:p>
            <w:r>
              <w:rPr>
                <w:b w:val="false"/>
                <w:bCs w:val="false"/>
                <w:color w:val="2B2B2B"/>
                <w:sz w:val="19"/>
                <w:szCs w:val="19"/>
              </w:rPr>
              <w:t xml:space="preserve">15</w:t>
            </w:r>
          </w:p>
        </w:tc>
        <w:tc>
          <w:tcPr>
            <w:tcW w:type="dxa" w:w="6800"/>
            <w:tcMar>
              <w:top w:type="dxa" w:w="80"/>
              <w:left w:type="dxa" w:w="120"/>
              <w:bottom w:type="dxa" w:w="80"/>
              <w:right w:type="dxa" w:w="120"/>
            </w:tcMar>
            <w:vAlign w:val="center"/>
          </w:tcPr>
          <w:p>
            <w:r>
              <w:rPr>
                <w:b w:val="false"/>
                <w:bCs w:val="false"/>
                <w:color w:val="2B2B2B"/>
                <w:sz w:val="19"/>
                <w:szCs w:val="19"/>
              </w:rPr>
              <w:t xml:space="preserve">Refund staging.</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silver_upsell_recommendations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23</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Upsell-recommendation staging (23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gem_failed_order_job_notifications</w:t>
            </w:r>
          </w:p>
        </w:tc>
        <w:tc>
          <w:tcPr>
            <w:tcW w:type="dxa" w:w="700"/>
            <w:tcMar>
              <w:top w:type="dxa" w:w="80"/>
              <w:left w:type="dxa" w:w="120"/>
              <w:bottom w:type="dxa" w:w="80"/>
              <w:right w:type="dxa" w:w="120"/>
            </w:tcMar>
            <w:vAlign w:val="center"/>
          </w:tcPr>
          <w:p>
            <w:r>
              <w:rPr>
                <w:b w:val="false"/>
                <w:bCs w:val="false"/>
                <w:color w:val="2B2B2B"/>
                <w:sz w:val="19"/>
                <w:szCs w:val="19"/>
              </w:rPr>
              <w:t xml:space="preserve">15</w:t>
            </w:r>
          </w:p>
        </w:tc>
        <w:tc>
          <w:tcPr>
            <w:tcW w:type="dxa" w:w="6800"/>
            <w:tcMar>
              <w:top w:type="dxa" w:w="80"/>
              <w:left w:type="dxa" w:w="120"/>
              <w:bottom w:type="dxa" w:w="80"/>
              <w:right w:type="dxa" w:w="120"/>
            </w:tcMar>
            <w:vAlign w:val="center"/>
          </w:tcPr>
          <w:p>
            <w:r>
              <w:rPr>
                <w:b w:val="false"/>
                <w:bCs w:val="false"/>
                <w:color w:val="2B2B2B"/>
                <w:sz w:val="19"/>
                <w:szCs w:val="19"/>
              </w:rPr>
              <w:t xml:space="preserve">Failed-job notification staging for operational monitoring.</w:t>
            </w:r>
          </w:p>
        </w:tc>
      </w:tr>
    </w:tbl>
    <w:p>
      <w:pPr>
        <w:pStyle w:val="Heading2"/>
        <w:spacing w:after="160" w:before="360"/>
      </w:pPr>
      <w:r>
        <w:rPr>
          <w:b/>
          <w:bCs/>
          <w:color w:val="1F2A44"/>
          <w:sz w:val="24"/>
          <w:szCs w:val="24"/>
        </w:rPr>
        <w:t xml:space="preserve">Legacy / working / lookup tables</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400"/>
        <w:gridCol w:w="700"/>
        <w:gridCol w:w="680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700"/>
            <w:shd w:fill="1F2A44" w:val="clear"/>
            <w:tcMar>
              <w:top w:type="dxa" w:w="100"/>
              <w:left w:type="dxa" w:w="120"/>
              <w:bottom w:type="dxa" w:w="100"/>
              <w:right w:type="dxa" w:w="120"/>
            </w:tcMar>
            <w:vAlign w:val="center"/>
          </w:tcPr>
          <w:p>
            <w:r>
              <w:rPr>
                <w:b/>
                <w:bCs/>
                <w:color w:val="FFFFFF"/>
                <w:sz w:val="19"/>
                <w:szCs w:val="19"/>
              </w:rPr>
              <w:t xml:space="preserve">#Cols</w:t>
            </w:r>
          </w:p>
        </w:tc>
        <w:tc>
          <w:tcPr>
            <w:tcW w:type="dxa" w:w="68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lookup_silver_transaction_header</w:t>
            </w:r>
          </w:p>
        </w:tc>
        <w:tc>
          <w:tcPr>
            <w:tcW w:type="dxa" w:w="700"/>
            <w:tcMar>
              <w:top w:type="dxa" w:w="80"/>
              <w:left w:type="dxa" w:w="120"/>
              <w:bottom w:type="dxa" w:w="80"/>
              <w:right w:type="dxa" w:w="120"/>
            </w:tcMar>
            <w:vAlign w:val="center"/>
          </w:tcPr>
          <w:p>
            <w:r>
              <w:rPr>
                <w:b w:val="false"/>
                <w:bCs w:val="false"/>
                <w:color w:val="2B2B2B"/>
                <w:sz w:val="19"/>
                <w:szCs w:val="19"/>
              </w:rPr>
              <w:t xml:space="preserve">32</w:t>
            </w:r>
          </w:p>
        </w:tc>
        <w:tc>
          <w:tcPr>
            <w:tcW w:type="dxa" w:w="6800"/>
            <w:tcMar>
              <w:top w:type="dxa" w:w="80"/>
              <w:left w:type="dxa" w:w="120"/>
              <w:bottom w:type="dxa" w:w="80"/>
              <w:right w:type="dxa" w:w="120"/>
            </w:tcMar>
            <w:vAlign w:val="center"/>
          </w:tcPr>
          <w:p>
            <w:r>
              <w:rPr>
                <w:b w:val="false"/>
                <w:bCs w:val="false"/>
                <w:color w:val="2B2B2B"/>
                <w:sz w:val="19"/>
                <w:szCs w:val="19"/>
              </w:rPr>
              <w:t xml:space="preserve">Lookup/reference copy of transaction-header staging shape (32 cols) — likely used for existence-check joins rather than direct loading.</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temp_silver_transaction_header</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31</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Working/scratch copy of the transaction-header staging shape (31 cols).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transactionheader</w:t>
            </w:r>
          </w:p>
        </w:tc>
        <w:tc>
          <w:tcPr>
            <w:tcW w:type="dxa" w:w="700"/>
            <w:tcMar>
              <w:top w:type="dxa" w:w="80"/>
              <w:left w:type="dxa" w:w="120"/>
              <w:bottom w:type="dxa" w:w="80"/>
              <w:right w:type="dxa" w:w="120"/>
            </w:tcMar>
            <w:vAlign w:val="center"/>
          </w:tcPr>
          <w:p>
            <w:r>
              <w:rPr>
                <w:b w:val="false"/>
                <w:bCs w:val="false"/>
                <w:color w:val="2B2B2B"/>
                <w:sz w:val="19"/>
                <w:szCs w:val="19"/>
              </w:rPr>
              <w:t xml:space="preserve">44</w:t>
            </w:r>
          </w:p>
        </w:tc>
        <w:tc>
          <w:tcPr>
            <w:tcW w:type="dxa" w:w="6800"/>
            <w:tcMar>
              <w:top w:type="dxa" w:w="80"/>
              <w:left w:type="dxa" w:w="120"/>
              <w:bottom w:type="dxa" w:w="80"/>
              <w:right w:type="dxa" w:w="120"/>
            </w:tcMar>
            <w:vAlign w:val="center"/>
          </w:tcPr>
          <w:p>
            <w:r>
              <w:rPr>
                <w:b w:val="false"/>
                <w:bCs w:val="false"/>
                <w:color w:val="2B2B2B"/>
                <w:sz w:val="19"/>
                <w:szCs w:val="19"/>
              </w:rPr>
              <w:t xml:space="preserve">Older/alternate transaction-header staging shape (44 cols, snake_case, different column set than silver_transaction_header) — likely predates the current silver_* naming convention; confirm whether it is still written to before relying on it.</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modifier_recommendation_sessions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13</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Session-grain modifier-recommendation staging, feeds fact.modifier_recommendations.</w:t>
            </w:r>
          </w:p>
        </w:tc>
      </w:tr>
      <w:tr>
        <w:tc>
          <w:tcPr>
            <w:tcW w:type="dxa" w:w="2400"/>
            <w:tcMar>
              <w:top w:type="dxa" w:w="80"/>
              <w:left w:type="dxa" w:w="120"/>
              <w:bottom w:type="dxa" w:w="80"/>
              <w:right w:type="dxa" w:w="120"/>
            </w:tcMar>
            <w:vAlign w:val="center"/>
          </w:tcPr>
          <w:p>
            <w:r>
              <w:rPr>
                <w:b w:val="false"/>
                <w:bCs w:val="false"/>
                <w:color w:val="2B2B2B"/>
                <w:sz w:val="19"/>
                <w:szCs w:val="19"/>
              </w:rPr>
              <w:t xml:space="preserve">recommendations</w:t>
            </w:r>
          </w:p>
        </w:tc>
        <w:tc>
          <w:tcPr>
            <w:tcW w:type="dxa" w:w="700"/>
            <w:tcMar>
              <w:top w:type="dxa" w:w="80"/>
              <w:left w:type="dxa" w:w="120"/>
              <w:bottom w:type="dxa" w:w="80"/>
              <w:right w:type="dxa" w:w="120"/>
            </w:tcMar>
            <w:vAlign w:val="center"/>
          </w:tcPr>
          <w:p>
            <w:r>
              <w:rPr>
                <w:b w:val="false"/>
                <w:bCs w:val="false"/>
                <w:color w:val="2B2B2B"/>
                <w:sz w:val="19"/>
                <w:szCs w:val="19"/>
              </w:rPr>
              <w:t xml:space="preserve">8</w:t>
            </w:r>
          </w:p>
        </w:tc>
        <w:tc>
          <w:tcPr>
            <w:tcW w:type="dxa" w:w="6800"/>
            <w:tcMar>
              <w:top w:type="dxa" w:w="80"/>
              <w:left w:type="dxa" w:w="120"/>
              <w:bottom w:type="dxa" w:w="80"/>
              <w:right w:type="dxa" w:w="120"/>
            </w:tcMar>
            <w:vAlign w:val="center"/>
          </w:tcPr>
          <w:p>
            <w:r>
              <w:rPr>
                <w:b w:val="false"/>
                <w:bCs w:val="false"/>
                <w:color w:val="2B2B2B"/>
                <w:sz w:val="19"/>
                <w:szCs w:val="19"/>
              </w:rPr>
              <w:t xml:space="preserve">Item-recommendation staging.</w:t>
            </w:r>
          </w:p>
        </w:tc>
      </w:tr>
      <w:tr>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sent_surveys</w:t>
            </w:r>
          </w:p>
        </w:tc>
        <w:tc>
          <w:tcPr>
            <w:tcW w:type="dxa" w:w="700"/>
            <w:shd w:fill="EFF3F5" w:val="clear"/>
            <w:tcMar>
              <w:top w:type="dxa" w:w="80"/>
              <w:left w:type="dxa" w:w="120"/>
              <w:bottom w:type="dxa" w:w="80"/>
              <w:right w:type="dxa" w:w="120"/>
            </w:tcMar>
            <w:vAlign w:val="center"/>
          </w:tcPr>
          <w:p>
            <w:r>
              <w:rPr>
                <w:b w:val="false"/>
                <w:bCs w:val="false"/>
                <w:color w:val="2B2B2B"/>
                <w:sz w:val="19"/>
                <w:szCs w:val="19"/>
              </w:rPr>
              <w:t xml:space="preserve">12</w:t>
            </w:r>
          </w:p>
        </w:tc>
        <w:tc>
          <w:tcPr>
            <w:tcW w:type="dxa" w:w="6800"/>
            <w:shd w:fill="EFF3F5" w:val="clear"/>
            <w:tcMar>
              <w:top w:type="dxa" w:w="80"/>
              <w:left w:type="dxa" w:w="120"/>
              <w:bottom w:type="dxa" w:w="80"/>
              <w:right w:type="dxa" w:w="120"/>
            </w:tcMar>
            <w:vAlign w:val="center"/>
          </w:tcPr>
          <w:p>
            <w:r>
              <w:rPr>
                <w:b w:val="false"/>
                <w:bCs w:val="false"/>
                <w:color w:val="2B2B2B"/>
                <w:sz w:val="19"/>
                <w:szCs w:val="19"/>
              </w:rPr>
              <w:t xml:space="preserve">Survey-send event staging.</w:t>
            </w:r>
          </w:p>
        </w:tc>
      </w:tr>
    </w:tbl>
    <w:p>
      <w:pPr>
        <w:pStyle w:val="Heading2"/>
        <w:spacing w:after="160" w:before="360"/>
      </w:pPr>
      <w:r>
        <w:rPr>
          <w:b/>
          <w:bCs/>
          <w:color w:val="1F2A44"/>
          <w:sz w:val="24"/>
          <w:szCs w:val="24"/>
        </w:rPr>
        <w:t xml:space="preserve">6.1 The camelCase Convention</w:t>
      </w:r>
    </w:p>
    <w:p>
      <w:pPr>
        <w:spacing w:after="160" w:line="276"/>
      </w:pPr>
      <w:r>
        <w:rPr>
          <w:b w:val="false"/>
          <w:bCs w:val="false"/>
          <w:i w:val="false"/>
          <w:iCs w:val="false"/>
          <w:color w:val="2B2B2B"/>
          <w:sz w:val="21"/>
          <w:szCs w:val="21"/>
        </w:rPr>
        <w:t xml:space="preserve">stg.silver_all_transaction_entities is the one staging table that mirrors the raw Cosmos DB JSON document verbatim — its business columns are camelCase and double-quoted ("orderId", "locationId", "kioskSessionId", "businessDate", etc.) because they are direct 1:1 mirrors of the source JSON field names. This is the table the established convention refers to: ADF Copy Activity sink column names for this table (and the ARM template dataset stgSilverCaseSensitiveOrderEntitiesAnalyticsDb that maps to it) must match the PostgreSQL DDL column names exactly, character-for-character — never lowercased or snake_cased — or the sink mapping silently breaks.</w:t>
      </w:r>
    </w:p>
    <w:p>
      <w:pPr>
        <w:spacing w:after="160" w:line="276"/>
      </w:pPr>
      <w:r>
        <w:rPr>
          <w:b w:val="false"/>
          <w:bCs w:val="false"/>
          <w:i w:val="false"/>
          <w:iCs w:val="false"/>
          <w:color w:val="2B2B2B"/>
          <w:sz w:val="21"/>
          <w:szCs w:val="21"/>
        </w:rPr>
        <w:t xml:space="preserve">Everything downstream of it (silver_transaction_header, silver_transaction_item, silver_transaction_payment, etc.) is flattened, parsed, and renamed to lowercase/snake_case by usp_distribute_silver_transaction_entities before landing — so the camelCase rule applies specifically to the raw landing table, not to the whole stg schema.</w:t>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DISCREPANCY TO VERIFY:  </w:t>
            </w:r>
            <w:r>
              <w:rPr>
                <w:color w:val="8A4B08"/>
                <w:sz w:val="20"/>
                <w:szCs w:val="20"/>
              </w:rPr>
              <w:t xml:space="preserve">The ARM template still references a dataset/table named stg.silver_order_entities (dataset stgSilverCaseSensitiveOrderEntitiesAnalyticsDb, and a DELETE FROM stg.silver_order_entities WHERE "bronze_folderpath" = '@{item().partition_path}' cleanup statement inside BronzeOrdersToSilverAndGAS). That exact table name does not appear in the May 30, 2026 DDL export — only stg.silver_all_transaction_entities does, with a matching bronze_folderpath column. Most likely silver_order_entities was renamed to silver_all_transaction_entities and the ARM template simply has not been fully re-synced to match. Confirm which name is authoritative in production before touching either the ADF dataset or the table — this is exactly the kind of drift that is invisible until a pipeline run fails on a missing table.</w:t>
            </w:r>
          </w:p>
        </w:tc>
      </w:tr>
    </w:tbl>
    <w:p>
      <w:pPr>
        <w:pStyle w:val="Heading1"/>
        <w:pBdr>
          <w:bottom w:val="single" w:color="0F6E6B" w:sz="8" w:space="4"/>
        </w:pBdr>
        <w:spacing w:after="200" w:before="480"/>
      </w:pPr>
      <w:r>
        <w:rPr>
          <w:b/>
          <w:bCs/>
          <w:color w:val="1F2A44"/>
          <w:sz w:val="30"/>
          <w:szCs w:val="30"/>
        </w:rPr>
        <w:t xml:space="preserve">7. Schema: etl — Pipeline Orchestration Metadata</w:t>
      </w:r>
    </w:p>
    <w:p>
      <w:pPr>
        <w:spacing w:after="160" w:line="276"/>
      </w:pPr>
      <w:r>
        <w:rPr>
          <w:b w:val="false"/>
          <w:bCs w:val="false"/>
          <w:i w:val="false"/>
          <w:iCs w:val="false"/>
          <w:color w:val="2B2B2B"/>
          <w:sz w:val="21"/>
          <w:szCs w:val="21"/>
        </w:rPr>
        <w:t xml:space="preserve">One table: etl.bronze_partition_registry (17 cols) — the watermark ledger that lets ADF know which hourly Bronze partitions have already been processed, so re-running a pipeline never reprocesses a completed partition and a late-arriving hour is never silently skipped.</w:t>
      </w:r>
    </w:p>
    <w:p>
      <w:pPr>
        <w:pStyle w:val="Heading2"/>
        <w:spacing w:after="160" w:before="360"/>
      </w:pPr>
      <w:r>
        <w:rPr>
          <w:b/>
          <w:bCs/>
          <w:color w:val="1F2A44"/>
          <w:sz w:val="24"/>
          <w:szCs w:val="24"/>
        </w:rPr>
        <w:t xml:space="preserve">7.1 etl.bronze_partition_registry</w:t>
      </w:r>
    </w:p>
    <w:p>
      <w:pPr>
        <w:spacing w:after="160" w:line="276"/>
      </w:pPr>
      <w:r>
        <w:rPr>
          <w:b w:val="false"/>
          <w:bCs w:val="false"/>
          <w:i w:val="false"/>
          <w:iCs w:val="false"/>
          <w:color w:val="2B2B2B"/>
          <w:sz w:val="21"/>
          <w:szCs w:val="21"/>
        </w:rPr>
        <w:t xml:space="preserve">Grain: one row per (entity, dateid) where dateid is an integer in YYYYMMDDHH24 form and entity is 'orders' or 'events'. Rows are pre-generated in bulk from dim.datedim for a future date range (the working queries show INSERT ... WHERE dt.yearval = 2026 AND dt.monthval IN (7,8,9,10,11,12) — i.e. partitions are seeded months ahead of time with status = 'pending') rather than created reactively as files arrive.</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600"/>
        <w:gridCol w:w="690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69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600"/>
            <w:tcMar>
              <w:top w:type="dxa" w:w="80"/>
              <w:left w:type="dxa" w:w="120"/>
              <w:bottom w:type="dxa" w:w="80"/>
              <w:right w:type="dxa" w:w="120"/>
            </w:tcMar>
            <w:vAlign w:val="center"/>
          </w:tcPr>
          <w:p>
            <w:r>
              <w:rPr>
                <w:b w:val="false"/>
                <w:bCs w:val="false"/>
                <w:color w:val="2B2B2B"/>
                <w:sz w:val="19"/>
                <w:szCs w:val="19"/>
              </w:rPr>
              <w:t xml:space="preserve">dateid</w:t>
            </w:r>
          </w:p>
        </w:tc>
        <w:tc>
          <w:tcPr>
            <w:tcW w:type="dxa" w:w="6900"/>
            <w:tcMar>
              <w:top w:type="dxa" w:w="80"/>
              <w:left w:type="dxa" w:w="120"/>
              <w:bottom w:type="dxa" w:w="80"/>
              <w:right w:type="dxa" w:w="120"/>
            </w:tcMar>
            <w:vAlign w:val="center"/>
          </w:tcPr>
          <w:p>
            <w:r>
              <w:rPr>
                <w:b w:val="false"/>
                <w:bCs w:val="false"/>
                <w:color w:val="2B2B2B"/>
                <w:sz w:val="19"/>
                <w:szCs w:val="19"/>
              </w:rPr>
              <w:t xml:space="preserve">YYYYMMDDHH24 partition key — the primary lookup value pipelines filter on.</w:t>
            </w:r>
          </w:p>
        </w:tc>
      </w:tr>
      <w:tr>
        <w:tc>
          <w:tcPr>
            <w:tcW w:type="dxa" w:w="2600"/>
            <w:shd w:fill="EFF3F5" w:val="clear"/>
            <w:tcMar>
              <w:top w:type="dxa" w:w="80"/>
              <w:left w:type="dxa" w:w="120"/>
              <w:bottom w:type="dxa" w:w="80"/>
              <w:right w:type="dxa" w:w="120"/>
            </w:tcMar>
            <w:vAlign w:val="center"/>
          </w:tcPr>
          <w:p>
            <w:r>
              <w:rPr>
                <w:b w:val="false"/>
                <w:bCs w:val="false"/>
                <w:color w:val="2B2B2B"/>
                <w:sz w:val="19"/>
                <w:szCs w:val="19"/>
              </w:rPr>
              <w:t xml:space="preserve">layer, entity</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Always 'bronze' / 'orders' or 'events' today, but the columns leave room for future layers/entities.</w:t>
            </w:r>
          </w:p>
        </w:tc>
      </w:tr>
      <w:tr>
        <w:tc>
          <w:tcPr>
            <w:tcW w:type="dxa" w:w="2600"/>
            <w:tcMar>
              <w:top w:type="dxa" w:w="80"/>
              <w:left w:type="dxa" w:w="120"/>
              <w:bottom w:type="dxa" w:w="80"/>
              <w:right w:type="dxa" w:w="120"/>
            </w:tcMar>
            <w:vAlign w:val="center"/>
          </w:tcPr>
          <w:p>
            <w:r>
              <w:rPr>
                <w:b w:val="false"/>
                <w:bCs w:val="false"/>
                <w:color w:val="2B2B2B"/>
                <w:sz w:val="19"/>
                <w:szCs w:val="19"/>
              </w:rPr>
              <w:t xml:space="preserve">partition_path</w:t>
            </w:r>
          </w:p>
        </w:tc>
        <w:tc>
          <w:tcPr>
            <w:tcW w:type="dxa" w:w="6900"/>
            <w:tcMar>
              <w:top w:type="dxa" w:w="80"/>
              <w:left w:type="dxa" w:w="120"/>
              <w:bottom w:type="dxa" w:w="80"/>
              <w:right w:type="dxa" w:w="120"/>
            </w:tcMar>
            <w:vAlign w:val="center"/>
          </w:tcPr>
          <w:p>
            <w:r>
              <w:rPr>
                <w:b w:val="false"/>
                <w:bCs w:val="false"/>
                <w:color w:val="2B2B2B"/>
                <w:sz w:val="19"/>
                <w:szCs w:val="19"/>
              </w:rPr>
              <w:t xml:space="preserve">Full ADLS path, e.g. orders/raw/2026/07/15/23 — built by concatenating the dateid's year/month/day/hour substrings.</w:t>
            </w:r>
          </w:p>
        </w:tc>
      </w:tr>
      <w:tr>
        <w:tc>
          <w:tcPr>
            <w:tcW w:type="dxa" w:w="2600"/>
            <w:shd w:fill="EFF3F5" w:val="clear"/>
            <w:tcMar>
              <w:top w:type="dxa" w:w="80"/>
              <w:left w:type="dxa" w:w="120"/>
              <w:bottom w:type="dxa" w:w="80"/>
              <w:right w:type="dxa" w:w="120"/>
            </w:tcMar>
            <w:vAlign w:val="center"/>
          </w:tcPr>
          <w:p>
            <w:r>
              <w:rPr>
                <w:b w:val="false"/>
                <w:bCs w:val="false"/>
                <w:color w:val="2B2B2B"/>
                <w:sz w:val="19"/>
                <w:szCs w:val="19"/>
              </w:rPr>
              <w:t xml:space="preserve">partition_date, _year, _month, _day, _hour</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Denormalized date parts for fast filtering without re-parsing dateid.</w:t>
            </w:r>
          </w:p>
        </w:tc>
      </w:tr>
      <w:tr>
        <w:tc>
          <w:tcPr>
            <w:tcW w:type="dxa" w:w="2600"/>
            <w:tcMar>
              <w:top w:type="dxa" w:w="80"/>
              <w:left w:type="dxa" w:w="120"/>
              <w:bottom w:type="dxa" w:w="80"/>
              <w:right w:type="dxa" w:w="120"/>
            </w:tcMar>
            <w:vAlign w:val="center"/>
          </w:tcPr>
          <w:p>
            <w:r>
              <w:rPr>
                <w:b w:val="false"/>
                <w:bCs w:val="false"/>
                <w:color w:val="2B2B2B"/>
                <w:sz w:val="19"/>
                <w:szCs w:val="19"/>
              </w:rPr>
              <w:t xml:space="preserve">status</w:t>
            </w:r>
          </w:p>
        </w:tc>
        <w:tc>
          <w:tcPr>
            <w:tcW w:type="dxa" w:w="6900"/>
            <w:tcMar>
              <w:top w:type="dxa" w:w="80"/>
              <w:left w:type="dxa" w:w="120"/>
              <w:bottom w:type="dxa" w:w="80"/>
              <w:right w:type="dxa" w:w="120"/>
            </w:tcMar>
            <w:vAlign w:val="center"/>
          </w:tcPr>
          <w:p>
            <w:r>
              <w:rPr>
                <w:b w:val="false"/>
                <w:bCs w:val="false"/>
                <w:color w:val="2B2B2B"/>
                <w:sz w:val="19"/>
                <w:szCs w:val="19"/>
              </w:rPr>
              <w:t xml:space="preserve">'pending' → 'completed' or 'not found' — 'not found' means the hour had no source file (not an error, just nothing to load).</w:t>
            </w:r>
          </w:p>
        </w:tc>
      </w:tr>
      <w:tr>
        <w:tc>
          <w:tcPr>
            <w:tcW w:type="dxa" w:w="2600"/>
            <w:shd w:fill="EFF3F5" w:val="clear"/>
            <w:tcMar>
              <w:top w:type="dxa" w:w="80"/>
              <w:left w:type="dxa" w:w="120"/>
              <w:bottom w:type="dxa" w:w="80"/>
              <w:right w:type="dxa" w:w="120"/>
            </w:tcMar>
            <w:vAlign w:val="center"/>
          </w:tcPr>
          <w:p>
            <w:r>
              <w:rPr>
                <w:b w:val="false"/>
                <w:bCs w:val="false"/>
                <w:color w:val="2B2B2B"/>
                <w:sz w:val="19"/>
                <w:szCs w:val="19"/>
              </w:rPr>
              <w:t xml:space="preserve">file_count, started_at, completed_at, adf_pipeline_run_id, error_message</w:t>
            </w:r>
          </w:p>
        </w:tc>
        <w:tc>
          <w:tcPr>
            <w:tcW w:type="dxa" w:w="6900"/>
            <w:shd w:fill="EFF3F5" w:val="clear"/>
            <w:tcMar>
              <w:top w:type="dxa" w:w="80"/>
              <w:left w:type="dxa" w:w="120"/>
              <w:bottom w:type="dxa" w:w="80"/>
              <w:right w:type="dxa" w:w="120"/>
            </w:tcMar>
            <w:vAlign w:val="center"/>
          </w:tcPr>
          <w:p>
            <w:r>
              <w:rPr>
                <w:b w:val="false"/>
                <w:bCs w:val="false"/>
                <w:color w:val="2B2B2B"/>
                <w:sz w:val="19"/>
                <w:szCs w:val="19"/>
              </w:rPr>
              <w:t xml:space="preserve">Populated by the pipeline as it processes the partition — error_message is the first place to check when a partition is stuck at 'pending' past its expected window.</w:t>
            </w:r>
          </w:p>
        </w:tc>
      </w:tr>
    </w:tbl>
    <w:p>
      <w:pPr>
        <w:spacing w:after="60"/>
      </w:pPr>
    </w:p>
    <w:p>
      <w:pPr>
        <w:spacing w:after="160" w:line="276"/>
      </w:pPr>
      <w:r>
        <w:rPr>
          <w:b w:val="false"/>
          <w:bCs w:val="false"/>
          <w:i w:val="false"/>
          <w:iCs w:val="false"/>
          <w:color w:val="2B2B2B"/>
          <w:sz w:val="21"/>
          <w:szCs w:val="21"/>
        </w:rPr>
        <w:t xml:space="preserve">The PendingPartitions lookup used by the ADF ForEach loops (Section 13.5) queries this table for rows where status is not yet completed/not-found and dateid falls in the processable window — this is the mechanism that drives the parallel hour-partition read pattern.</w:t>
      </w:r>
    </w:p>
    <w:p>
      <w:pPr>
        <w:pStyle w:val="Heading2"/>
        <w:spacing w:after="160" w:before="360"/>
      </w:pPr>
      <w:r>
        <w:rPr>
          <w:b/>
          <w:bCs/>
          <w:color w:val="1F2A44"/>
          <w:sz w:val="24"/>
          <w:szCs w:val="24"/>
        </w:rPr>
        <w:t xml:space="preserve">7.2 etl.truncate_silver_staging()</w:t>
      </w:r>
    </w:p>
    <w:p>
      <w:pPr>
        <w:spacing w:after="160" w:line="276"/>
      </w:pPr>
      <w:r>
        <w:rPr>
          <w:b w:val="false"/>
          <w:bCs w:val="false"/>
          <w:i w:val="false"/>
          <w:iCs w:val="false"/>
          <w:color w:val="2B2B2B"/>
          <w:sz w:val="21"/>
          <w:szCs w:val="21"/>
        </w:rPr>
        <w:t xml:space="preserve">Called once per DimensionsFactsMaster run, immediately after the Dimensions step and before BronzeSilverGASMaster loads new data (Section 13). Two different strategies, by table:</w:t>
      </w:r>
    </w:p>
    <w:p>
      <w:pPr>
        <w:spacing w:after="70"/>
        <w:ind w:left="0"/>
      </w:pPr>
      <w:r>
        <w:rPr>
          <w:b/>
          <w:bCs/>
          <w:color w:val="0F6E6B"/>
          <w:sz w:val="21"/>
          <w:szCs w:val="21"/>
        </w:rPr>
        <w:t xml:space="preserve"/>
      </w:r>
      <w:r>
        <w:rPr>
          <w:b w:val="false"/>
          <w:bCs w:val="false"/>
          <w:color w:val="2B2B2B"/>
          <w:sz w:val="21"/>
          <w:szCs w:val="21"/>
        </w:rPr>
        <w:t xml:space="preserve">Full TRUNCATE — silver_transaction_payment, silver_item_modifiers, silver_upsell_recommendations, silver_modifier_recommendations, silver_modifier_interactions, silver_modifier_impressions, fact_devicestate, fact_devicetelemetry, fact_occasionsurveydetail, fact_itemssurvey, silver_cep_incidents, gem_failed_order_job_notifications — safe to clear completely because nothing downstream needs their prior-run contents.</w:t>
      </w:r>
      <w:r>
        <w:t xml:space="preserve"/>
      </w:r>
    </w:p>
    <w:p>
      <w:pPr>
        <w:spacing w:after="70"/>
        <w:ind w:left="0"/>
      </w:pPr>
      <w:r>
        <w:rPr>
          <w:b/>
          <w:bCs/>
          <w:color w:val="0F6E6B"/>
          <w:sz w:val="21"/>
          <w:szCs w:val="21"/>
        </w:rPr>
        <w:t xml:space="preserve"/>
      </w:r>
      <w:r>
        <w:rPr>
          <w:b w:val="false"/>
          <w:bCs w:val="false"/>
          <w:color w:val="2B2B2B"/>
          <w:sz w:val="21"/>
          <w:szCs w:val="21"/>
        </w:rPr>
        <w:t xml:space="preserve">10-minute sliding-window DELETE — silver_kiosk_events, silver_transaction_header, silver_transaction_item, silver_transaction_combo_items: DELETE WHERE syscosmosts &lt; (watermark.ts - 600). The comment in the procedure explains why: up to 8 downstream stored procedures join this table by ordersessionid/token, and a kiosk session can start up to 10 minutes before its order completes (a kiosk auto-cancels a session after 10 minutes of inactivity, which is the effective upper bound). Also strips is_test_order = TRUE rows from the transaction staging tables.</w:t>
      </w:r>
      <w:r>
        <w:t xml:space="preserve"/>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DO NOT REVERT:  </w:t>
            </w:r>
            <w:r>
              <w:rPr>
                <w:color w:val="8A4B08"/>
                <w:sz w:val="20"/>
                <w:szCs w:val="20"/>
              </w:rPr>
              <w:t xml:space="preserve">silver_transaction_header, silver_transaction_item, and silver_transaction_combo_items are TRUNCATEd inside this same procedure body via commented-out lines (--TRUNCATE TABLE stg.silver_transaction_header; etc.) directly above the DELETE statements that replaced them — a clear signal that the window-delete approach was a deliberate fix for a bug where a full truncate was destroying sessions that a same-run join still needed. Do not "clean up" those comments or revert to TRUNCATE for these three tables without understanding why the switch was made.</w:t>
            </w:r>
          </w:p>
        </w:tc>
      </w:tr>
    </w:tbl>
    <w:p>
      <w:r>
        <w:br w:type="page"/>
      </w:r>
    </w:p>
    <w:p>
      <w:pPr>
        <w:pStyle w:val="Heading1"/>
        <w:pBdr>
          <w:bottom w:val="single" w:color="0F6E6B" w:sz="8" w:space="4"/>
        </w:pBdr>
        <w:spacing w:after="200" w:before="480"/>
      </w:pPr>
      <w:r>
        <w:rPr>
          <w:b/>
          <w:bCs/>
          <w:color w:val="1F2A44"/>
          <w:sz w:val="30"/>
          <w:szCs w:val="30"/>
        </w:rPr>
        <w:t xml:space="preserve">8. Sequences — Manual Surrogate Key Standard</w:t>
      </w:r>
    </w:p>
    <w:p>
      <w:pPr>
        <w:spacing w:after="160" w:line="276"/>
      </w:pPr>
      <w:r>
        <w:rPr>
          <w:b w:val="false"/>
          <w:bCs w:val="false"/>
          <w:i w:val="false"/>
          <w:iCs w:val="false"/>
          <w:color w:val="2B2B2B"/>
          <w:sz w:val="21"/>
          <w:szCs w:val="21"/>
        </w:rPr>
        <w:t xml:space="preserve">gas_db does not use IDENTITY columns for surrogate keys. Every surrogate-keyed table uses a manually-created, manually-owned sequence, set up with the same five-step pattern (see gas_db_sequence_synchronization.sql):</w:t>
      </w:r>
    </w:p>
    <w:p>
      <w:pPr>
        <w:spacing w:after="70"/>
        <w:ind w:left="0"/>
      </w:pPr>
      <w:r>
        <w:rPr>
          <w:b/>
          <w:bCs/>
          <w:color w:val="0F6E6B"/>
          <w:sz w:val="21"/>
          <w:szCs w:val="21"/>
        </w:rPr>
        <w:t xml:space="preserve"/>
      </w:r>
      <w:r>
        <w:rPr>
          <w:b w:val="false"/>
          <w:bCs w:val="false"/>
          <w:color w:val="2B2B2B"/>
          <w:sz w:val="21"/>
          <w:szCs w:val="21"/>
        </w:rPr>
        <w:t xml:space="preserve">CREATE SEQUENCE IF NOT EXISTS &lt;schema&gt;.&lt;table&gt;_&lt;col&gt;_seq — explicit START/INCREMENT/CACHE, no MIN/MAXVALUE.</w:t>
      </w:r>
      <w:r>
        <w:t xml:space="preserve"/>
      </w:r>
    </w:p>
    <w:p>
      <w:pPr>
        <w:spacing w:after="70"/>
        <w:ind w:left="0"/>
      </w:pPr>
      <w:r>
        <w:rPr>
          <w:b/>
          <w:bCs/>
          <w:color w:val="0F6E6B"/>
          <w:sz w:val="21"/>
          <w:szCs w:val="21"/>
        </w:rPr>
        <w:t xml:space="preserve"/>
      </w:r>
      <w:r>
        <w:rPr>
          <w:b w:val="false"/>
          <w:bCs w:val="false"/>
          <w:color w:val="2B2B2B"/>
          <w:sz w:val="21"/>
          <w:szCs w:val="21"/>
        </w:rPr>
        <w:t xml:space="preserve">ALTER SEQUENCE ... OWNER TO citus</w:t>
      </w:r>
      <w:r>
        <w:t xml:space="preserve"/>
      </w:r>
    </w:p>
    <w:p>
      <w:pPr>
        <w:spacing w:after="70"/>
        <w:ind w:left="0"/>
      </w:pPr>
      <w:r>
        <w:rPr>
          <w:b/>
          <w:bCs/>
          <w:color w:val="0F6E6B"/>
          <w:sz w:val="21"/>
          <w:szCs w:val="21"/>
        </w:rPr>
        <w:t xml:space="preserve"/>
      </w:r>
      <w:r>
        <w:rPr>
          <w:b w:val="false"/>
          <w:bCs w:val="false"/>
          <w:color w:val="2B2B2B"/>
          <w:sz w:val="21"/>
          <w:szCs w:val="21"/>
        </w:rPr>
        <w:t xml:space="preserve">ALTER SEQUENCE ... OWNED BY &lt;schema&gt;.&lt;table&gt;.&lt;col&gt; — ties the sequence’s lifecycle to the column (dropped automatically if the column is ever dropped).</w:t>
      </w:r>
      <w:r>
        <w:t xml:space="preserve"/>
      </w:r>
    </w:p>
    <w:p>
      <w:pPr>
        <w:spacing w:after="70"/>
        <w:ind w:left="0"/>
      </w:pPr>
      <w:r>
        <w:rPr>
          <w:b/>
          <w:bCs/>
          <w:color w:val="0F6E6B"/>
          <w:sz w:val="21"/>
          <w:szCs w:val="21"/>
        </w:rPr>
        <w:t xml:space="preserve"/>
      </w:r>
      <w:r>
        <w:rPr>
          <w:b w:val="false"/>
          <w:bCs w:val="false"/>
          <w:color w:val="2B2B2B"/>
          <w:sz w:val="21"/>
          <w:szCs w:val="21"/>
        </w:rPr>
        <w:t xml:space="preserve">SELECT setval('&lt;seq&gt;', (SELECT COALESCE(MAX(&lt;col&gt;), 0) FROM &lt;table&gt;)) — synchronizes the sequence to the table’s current max, safe on an empty table.</w:t>
      </w:r>
      <w:r>
        <w:t xml:space="preserve"/>
      </w:r>
    </w:p>
    <w:p>
      <w:pPr>
        <w:spacing w:after="70"/>
        <w:ind w:left="0"/>
      </w:pPr>
      <w:r>
        <w:rPr>
          <w:b/>
          <w:bCs/>
          <w:color w:val="0F6E6B"/>
          <w:sz w:val="21"/>
          <w:szCs w:val="21"/>
        </w:rPr>
        <w:t xml:space="preserve"/>
      </w:r>
      <w:r>
        <w:rPr>
          <w:b w:val="false"/>
          <w:bCs w:val="false"/>
          <w:color w:val="2B2B2B"/>
          <w:sz w:val="21"/>
          <w:szCs w:val="21"/>
        </w:rPr>
        <w:t xml:space="preserve">ALTER TABLE ... ALTER COLUMN &lt;col&gt; SET DEFAULT nextval('&lt;seq&gt;') — attaches it as the column default.</w:t>
      </w:r>
      <w:r>
        <w:t xml:space="preserve"/>
      </w:r>
    </w:p>
    <w:p>
      <w:pPr>
        <w:spacing w:after="60"/>
      </w:pPr>
    </w:p>
    <w:p>
      <w:pPr>
        <w:spacing w:after="160" w:line="276"/>
      </w:pPr>
      <w:r>
        <w:rPr>
          <w:b w:val="false"/>
          <w:bCs w:val="false"/>
          <w:i w:val="false"/>
          <w:iCs w:val="false"/>
          <w:color w:val="2B2B2B"/>
          <w:sz w:val="21"/>
          <w:szCs w:val="21"/>
        </w:rPr>
        <w:t xml:space="preserve">Two tables (dim.view, dim.itemcategory) explicitly run ALTER TABLE ... ALTER COLUMN ... DROP IDENTITY IF EXISTS first — meaning they were originally created with IDENTITY and were deliberately converted to this manual-sequence pattern. If you ever need to add a new surrogate-keyed table, follow this five-step pattern rather than using GENERATED ... AS IDENTITY, to stay consistent with the rest of the warehouse.</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4200"/>
        <w:gridCol w:w="5300"/>
      </w:tblGrid>
      <w:tr>
        <w:trPr>
          <w:tblHeader/>
        </w:trPr>
        <w:tc>
          <w:tcPr>
            <w:tcW w:type="dxa" w:w="4200"/>
            <w:shd w:fill="1F2A44" w:val="clear"/>
            <w:tcMar>
              <w:top w:type="dxa" w:w="100"/>
              <w:left w:type="dxa" w:w="120"/>
              <w:bottom w:type="dxa" w:w="100"/>
              <w:right w:type="dxa" w:w="120"/>
            </w:tcMar>
            <w:vAlign w:val="center"/>
          </w:tcPr>
          <w:p>
            <w:r>
              <w:rPr>
                <w:b/>
                <w:bCs/>
                <w:color w:val="FFFFFF"/>
                <w:sz w:val="19"/>
                <w:szCs w:val="19"/>
              </w:rPr>
              <w:t xml:space="preserve">Sequence</w:t>
            </w:r>
          </w:p>
        </w:tc>
        <w:tc>
          <w:tcPr>
            <w:tcW w:type="dxa" w:w="5300"/>
            <w:shd w:fill="1F2A44" w:val="clear"/>
            <w:tcMar>
              <w:top w:type="dxa" w:w="100"/>
              <w:left w:type="dxa" w:w="120"/>
              <w:bottom w:type="dxa" w:w="100"/>
              <w:right w:type="dxa" w:w="120"/>
            </w:tcMar>
            <w:vAlign w:val="center"/>
          </w:tcPr>
          <w:p>
            <w:r>
              <w:rPr>
                <w:b/>
                <w:bCs/>
                <w:color w:val="FFFFFF"/>
                <w:sz w:val="19"/>
                <w:szCs w:val="19"/>
              </w:rPr>
              <w:t xml:space="preserve">Owning column</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dim.element_elementid_seq</w:t>
            </w:r>
          </w:p>
        </w:tc>
        <w:tc>
          <w:tcPr>
            <w:tcW w:type="dxa" w:w="5300"/>
            <w:tcMar>
              <w:top w:type="dxa" w:w="80"/>
              <w:left w:type="dxa" w:w="120"/>
              <w:bottom w:type="dxa" w:w="80"/>
              <w:right w:type="dxa" w:w="120"/>
            </w:tcMar>
            <w:vAlign w:val="center"/>
          </w:tcPr>
          <w:p>
            <w:r>
              <w:rPr>
                <w:b w:val="false"/>
                <w:bCs w:val="false"/>
                <w:color w:val="2B2B2B"/>
                <w:sz w:val="19"/>
                <w:szCs w:val="19"/>
              </w:rPr>
              <w:t xml:space="preserve">dim.element_elementid_seq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dim.view_id_seq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dim.view_id_seq</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dim.frequentcustomer_customerkey_seq</w:t>
            </w:r>
          </w:p>
        </w:tc>
        <w:tc>
          <w:tcPr>
            <w:tcW w:type="dxa" w:w="5300"/>
            <w:tcMar>
              <w:top w:type="dxa" w:w="80"/>
              <w:left w:type="dxa" w:w="120"/>
              <w:bottom w:type="dxa" w:w="80"/>
              <w:right w:type="dxa" w:w="120"/>
            </w:tcMar>
            <w:vAlign w:val="center"/>
          </w:tcPr>
          <w:p>
            <w:r>
              <w:rPr>
                <w:b w:val="false"/>
                <w:bCs w:val="false"/>
                <w:color w:val="2B2B2B"/>
                <w:sz w:val="19"/>
                <w:szCs w:val="19"/>
              </w:rPr>
              <w:t xml:space="preserve">dim.frequentcustomer_customerkey_seq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dim.itemcategory_id_seq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dim.itemcategory_id_seq</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dim.kiosk_id_seq</w:t>
            </w:r>
          </w:p>
        </w:tc>
        <w:tc>
          <w:tcPr>
            <w:tcW w:type="dxa" w:w="5300"/>
            <w:tcMar>
              <w:top w:type="dxa" w:w="80"/>
              <w:left w:type="dxa" w:w="120"/>
              <w:bottom w:type="dxa" w:w="80"/>
              <w:right w:type="dxa" w:w="120"/>
            </w:tcMar>
            <w:vAlign w:val="center"/>
          </w:tcPr>
          <w:p>
            <w:r>
              <w:rPr>
                <w:b w:val="false"/>
                <w:bCs w:val="false"/>
                <w:color w:val="2B2B2B"/>
                <w:sz w:val="19"/>
                <w:szCs w:val="19"/>
              </w:rPr>
              <w:t xml:space="preserve">dim.kiosk_id_seq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dim.menuitem_id_seq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dim.menuitem_id_seq</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dim.occasionsurvey_surveykey_seq</w:t>
            </w:r>
          </w:p>
        </w:tc>
        <w:tc>
          <w:tcPr>
            <w:tcW w:type="dxa" w:w="5300"/>
            <w:tcMar>
              <w:top w:type="dxa" w:w="80"/>
              <w:left w:type="dxa" w:w="120"/>
              <w:bottom w:type="dxa" w:w="80"/>
              <w:right w:type="dxa" w:w="120"/>
            </w:tcMar>
            <w:vAlign w:val="center"/>
          </w:tcPr>
          <w:p>
            <w:r>
              <w:rPr>
                <w:b w:val="false"/>
                <w:bCs w:val="false"/>
                <w:color w:val="2B2B2B"/>
                <w:sz w:val="19"/>
                <w:szCs w:val="19"/>
              </w:rPr>
              <w:t xml:space="preserve">dim.occasionsurvey_surveykey_seq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dim.ordertype_id_seq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dim.ordertype_id_seq</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fact.devicestate_id_seq</w:t>
            </w:r>
          </w:p>
        </w:tc>
        <w:tc>
          <w:tcPr>
            <w:tcW w:type="dxa" w:w="5300"/>
            <w:tcMar>
              <w:top w:type="dxa" w:w="80"/>
              <w:left w:type="dxa" w:w="120"/>
              <w:bottom w:type="dxa" w:w="80"/>
              <w:right w:type="dxa" w:w="120"/>
            </w:tcMar>
            <w:vAlign w:val="center"/>
          </w:tcPr>
          <w:p>
            <w:r>
              <w:rPr>
                <w:b w:val="false"/>
                <w:bCs w:val="false"/>
                <w:color w:val="2B2B2B"/>
                <w:sz w:val="19"/>
                <w:szCs w:val="19"/>
              </w:rPr>
              <w:t xml:space="preserve">fact.devicestate_id_seq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fact.ordertiming_id_seq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fact.ordertiming_id_seq</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fact.transactionheader_id_seq</w:t>
            </w:r>
          </w:p>
        </w:tc>
        <w:tc>
          <w:tcPr>
            <w:tcW w:type="dxa" w:w="5300"/>
            <w:tcMar>
              <w:top w:type="dxa" w:w="80"/>
              <w:left w:type="dxa" w:w="120"/>
              <w:bottom w:type="dxa" w:w="80"/>
              <w:right w:type="dxa" w:w="120"/>
            </w:tcMar>
            <w:vAlign w:val="center"/>
          </w:tcPr>
          <w:p>
            <w:r>
              <w:rPr>
                <w:b w:val="false"/>
                <w:bCs w:val="false"/>
                <w:color w:val="2B2B2B"/>
                <w:sz w:val="19"/>
                <w:szCs w:val="19"/>
              </w:rPr>
              <w:t xml:space="preserve">fact.transactionheader_id_seq</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fact.userbehaviour_id_seq</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fact.userbehaviour_id_seq</w:t>
            </w:r>
          </w:p>
        </w:tc>
      </w:tr>
    </w:tbl>
    <w:p>
      <w:pPr>
        <w:spacing w:after="160" w:line="276"/>
      </w:pPr>
      <w:r>
        <w:rPr>
          <w:b w:val="false"/>
          <w:bCs w:val="false"/>
          <w:i w:val="false"/>
          <w:iCs w:val="false"/>
          <w:color w:val="2B2B2B"/>
          <w:sz w:val="21"/>
          <w:szCs w:val="21"/>
        </w:rPr>
        <w:t xml:space="preserve">12 sequences total: 8 in dim (element, view, frequentcustomer, itemcategory, kiosk, menuitem, occasionsurvey, ordertype) and 4 in fact (devicestate, ordertiming, transactionheader, userbehaviour). Not every dim/fact table has a surrogate key sequence — several use a natural key (e.g. modifierid, catalogid) as their primary identifier instead; check the table’s DDL before assuming a sequence exists.</w:t>
      </w:r>
    </w:p>
    <w:p>
      <w:pPr>
        <w:pStyle w:val="Heading1"/>
        <w:pBdr>
          <w:bottom w:val="single" w:color="0F6E6B" w:sz="8" w:space="4"/>
        </w:pBdr>
        <w:spacing w:after="200" w:before="480"/>
      </w:pPr>
      <w:r>
        <w:rPr>
          <w:b/>
          <w:bCs/>
          <w:color w:val="1F2A44"/>
          <w:sz w:val="30"/>
          <w:szCs w:val="30"/>
        </w:rPr>
        <w:t xml:space="preserve">9. Indexes</w:t>
      </w:r>
    </w:p>
    <w:p>
      <w:pPr>
        <w:spacing w:after="160" w:line="276"/>
      </w:pPr>
      <w:r>
        <w:rPr>
          <w:b w:val="false"/>
          <w:bCs w:val="false"/>
          <w:i w:val="false"/>
          <w:iCs w:val="false"/>
          <w:color w:val="2B2B2B"/>
          <w:sz w:val="21"/>
          <w:szCs w:val="21"/>
        </w:rPr>
        <w:t xml:space="preserve">gas_indexes.sql defines 84 active index statements plus 18 that are present but commented out (either deliberately retired for zero usage, or staged for future creation and not yet applied). Understanding which is which matters before assuming index coverage.</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200"/>
        <w:gridCol w:w="1800"/>
        <w:gridCol w:w="550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Type</w:t>
            </w:r>
          </w:p>
        </w:tc>
        <w:tc>
          <w:tcPr>
            <w:tcW w:type="dxa" w:w="1800"/>
            <w:shd w:fill="1F2A44" w:val="clear"/>
            <w:tcMar>
              <w:top w:type="dxa" w:w="100"/>
              <w:left w:type="dxa" w:w="120"/>
              <w:bottom w:type="dxa" w:w="100"/>
              <w:right w:type="dxa" w:w="120"/>
            </w:tcMar>
            <w:vAlign w:val="center"/>
          </w:tcPr>
          <w:p>
            <w:r>
              <w:rPr>
                <w:b/>
                <w:bCs/>
                <w:color w:val="FFFFFF"/>
                <w:sz w:val="19"/>
                <w:szCs w:val="19"/>
              </w:rPr>
              <w:t xml:space="preserve">Active count</w:t>
            </w:r>
          </w:p>
        </w:tc>
        <w:tc>
          <w:tcPr>
            <w:tcW w:type="dxa" w:w="5500"/>
            <w:shd w:fill="1F2A44" w:val="clear"/>
            <w:tcMar>
              <w:top w:type="dxa" w:w="100"/>
              <w:left w:type="dxa" w:w="120"/>
              <w:bottom w:type="dxa" w:w="100"/>
              <w:right w:type="dxa" w:w="120"/>
            </w:tcMar>
            <w:vAlign w:val="center"/>
          </w:tcPr>
          <w:p>
            <w:r>
              <w:rPr>
                <w:b/>
                <w:bCs/>
                <w:color w:val="FFFFFF"/>
                <w:sz w:val="19"/>
                <w:szCs w:val="19"/>
              </w:rPr>
              <w:t xml:space="preserve">Notes</w:t>
            </w:r>
          </w:p>
        </w:tc>
      </w:tr>
      <w:tr>
        <w:tc>
          <w:tcPr>
            <w:tcW w:type="dxa" w:w="2200"/>
            <w:tcMar>
              <w:top w:type="dxa" w:w="80"/>
              <w:left w:type="dxa" w:w="120"/>
              <w:bottom w:type="dxa" w:w="80"/>
              <w:right w:type="dxa" w:w="120"/>
            </w:tcMar>
            <w:vAlign w:val="center"/>
          </w:tcPr>
          <w:p>
            <w:r>
              <w:rPr>
                <w:b w:val="false"/>
                <w:bCs w:val="false"/>
                <w:color w:val="2B2B2B"/>
                <w:sz w:val="19"/>
                <w:szCs w:val="19"/>
              </w:rPr>
              <w:t xml:space="preserve">btree</w:t>
            </w:r>
          </w:p>
        </w:tc>
        <w:tc>
          <w:tcPr>
            <w:tcW w:type="dxa" w:w="1800"/>
            <w:tcMar>
              <w:top w:type="dxa" w:w="80"/>
              <w:left w:type="dxa" w:w="120"/>
              <w:bottom w:type="dxa" w:w="80"/>
              <w:right w:type="dxa" w:w="120"/>
            </w:tcMar>
            <w:vAlign w:val="center"/>
          </w:tcPr>
          <w:p>
            <w:r>
              <w:rPr>
                <w:b w:val="false"/>
                <w:bCs w:val="false"/>
                <w:color w:val="2B2B2B"/>
                <w:sz w:val="19"/>
                <w:szCs w:val="19"/>
              </w:rPr>
              <w:t xml:space="preserve">53</w:t>
            </w:r>
          </w:p>
        </w:tc>
        <w:tc>
          <w:tcPr>
            <w:tcW w:type="dxa" w:w="5500"/>
            <w:tcMar>
              <w:top w:type="dxa" w:w="80"/>
              <w:left w:type="dxa" w:w="120"/>
              <w:bottom w:type="dxa" w:w="80"/>
              <w:right w:type="dxa" w:w="120"/>
            </w:tcMar>
            <w:vAlign w:val="center"/>
          </w:tcPr>
          <w:p>
            <w:r>
              <w:rPr>
                <w:b w:val="false"/>
                <w:bCs w:val="false"/>
                <w:color w:val="2B2B2B"/>
                <w:sz w:val="19"/>
                <w:szCs w:val="19"/>
              </w:rPr>
              <w:t xml:space="preserve">Standard lookup/join indexes — the large majority.</w:t>
            </w:r>
          </w:p>
        </w:tc>
      </w:tr>
      <w:tr>
        <w:tc>
          <w:tcPr>
            <w:tcW w:type="dxa" w:w="2200"/>
            <w:shd w:fill="EFF3F5" w:val="clear"/>
            <w:tcMar>
              <w:top w:type="dxa" w:w="80"/>
              <w:left w:type="dxa" w:w="120"/>
              <w:bottom w:type="dxa" w:w="80"/>
              <w:right w:type="dxa" w:w="120"/>
            </w:tcMar>
            <w:vAlign w:val="center"/>
          </w:tcPr>
          <w:p>
            <w:r>
              <w:rPr>
                <w:b w:val="false"/>
                <w:bCs w:val="false"/>
                <w:color w:val="2B2B2B"/>
                <w:sz w:val="19"/>
                <w:szCs w:val="19"/>
              </w:rPr>
              <w:t xml:space="preserve">BRIN</w:t>
            </w:r>
          </w:p>
        </w:tc>
        <w:tc>
          <w:tcPr>
            <w:tcW w:type="dxa" w:w="1800"/>
            <w:shd w:fill="EFF3F5" w:val="clear"/>
            <w:tcMar>
              <w:top w:type="dxa" w:w="80"/>
              <w:left w:type="dxa" w:w="120"/>
              <w:bottom w:type="dxa" w:w="80"/>
              <w:right w:type="dxa" w:w="120"/>
            </w:tcMar>
            <w:vAlign w:val="center"/>
          </w:tcPr>
          <w:p>
            <w:r>
              <w:rPr>
                <w:b w:val="false"/>
                <w:bCs w:val="false"/>
                <w:color w:val="2B2B2B"/>
                <w:sz w:val="19"/>
                <w:szCs w:val="19"/>
              </w:rPr>
              <w:t xml:space="preserve">7</w:t>
            </w:r>
          </w:p>
        </w:tc>
        <w:tc>
          <w:tcPr>
            <w:tcW w:type="dxa" w:w="5500"/>
            <w:shd w:fill="EFF3F5" w:val="clear"/>
            <w:tcMar>
              <w:top w:type="dxa" w:w="80"/>
              <w:left w:type="dxa" w:w="120"/>
              <w:bottom w:type="dxa" w:w="80"/>
              <w:right w:type="dxa" w:w="120"/>
            </w:tcMar>
            <w:vAlign w:val="center"/>
          </w:tcPr>
          <w:p>
            <w:r>
              <w:rPr>
                <w:b w:val="false"/>
                <w:bCs w:val="false"/>
                <w:color w:val="2B2B2B"/>
                <w:sz w:val="19"/>
                <w:szCs w:val="19"/>
              </w:rPr>
              <w:t xml:space="preserve">pages_per_range='128', all on syscosmosts (or createddate) — appropriate for append-mostly, time-correlated columns on very large fact tables.</w:t>
            </w:r>
          </w:p>
        </w:tc>
      </w:tr>
      <w:tr>
        <w:tc>
          <w:tcPr>
            <w:tcW w:type="dxa" w:w="2200"/>
            <w:tcMar>
              <w:top w:type="dxa" w:w="80"/>
              <w:left w:type="dxa" w:w="120"/>
              <w:bottom w:type="dxa" w:w="80"/>
              <w:right w:type="dxa" w:w="120"/>
            </w:tcMar>
            <w:vAlign w:val="center"/>
          </w:tcPr>
          <w:p>
            <w:r>
              <w:rPr>
                <w:b w:val="false"/>
                <w:bCs w:val="false"/>
                <w:color w:val="2B2B2B"/>
                <w:sz w:val="19"/>
                <w:szCs w:val="19"/>
              </w:rPr>
              <w:t xml:space="preserve">GIN</w:t>
            </w:r>
          </w:p>
        </w:tc>
        <w:tc>
          <w:tcPr>
            <w:tcW w:type="dxa" w:w="1800"/>
            <w:tcMar>
              <w:top w:type="dxa" w:w="80"/>
              <w:left w:type="dxa" w:w="120"/>
              <w:bottom w:type="dxa" w:w="80"/>
              <w:right w:type="dxa" w:w="120"/>
            </w:tcMar>
            <w:vAlign w:val="center"/>
          </w:tcPr>
          <w:p>
            <w:r>
              <w:rPr>
                <w:b w:val="false"/>
                <w:bCs w:val="false"/>
                <w:color w:val="2B2B2B"/>
                <w:sz w:val="19"/>
                <w:szCs w:val="19"/>
              </w:rPr>
              <w:t xml:space="preserve">0 (2 commented out)</w:t>
            </w:r>
          </w:p>
        </w:tc>
        <w:tc>
          <w:tcPr>
            <w:tcW w:type="dxa" w:w="5500"/>
            <w:tcMar>
              <w:top w:type="dxa" w:w="80"/>
              <w:left w:type="dxa" w:w="120"/>
              <w:bottom w:type="dxa" w:w="80"/>
              <w:right w:type="dxa" w:w="120"/>
            </w:tcMar>
            <w:vAlign w:val="center"/>
          </w:tcPr>
          <w:p>
            <w:r>
              <w:rPr>
                <w:b w:val="false"/>
                <w:bCs w:val="false"/>
                <w:color w:val="2B2B2B"/>
                <w:sz w:val="19"/>
                <w:szCs w:val="19"/>
              </w:rPr>
              <w:t xml:space="preserve">Both commented-out GIN indexes target dim.menuentities JSON/array columns (mealavailability, tags) — not currently active.</w:t>
            </w:r>
          </w:p>
        </w:tc>
      </w:tr>
      <w:tr>
        <w:tc>
          <w:tcPr>
            <w:tcW w:type="dxa" w:w="2200"/>
            <w:shd w:fill="EFF3F5" w:val="clear"/>
            <w:tcMar>
              <w:top w:type="dxa" w:w="80"/>
              <w:left w:type="dxa" w:w="120"/>
              <w:bottom w:type="dxa" w:w="80"/>
              <w:right w:type="dxa" w:w="120"/>
            </w:tcMar>
            <w:vAlign w:val="center"/>
          </w:tcPr>
          <w:p>
            <w:r>
              <w:rPr>
                <w:b w:val="false"/>
                <w:bCs w:val="false"/>
                <w:color w:val="2B2B2B"/>
                <w:sz w:val="19"/>
                <w:szCs w:val="19"/>
              </w:rPr>
              <w:t xml:space="preserve">UNIQUE</w:t>
            </w:r>
          </w:p>
        </w:tc>
        <w:tc>
          <w:tcPr>
            <w:tcW w:type="dxa" w:w="1800"/>
            <w:shd w:fill="EFF3F5" w:val="clear"/>
            <w:tcMar>
              <w:top w:type="dxa" w:w="80"/>
              <w:left w:type="dxa" w:w="120"/>
              <w:bottom w:type="dxa" w:w="80"/>
              <w:right w:type="dxa" w:w="120"/>
            </w:tcMar>
            <w:vAlign w:val="center"/>
          </w:tcPr>
          <w:p>
            <w:r>
              <w:rPr>
                <w:b w:val="false"/>
                <w:bCs w:val="false"/>
                <w:color w:val="2B2B2B"/>
                <w:sz w:val="19"/>
                <w:szCs w:val="19"/>
              </w:rPr>
              <w:t xml:space="preserve">2</w:t>
            </w:r>
          </w:p>
        </w:tc>
        <w:tc>
          <w:tcPr>
            <w:tcW w:type="dxa" w:w="5500"/>
            <w:shd w:fill="EFF3F5" w:val="clear"/>
            <w:tcMar>
              <w:top w:type="dxa" w:w="80"/>
              <w:left w:type="dxa" w:w="120"/>
              <w:bottom w:type="dxa" w:w="80"/>
              <w:right w:type="dxa" w:w="120"/>
            </w:tcMar>
            <w:vAlign w:val="center"/>
          </w:tcPr>
          <w:p>
            <w:r>
              <w:rPr>
                <w:b w:val="false"/>
                <w:bCs w:val="false"/>
                <w:color w:val="2B2B2B"/>
                <w:sz w:val="19"/>
                <w:szCs w:val="19"/>
              </w:rPr>
              <w:t xml:space="preserve">dim.itemcategory (locationid, categoryid) and dim.ordertype (locationid, kioskid, ordertypeid) — enforced via unique index rather than a table constraint.</w:t>
            </w:r>
          </w:p>
        </w:tc>
      </w:tr>
    </w:tbl>
    <w:p>
      <w:pPr>
        <w:pStyle w:val="Heading2"/>
        <w:spacing w:after="160" w:before="360"/>
      </w:pPr>
      <w:r>
        <w:rPr>
          <w:b/>
          <w:bCs/>
          <w:color w:val="1F2A44"/>
          <w:sz w:val="24"/>
          <w:szCs w:val="24"/>
        </w:rPr>
        <w:t xml:space="preserve">9.1 BRIN Coverage — Known Gap</w:t>
      </w:r>
    </w:p>
    <w:p>
      <w:pPr>
        <w:spacing w:after="160" w:line="276"/>
      </w:pPr>
      <w:r>
        <w:rPr>
          <w:b w:val="false"/>
          <w:bCs w:val="false"/>
          <w:i w:val="false"/>
          <w:iCs w:val="false"/>
          <w:color w:val="2B2B2B"/>
          <w:sz w:val="21"/>
          <w:szCs w:val="21"/>
        </w:rPr>
        <w:t xml:space="preserve">Active BRIN indexes exist on: fact.userbehaviour (createddate and syscosmosts — two separate BRIN indexes), fact.transactionheader (syscosmosts), fact.recommendations (syscosmosts), fact.itemmodifier (syscosmosts), fact.modifier_recommendations (syscosmosts), and stg.silver_kiosk_events (syscosmosts).</w:t>
      </w: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RECOMMENDED FOLLOW-UP:  </w:t>
            </w:r>
            <w:r>
              <w:rPr>
                <w:color w:val="8A4B08"/>
                <w:sz w:val="20"/>
                <w:szCs w:val="20"/>
              </w:rPr>
              <w:t xml:space="preserve">ix_deviceevent_syscosmosts_brin on fact.deviceevent — the largest fact table (262M+ rows) — is present in the file but commented out, meaning it has not been created. Given syscosmosts is exactly the kind of append-correlated column BRIN is built for, and every other comparably-sized fact table already has this index, this is very likely a leftover TODO rather than an intentional omission. Confirm with the team whether it was created directly in production after this file was last updated; if not, it is a strong first fix for the incoming owner.</w:t>
            </w:r>
          </w:p>
        </w:tc>
      </w:tr>
    </w:tbl>
    <w:p>
      <w:pPr>
        <w:pStyle w:val="Heading2"/>
        <w:spacing w:after="160" w:before="360"/>
      </w:pPr>
      <w:r>
        <w:rPr>
          <w:b/>
          <w:bCs/>
          <w:color w:val="1F2A44"/>
          <w:sz w:val="24"/>
          <w:szCs w:val="24"/>
        </w:rPr>
        <w:t xml:space="preserve">9.2 Partial Indexes</w:t>
      </w:r>
    </w:p>
    <w:p>
      <w:pPr>
        <w:spacing w:after="160" w:line="276"/>
      </w:pPr>
      <w:r>
        <w:rPr>
          <w:b w:val="false"/>
          <w:bCs w:val="false"/>
          <w:i w:val="false"/>
          <w:iCs w:val="false"/>
          <w:color w:val="2B2B2B"/>
          <w:sz w:val="21"/>
          <w:szCs w:val="21"/>
        </w:rPr>
        <w:t xml:space="preserve">ix_deviceevent_journey_lookup on fact.deviceevent is a partial btree index — (locationid, dateid, datacategory, eventtoken) WHERE datacategory = 'insight' AND actiontype IN (CategorySelected, SubCategorySelected, RegularItemSelected, ItemRemoved, ModifierGroupSelected, ModifierSelected, ModifierUnselected). This is the index the customer-journey/funnel queries against fact.deviceevent rely on — keep the WHERE predicate in sync if the set of "insight" actiontypes used for journey analysis ever changes, or journey queries will silently stop using the index.</w:t>
      </w:r>
    </w:p>
    <w:p>
      <w:pPr>
        <w:pStyle w:val="Heading1"/>
        <w:pBdr>
          <w:bottom w:val="single" w:color="0F6E6B" w:sz="8" w:space="4"/>
        </w:pBdr>
        <w:spacing w:after="200" w:before="480"/>
      </w:pPr>
      <w:r>
        <w:rPr>
          <w:b/>
          <w:bCs/>
          <w:color w:val="1F2A44"/>
          <w:sz w:val="30"/>
          <w:szCs w:val="30"/>
        </w:rPr>
        <w:t xml:space="preserve">10. Cross-Cutting Stored-Procedure Conventions</w:t>
      </w:r>
    </w:p>
    <w:p>
      <w:pPr>
        <w:spacing w:after="160" w:line="276"/>
      </w:pPr>
      <w:r>
        <w:rPr>
          <w:b w:val="false"/>
          <w:bCs w:val="false"/>
          <w:i w:val="false"/>
          <w:iCs w:val="false"/>
          <w:color w:val="2B2B2B"/>
          <w:sz w:val="21"/>
          <w:szCs w:val="21"/>
        </w:rPr>
        <w:t xml:space="preserve">These patterns recur across all 64 procedures/functions regardless of schema. Recognizing them is the fastest way to read any procedure in the codebase without re-deriving it from scratch.</w:t>
      </w:r>
    </w:p>
    <w:p>
      <w:pPr>
        <w:pStyle w:val="Heading3"/>
        <w:spacing w:after="120" w:before="260"/>
      </w:pPr>
      <w:r>
        <w:rPr>
          <w:b/>
          <w:bCs/>
          <w:color w:val="0F6E6B"/>
          <w:sz w:val="21"/>
          <w:szCs w:val="21"/>
        </w:rPr>
        <w:t xml:space="preserve">10.1 Definition &amp; ownership boilerplate</w:t>
      </w:r>
    </w:p>
    <w:tbl>
      <w:tblPr>
        <w:tblW w:type="pct" w:w="100%"/>
        <w:tblBorders>
          <w:top w:val="single" w:color="D8DEE3" w:sz="4"/>
          <w:left w:val="single" w:color="D8DEE3" w:sz="4"/>
          <w:bottom w:val="single" w:color="D8DEE3" w:sz="4"/>
          <w:right w:val="single" w:color="D8DEE3" w:sz="4"/>
          <w:insideH w:val="single" w:color="D8DEE3" w:sz="4"/>
          <w:insideV w:val="single" w:color="D8DEE3" w:sz="4"/>
        </w:tblBorders>
      </w:tblPr>
      <w:tblGrid>
        <w:gridCol w:w="100"/>
      </w:tblGrid>
      <w:tr>
        <w:tc>
          <w:tcPr>
            <w:shd w:fill="2B2E33" w:val="clear"/>
            <w:tcMar>
              <w:top w:type="dxa" w:w="140"/>
              <w:left w:type="dxa" w:w="200"/>
              <w:bottom w:type="dxa" w:w="140"/>
              <w:right w:type="dxa" w:w="200"/>
            </w:tcMar>
          </w:tcPr>
          <w:p>
            <w:pPr>
              <w:spacing w:after="20"/>
            </w:pPr>
            <w:r>
              <w:rPr>
                <w:rFonts w:ascii="Consolas" w:cs="Consolas" w:eastAsia="Consolas" w:hAnsi="Consolas"/>
                <w:color w:val="E6E6E6"/>
                <w:sz w:val="18"/>
                <w:szCs w:val="18"/>
              </w:rPr>
              <w:t xml:space="preserve">CREATE OR REPLACE PROCEDURE &lt;schema&gt;.&lt;name&gt;(...)</w:t>
            </w:r>
          </w:p>
          <w:p>
            <w:pPr>
              <w:spacing w:after="20"/>
            </w:pPr>
            <w:r>
              <w:rPr>
                <w:rFonts w:ascii="Consolas" w:cs="Consolas" w:eastAsia="Consolas" w:hAnsi="Consolas"/>
                <w:color w:val="E6E6E6"/>
                <w:sz w:val="18"/>
                <w:szCs w:val="18"/>
              </w:rPr>
              <w:t xml:space="preserve">    LANGUAGE plpgsql   -- or 'sql' for pure set-based procedures</w:t>
            </w:r>
          </w:p>
          <w:p>
            <w:pPr>
              <w:spacing w:after="20"/>
            </w:pPr>
            <w:r>
              <w:rPr>
                <w:rFonts w:ascii="Consolas" w:cs="Consolas" w:eastAsia="Consolas" w:hAnsi="Consolas"/>
                <w:color w:val="E6E6E6"/>
                <w:sz w:val="18"/>
                <w:szCs w:val="18"/>
              </w:rPr>
              <w:t xml:space="preserve">    AS $BODY$</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    $BODY$;</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ALTER PROCEDURE &lt;schema&gt;.&lt;name&gt;(...) OWNER TO citus;</w:t>
            </w:r>
          </w:p>
        </w:tc>
      </w:tr>
    </w:tbl>
    <w:p>
      <w:pPr>
        <w:pStyle w:val="Heading3"/>
        <w:spacing w:after="120" w:before="260"/>
      </w:pPr>
      <w:r>
        <w:rPr>
          <w:b/>
          <w:bCs/>
          <w:color w:val="0F6E6B"/>
          <w:sz w:val="21"/>
          <w:szCs w:val="21"/>
        </w:rPr>
        <w:t xml:space="preserve">10.2 Watermark pattern</w:t>
      </w:r>
    </w:p>
    <w:p>
      <w:pPr>
        <w:spacing w:after="160" w:line="276"/>
      </w:pPr>
      <w:r>
        <w:rPr>
          <w:b w:val="false"/>
          <w:bCs w:val="false"/>
          <w:i w:val="false"/>
          <w:iCs w:val="false"/>
          <w:color w:val="2B2B2B"/>
          <w:sz w:val="21"/>
          <w:szCs w:val="21"/>
        </w:rPr>
        <w:t xml:space="preserve">SELECT COALESCE(ts, &lt;seed&gt;) - &lt;buffer&gt; INTO v_max_syscosmosts FROM fact.watermarktable WHERE watermarktablename = '&lt;table&gt;' AND source = '&lt;source&gt;' — captured once at the top of the procedure, before any CTE runs, so the whole procedure execution uses one consistent cutoff. The buffer (600 seconds / 10 minutes is the most common value) exists to tolerate late-arriving records near an hour boundary. Note Section 4.3’s finding: the watermark is not always used as a hard WHERE filter on the delta CTE anymore — after the cross-hour syscosmosts reliability bug, some loaders capture the watermark but no longer gate on it directly.</w:t>
      </w:r>
    </w:p>
    <w:p>
      <w:pPr>
        <w:pStyle w:val="Heading3"/>
        <w:spacing w:after="120" w:before="260"/>
      </w:pPr>
      <w:r>
        <w:rPr>
          <w:b/>
          <w:bCs/>
          <w:color w:val="0F6E6B"/>
          <w:sz w:val="21"/>
          <w:szCs w:val="21"/>
        </w:rPr>
        <w:t xml:space="preserve">10.3 Dedup: DISTINCT ON over ROW_NUMBER()</w:t>
      </w:r>
    </w:p>
    <w:p>
      <w:pPr>
        <w:spacing w:after="160" w:line="276"/>
      </w:pPr>
      <w:r>
        <w:rPr>
          <w:b w:val="false"/>
          <w:bCs w:val="false"/>
          <w:i w:val="false"/>
          <w:iCs w:val="false"/>
          <w:color w:val="2B2B2B"/>
          <w:sz w:val="21"/>
          <w:szCs w:val="21"/>
        </w:rPr>
        <w:t xml:space="preserve">SELECT DISTINCT ON (&lt;natural_key_cols&gt;) ... ORDER BY &lt;natural_key_cols&gt;, &lt;recency_col&gt; DESC is used everywhere in preference to ROW_NUMBER() OVER (...) WHERE rn = 1 — fewer lines, one less CTE layer, and Postgres can satisfy it with a single index-friendly sort rather than a full window-function pass.</w:t>
      </w:r>
    </w:p>
    <w:p>
      <w:pPr>
        <w:pStyle w:val="Heading3"/>
        <w:spacing w:after="120" w:before="260"/>
      </w:pPr>
      <w:r>
        <w:rPr>
          <w:b/>
          <w:bCs/>
          <w:color w:val="0F6E6B"/>
          <w:sz w:val="21"/>
          <w:szCs w:val="21"/>
        </w:rPr>
        <w:t xml:space="preserve">10.4 Temp table + ANALYZE before merge</w:t>
      </w:r>
    </w:p>
    <w:p>
      <w:pPr>
        <w:spacing w:after="160" w:line="276"/>
      </w:pPr>
      <w:r>
        <w:rPr>
          <w:b w:val="false"/>
          <w:bCs w:val="false"/>
          <w:i w:val="false"/>
          <w:iCs w:val="false"/>
          <w:color w:val="2B2B2B"/>
          <w:sz w:val="21"/>
          <w:szCs w:val="21"/>
        </w:rPr>
        <w:t xml:space="preserve">CREATE TEMP TABLE tmp_&lt;x&gt; ON COMMIT DROP AS SELECT ... followed immediately by ANALYZE tmp_&lt;x&gt;; before the temp table is used to drive a join or upsert. Without the ANALYZE, the planner has no statistics on the brand-new temp table and will often pick a poor join plan (e.g. nested loop over what should be a hash join) — this is a deliberate, load-bearing line, not boilerplate to trim.</w:t>
      </w:r>
    </w:p>
    <w:p>
      <w:pPr>
        <w:pStyle w:val="Heading3"/>
        <w:spacing w:after="120" w:before="260"/>
      </w:pPr>
      <w:r>
        <w:rPr>
          <w:b/>
          <w:bCs/>
          <w:color w:val="0F6E6B"/>
          <w:sz w:val="21"/>
          <w:szCs w:val="21"/>
        </w:rPr>
        <w:t xml:space="preserve">10.5 Non-destructive upsert: ON CONFLICT DO UPDATE + COALESCE + guard</w:t>
      </w:r>
    </w:p>
    <w:p>
      <w:pPr>
        <w:spacing w:after="160" w:line="276"/>
      </w:pPr>
      <w:r>
        <w:rPr>
          <w:b w:val="false"/>
          <w:bCs w:val="false"/>
          <w:i w:val="false"/>
          <w:iCs w:val="false"/>
          <w:color w:val="2B2B2B"/>
          <w:sz w:val="21"/>
          <w:szCs w:val="21"/>
        </w:rPr>
        <w:t xml:space="preserve">INSERT ... ON CONFLICT (&lt;natural_key&gt;) DO UPDATE SET col = COALESCE(target.col, EXCLUDED.col), ... WHERE (&lt;at least one column would actually change&gt;). The COALESCE ensures a later, partial run never overwrites a value a previous run already captured; the WHERE guard on the DO UPDATE avoids bumping updateddate / triggering downstream change-detection when nothing actually changed. See the full walkthrough in Section 4.3.</w:t>
      </w:r>
    </w:p>
    <w:p>
      <w:pPr>
        <w:pStyle w:val="Heading3"/>
        <w:spacing w:after="120" w:before="260"/>
      </w:pPr>
      <w:r>
        <w:rPr>
          <w:b/>
          <w:bCs/>
          <w:color w:val="0F6E6B"/>
          <w:sz w:val="21"/>
          <w:szCs w:val="21"/>
        </w:rPr>
        <w:t xml:space="preserve">10.6 Manual sequence-based surrogate keys</w:t>
      </w:r>
    </w:p>
    <w:p>
      <w:pPr>
        <w:spacing w:after="160" w:line="276"/>
      </w:pPr>
      <w:r>
        <w:rPr>
          <w:b w:val="false"/>
          <w:bCs w:val="false"/>
          <w:i w:val="false"/>
          <w:iCs w:val="false"/>
          <w:color w:val="2B2B2B"/>
          <w:sz w:val="21"/>
          <w:szCs w:val="21"/>
        </w:rPr>
        <w:t xml:space="preserve">nextval('&lt;schema&gt;.&lt;table&gt;_&lt;col&gt;_seq') is called explicitly in the INSERT column list — see Section 8. Never assume a table will auto-generate its id; if a sequence is out of sync (e.g. after a bulk restore), inserts will start colliding with existing ids rather than erroring cleanly, so check dim.&lt;x&gt;_id_seq vs. MAX(id) if you ever see unexpected ON CONFLICT behavior on a table that should have been a clean insert.</w:t>
      </w:r>
    </w:p>
    <w:p>
      <w:pPr>
        <w:pStyle w:val="Heading3"/>
        <w:spacing w:after="120" w:before="260"/>
      </w:pPr>
      <w:r>
        <w:rPr>
          <w:b/>
          <w:bCs/>
          <w:color w:val="0F6E6B"/>
          <w:sz w:val="21"/>
          <w:szCs w:val="21"/>
        </w:rPr>
        <w:t xml:space="preserve">10.7 Session-parameter tuning for large-batch loops</w:t>
      </w:r>
    </w:p>
    <w:p>
      <w:pPr>
        <w:spacing w:after="160" w:line="276"/>
      </w:pPr>
      <w:r>
        <w:rPr>
          <w:b w:val="false"/>
          <w:bCs w:val="false"/>
          <w:i w:val="false"/>
          <w:iCs w:val="false"/>
          <w:color w:val="2B2B2B"/>
          <w:sz w:val="21"/>
          <w:szCs w:val="21"/>
        </w:rPr>
        <w:t xml:space="preserve">Learned during the fact.deviceevent / fact.userbehaviour performance cycle (Section 4.4) and worth reusing on any future large-batch maintenance script:</w:t>
      </w:r>
    </w:p>
    <w:p>
      <w:pPr>
        <w:pStyle w:val="ListParagraph"/>
        <w:numPr>
          <w:ilvl w:val="0"/>
          <w:numId w:val="1"/>
        </w:numPr>
        <w:spacing w:after="90" w:line="264"/>
      </w:pPr>
      <w:r>
        <w:rPr>
          <w:b w:val="false"/>
          <w:bCs w:val="false"/>
          <w:color w:val="2B2B2B"/>
          <w:sz w:val="21"/>
          <w:szCs w:val="21"/>
        </w:rPr>
        <w:t xml:space="preserve">SET synchronous_commit = OFF; — biggest single win for loops doing many small commits; safe for ETL workloads where a replica-lag/crash-window data loss of the last few commits is acceptable (this is not appropriate for anything that must be durably committed before returning success to a caller).</w:t>
      </w:r>
    </w:p>
    <w:p>
      <w:pPr>
        <w:pStyle w:val="ListParagraph"/>
        <w:numPr>
          <w:ilvl w:val="0"/>
          <w:numId w:val="1"/>
        </w:numPr>
        <w:spacing w:after="90" w:line="264"/>
      </w:pPr>
      <w:r>
        <w:rPr>
          <w:b w:val="false"/>
          <w:bCs w:val="false"/>
          <w:color w:val="2B2B2B"/>
          <w:sz w:val="21"/>
          <w:szCs w:val="21"/>
        </w:rPr>
        <w:t xml:space="preserve">SET jit = OFF; — avoids JIT compilation overhead on many short, repeated statement executions inside a loop.</w:t>
      </w:r>
    </w:p>
    <w:p>
      <w:pPr>
        <w:pStyle w:val="ListParagraph"/>
        <w:numPr>
          <w:ilvl w:val="0"/>
          <w:numId w:val="1"/>
        </w:numPr>
        <w:spacing w:after="90" w:line="264"/>
      </w:pPr>
      <w:r>
        <w:rPr>
          <w:b w:val="false"/>
          <w:bCs w:val="false"/>
          <w:color w:val="2B2B2B"/>
          <w:sz w:val="21"/>
          <w:szCs w:val="21"/>
        </w:rPr>
        <w:t xml:space="preserve">SET work_mem = '1GB'; (or lower, e.g. 256MB, depending on workload) — set per session before a heavy dedup/rebuild run, not globally.</w:t>
      </w:r>
    </w:p>
    <w:p>
      <w:r>
        <w:br w:type="page"/>
      </w:r>
    </w:p>
    <w:p>
      <w:pPr>
        <w:pStyle w:val="Heading1"/>
        <w:pBdr>
          <w:bottom w:val="single" w:color="0F6E6B" w:sz="8" w:space="4"/>
        </w:pBdr>
        <w:spacing w:after="200" w:before="480"/>
      </w:pPr>
      <w:r>
        <w:rPr>
          <w:b/>
          <w:bCs/>
          <w:color w:val="1F2A44"/>
          <w:sz w:val="30"/>
          <w:szCs w:val="30"/>
        </w:rPr>
        <w:t xml:space="preserve">11. ADF Data Factory — Orchestration Layer Overview</w:t>
      </w:r>
    </w:p>
    <w:p>
      <w:pPr>
        <w:spacing w:after="160" w:line="276"/>
      </w:pPr>
      <w:r>
        <w:rPr>
          <w:b w:val="false"/>
          <w:bCs w:val="false"/>
          <w:i w:val="false"/>
          <w:iCs w:val="false"/>
          <w:color w:val="2B2B2B"/>
          <w:sz w:val="21"/>
          <w:szCs w:val="21"/>
        </w:rPr>
        <w:t xml:space="preserve">The full ARM template export contains 67 pipelines, 80 mapping data flows, 198 datasets, 15 linked services, and 4 triggers. The table below groups all 67 pipelines by function; the full alphabetical list with resource type is in Appendix D.</w:t>
      </w:r>
    </w:p>
    <w:p>
      <w:pPr>
        <w:spacing w:after="60" w:before="140"/>
      </w:pPr>
      <w:r>
        <w:rPr>
          <w:b/>
          <w:bCs/>
          <w:color w:val="0F6E6B"/>
          <w:sz w:val="20"/>
          <w:szCs w:val="20"/>
        </w:rPr>
        <w:t xml:space="preserve">Master orchestration  </w:t>
      </w:r>
      <w:r>
        <w:rPr>
          <w:i/>
          <w:iCs/>
          <w:color w:val="5B6470"/>
          <w:sz w:val="19"/>
          <w:szCs w:val="19"/>
        </w:rPr>
        <w:t xml:space="preserve">(7)</w:t>
      </w:r>
    </w:p>
    <w:p>
      <w:pPr>
        <w:spacing w:after="140"/>
      </w:pPr>
      <w:r>
        <w:rPr>
          <w:color w:val="2B2B2B"/>
          <w:sz w:val="19"/>
          <w:szCs w:val="19"/>
        </w:rPr>
        <w:t xml:space="preserve">DimensionsFactsMaster  ·  BronzeSilverGASMaster  ·  DimensionMaster  ·  FactsMaster  ·  GEM_GSH_GOU_Master  ·  MasterStoredProcedures  ·  ADFEventLoggingTemplate</w:t>
      </w:r>
    </w:p>
    <w:p>
      <w:pPr>
        <w:spacing w:after="60" w:before="140"/>
      </w:pPr>
      <w:r>
        <w:rPr>
          <w:b/>
          <w:bCs/>
          <w:color w:val="0F6E6B"/>
          <w:sz w:val="20"/>
          <w:szCs w:val="20"/>
        </w:rPr>
        <w:t xml:space="preserve">Bronze ingestion (Cosmos DB → ADLS)  </w:t>
      </w:r>
      <w:r>
        <w:rPr>
          <w:i/>
          <w:iCs/>
          <w:color w:val="5B6470"/>
          <w:sz w:val="19"/>
          <w:szCs w:val="19"/>
        </w:rPr>
        <w:t xml:space="preserve">(8)</w:t>
      </w:r>
    </w:p>
    <w:p>
      <w:pPr>
        <w:spacing w:after="140"/>
      </w:pPr>
      <w:r>
        <w:rPr>
          <w:color w:val="2B2B2B"/>
          <w:sz w:val="19"/>
          <w:szCs w:val="19"/>
        </w:rPr>
        <w:t xml:space="preserve">IngestToBronze  ·  CosmosDbChangeFeed  ·  BronzeEventsToGAS  ·  BronzeEventsToSilverAndGAS  ·  BronzeOrdersToGAS  ·  BronzeOrdersToSilverAndGAS  ·  TestBronzeEventsToSilverAndGAS  ·  TestBronzeOrdersToSilverAndGAS</w:t>
      </w:r>
    </w:p>
    <w:p>
      <w:pPr>
        <w:spacing w:after="60" w:before="140"/>
      </w:pPr>
      <w:r>
        <w:rPr>
          <w:b/>
          <w:bCs/>
          <w:color w:val="0F6E6B"/>
          <w:sz w:val="20"/>
          <w:szCs w:val="20"/>
        </w:rPr>
        <w:t xml:space="preserve">Silver → Gold: orders &amp; transactions  </w:t>
      </w:r>
      <w:r>
        <w:rPr>
          <w:i/>
          <w:iCs/>
          <w:color w:val="5B6470"/>
          <w:sz w:val="19"/>
          <w:szCs w:val="19"/>
        </w:rPr>
        <w:t xml:space="preserve">(10)</w:t>
      </w:r>
    </w:p>
    <w:p>
      <w:pPr>
        <w:spacing w:after="140"/>
      </w:pPr>
      <w:r>
        <w:rPr>
          <w:color w:val="2B2B2B"/>
          <w:sz w:val="19"/>
          <w:szCs w:val="19"/>
        </w:rPr>
        <w:t xml:space="preserve">SilverOrdersToGAS  ·  SilverEventsToGAS  ·  gasTransactionsToAnalyticsDb  ·  gxsTransactionsToAnalyticsDb  ·  TransactionPaymentRefunds  ·  orderHeadersNoItemsToAnalyticsDb  ·  OrderItemsNoHeadersStandAlone  ·  AbortedItemsToPG  ·  AbortedOrdersAndItemsToPG  ·  DimensionUpdateOrdersToAnalyticsDb</w:t>
      </w:r>
    </w:p>
    <w:p>
      <w:pPr>
        <w:spacing w:after="60" w:before="140"/>
      </w:pPr>
      <w:r>
        <w:rPr>
          <w:b/>
          <w:bCs/>
          <w:color w:val="0F6E6B"/>
          <w:sz w:val="20"/>
          <w:szCs w:val="20"/>
        </w:rPr>
        <w:t xml:space="preserve">Device &amp; peripheral telemetry  </w:t>
      </w:r>
      <w:r>
        <w:rPr>
          <w:i/>
          <w:iCs/>
          <w:color w:val="5B6470"/>
          <w:sz w:val="19"/>
          <w:szCs w:val="19"/>
        </w:rPr>
        <w:t xml:space="preserve">(3)</w:t>
      </w:r>
    </w:p>
    <w:p>
      <w:pPr>
        <w:spacing w:after="140"/>
      </w:pPr>
      <w:r>
        <w:rPr>
          <w:color w:val="2B2B2B"/>
          <w:sz w:val="19"/>
          <w:szCs w:val="19"/>
        </w:rPr>
        <w:t xml:space="preserve">DevicesAndPeripherals  ·  gshDeviceHealthToAnalyticsDbFactDeviceState  ·  gshDeviceTelemetryToAnalyticsDb</w:t>
      </w:r>
    </w:p>
    <w:p>
      <w:pPr>
        <w:spacing w:after="60" w:before="140"/>
      </w:pPr>
      <w:r>
        <w:rPr>
          <w:b/>
          <w:bCs/>
          <w:color w:val="0F6E6B"/>
          <w:sz w:val="20"/>
          <w:szCs w:val="20"/>
        </w:rPr>
        <w:t xml:space="preserve">GEM events &amp; user behaviour  </w:t>
      </w:r>
      <w:r>
        <w:rPr>
          <w:i/>
          <w:iCs/>
          <w:color w:val="5B6470"/>
          <w:sz w:val="19"/>
          <w:szCs w:val="19"/>
        </w:rPr>
        <w:t xml:space="preserve">(8)</w:t>
      </w:r>
    </w:p>
    <w:p>
      <w:pPr>
        <w:spacing w:after="140"/>
      </w:pPr>
      <w:r>
        <w:rPr>
          <w:color w:val="2B2B2B"/>
          <w:sz w:val="19"/>
          <w:szCs w:val="19"/>
        </w:rPr>
        <w:t xml:space="preserve">GEMEventsToParquetsADLS  ·  GEMUserBehaviourETL  ·  GEMUserBehaviourEventsToPG  ·  gemEventsToAnalyticsDb  ·  gemUserBehaviourToAnalyticsDb  ·  gemOrderTimingtoAnalyticsDb  ·  gemUserCheckedInToPG  ·  gemCEPIncidents</w:t>
      </w:r>
    </w:p>
    <w:p>
      <w:pPr>
        <w:spacing w:after="60" w:before="140"/>
      </w:pPr>
      <w:r>
        <w:rPr>
          <w:b/>
          <w:bCs/>
          <w:color w:val="0F6E6B"/>
          <w:sz w:val="20"/>
          <w:szCs w:val="20"/>
        </w:rPr>
        <w:t xml:space="preserve">Dimension refresh (Cosmos DB → dim/stg)  </w:t>
      </w:r>
      <w:r>
        <w:rPr>
          <w:i/>
          <w:iCs/>
          <w:color w:val="5B6470"/>
          <w:sz w:val="19"/>
          <w:szCs w:val="19"/>
        </w:rPr>
        <w:t xml:space="preserve">(13)</w:t>
      </w:r>
    </w:p>
    <w:p>
      <w:pPr>
        <w:spacing w:after="140"/>
      </w:pPr>
      <w:r>
        <w:rPr>
          <w:color w:val="2B2B2B"/>
          <w:sz w:val="19"/>
          <w:szCs w:val="19"/>
        </w:rPr>
        <w:t xml:space="preserve">DimensionABTests  ·  DimensionFrequentCustomer  ·  DimensionKiosks  ·  DimensionMasterItemsAndModifiers  ·  DimensionMenuItems  ·  DimensionMenuModifiers  ·  DimensionOrganizationLocationCatalog  ·  DimensionWeatherInfo  ·  ItemCategoriesCosmosToPG  ·  KiosksCosmosToPG  ·  MenusCosmosToPG  ·  OrderTypesCosmosToPG  ·  CopyGOUViewsToGAS</w:t>
      </w:r>
    </w:p>
    <w:p>
      <w:pPr>
        <w:spacing w:after="60" w:before="140"/>
      </w:pPr>
      <w:r>
        <w:rPr>
          <w:b/>
          <w:bCs/>
          <w:color w:val="0F6E6B"/>
          <w:sz w:val="20"/>
          <w:szCs w:val="20"/>
        </w:rPr>
        <w:t xml:space="preserve">Recommendations, upsell &amp; survey  </w:t>
      </w:r>
      <w:r>
        <w:rPr>
          <w:i/>
          <w:iCs/>
          <w:color w:val="5B6470"/>
          <w:sz w:val="19"/>
          <w:szCs w:val="19"/>
        </w:rPr>
        <w:t xml:space="preserve">(3)</w:t>
      </w:r>
    </w:p>
    <w:p>
      <w:pPr>
        <w:spacing w:after="140"/>
      </w:pPr>
      <w:r>
        <w:rPr>
          <w:color w:val="2B2B2B"/>
          <w:sz w:val="19"/>
          <w:szCs w:val="19"/>
        </w:rPr>
        <w:t xml:space="preserve">ModifierUpsellRecommendationsToGAS  ·  UpsellRecommendationsToGAS  ·  OccasionSurveyOrdersFeedback</w:t>
      </w:r>
    </w:p>
    <w:p>
      <w:pPr>
        <w:spacing w:after="60" w:before="140"/>
      </w:pPr>
      <w:r>
        <w:rPr>
          <w:b/>
          <w:bCs/>
          <w:color w:val="0F6E6B"/>
          <w:sz w:val="20"/>
          <w:szCs w:val="20"/>
        </w:rPr>
        <w:t xml:space="preserve">ML training-data extraction  </w:t>
      </w:r>
      <w:r>
        <w:rPr>
          <w:i/>
          <w:iCs/>
          <w:color w:val="5B6470"/>
          <w:sz w:val="19"/>
          <w:szCs w:val="19"/>
        </w:rPr>
        <w:t xml:space="preserve">(10)</w:t>
      </w:r>
    </w:p>
    <w:p>
      <w:pPr>
        <w:spacing w:after="140"/>
      </w:pPr>
      <w:r>
        <w:rPr>
          <w:color w:val="2B2B2B"/>
          <w:sz w:val="19"/>
          <w:szCs w:val="19"/>
        </w:rPr>
        <w:t xml:space="preserve">ChildPipCompressedTrainingDataML  ·  ChildPipTrainingDataML  ·  CompressedTrainingDataForML  ·  FastPartitionTrainingDataForML  ·  SampleDataForMLTraining  ·  SeparateDatasetsForMLTraining  ·  TrainingDataForML  ·  V2ChildPipTrainingDataML  ·  V2TrainingDataForML  ·  RefreshMLTables</w:t>
      </w:r>
    </w:p>
    <w:p>
      <w:pPr>
        <w:spacing w:after="60" w:before="140"/>
      </w:pPr>
      <w:r>
        <w:rPr>
          <w:b/>
          <w:bCs/>
          <w:color w:val="0F6E6B"/>
          <w:sz w:val="20"/>
          <w:szCs w:val="20"/>
        </w:rPr>
        <w:t xml:space="preserve">Install-base dashboard  </w:t>
      </w:r>
      <w:r>
        <w:rPr>
          <w:i/>
          <w:iCs/>
          <w:color w:val="5B6470"/>
          <w:sz w:val="19"/>
          <w:szCs w:val="19"/>
        </w:rPr>
        <w:t xml:space="preserve">(2)</w:t>
      </w:r>
    </w:p>
    <w:p>
      <w:pPr>
        <w:spacing w:after="140"/>
      </w:pPr>
      <w:r>
        <w:rPr>
          <w:color w:val="2B2B2B"/>
          <w:sz w:val="19"/>
          <w:szCs w:val="19"/>
        </w:rPr>
        <w:t xml:space="preserve">GrubbrrInstallBaseDashboard  ·  RefreshInstallBaseDataset</w:t>
      </w:r>
    </w:p>
    <w:p>
      <w:pPr>
        <w:spacing w:after="60" w:before="140"/>
      </w:pPr>
      <w:r>
        <w:rPr>
          <w:b/>
          <w:bCs/>
          <w:color w:val="0F6E6B"/>
          <w:sz w:val="20"/>
          <w:szCs w:val="20"/>
        </w:rPr>
        <w:t xml:space="preserve">Maintenance / utility / test  </w:t>
      </w:r>
      <w:r>
        <w:rPr>
          <w:i/>
          <w:iCs/>
          <w:color w:val="5B6470"/>
          <w:sz w:val="19"/>
          <w:szCs w:val="19"/>
        </w:rPr>
        <w:t xml:space="preserve">(3)</w:t>
      </w:r>
    </w:p>
    <w:p>
      <w:pPr>
        <w:spacing w:after="140"/>
      </w:pPr>
      <w:r>
        <w:rPr>
          <w:color w:val="2B2B2B"/>
          <w:sz w:val="19"/>
          <w:szCs w:val="19"/>
        </w:rPr>
        <w:t xml:space="preserve">UpdateDateTimeFields  ·  UpdateFieldsInTrxnFactTables  ·  TestPipelines</w:t>
      </w:r>
    </w:p>
    <w:p>
      <w:pPr>
        <w:pStyle w:val="Heading2"/>
        <w:spacing w:after="160" w:before="360"/>
      </w:pPr>
      <w:r>
        <w:rPr>
          <w:b/>
          <w:bCs/>
          <w:color w:val="1F2A44"/>
          <w:sz w:val="24"/>
          <w:szCs w:val="24"/>
        </w:rPr>
        <w:t xml:space="preserve">11.1 Linked Services (15)</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4200"/>
        <w:gridCol w:w="5300"/>
      </w:tblGrid>
      <w:tr>
        <w:trPr>
          <w:tblHeader/>
        </w:trPr>
        <w:tc>
          <w:tcPr>
            <w:tcW w:type="dxa" w:w="4200"/>
            <w:shd w:fill="1F2A44" w:val="clear"/>
            <w:tcMar>
              <w:top w:type="dxa" w:w="100"/>
              <w:left w:type="dxa" w:w="120"/>
              <w:bottom w:type="dxa" w:w="100"/>
              <w:right w:type="dxa" w:w="120"/>
            </w:tcMar>
            <w:vAlign w:val="center"/>
          </w:tcPr>
          <w:p>
            <w:r>
              <w:rPr>
                <w:b/>
                <w:bCs/>
                <w:color w:val="FFFFFF"/>
                <w:sz w:val="19"/>
                <w:szCs w:val="19"/>
              </w:rPr>
              <w:t xml:space="preserve">Name</w:t>
            </w:r>
          </w:p>
        </w:tc>
        <w:tc>
          <w:tcPr>
            <w:tcW w:type="dxa" w:w="5300"/>
            <w:shd w:fill="1F2A44" w:val="clear"/>
            <w:tcMar>
              <w:top w:type="dxa" w:w="100"/>
              <w:left w:type="dxa" w:w="120"/>
              <w:bottom w:type="dxa" w:w="100"/>
              <w:right w:type="dxa" w:w="120"/>
            </w:tcMar>
            <w:vAlign w:val="center"/>
          </w:tcPr>
          <w:p>
            <w:r>
              <w:rPr>
                <w:b/>
                <w:bCs/>
                <w:color w:val="FFFFFF"/>
                <w:sz w:val="19"/>
                <w:szCs w:val="19"/>
              </w:rPr>
              <w:t xml:space="preserve">Type</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ADLSgas</w:t>
            </w:r>
          </w:p>
        </w:tc>
        <w:tc>
          <w:tcPr>
            <w:tcW w:type="dxa" w:w="5300"/>
            <w:tcMar>
              <w:top w:type="dxa" w:w="80"/>
              <w:left w:type="dxa" w:w="120"/>
              <w:bottom w:type="dxa" w:w="80"/>
              <w:right w:type="dxa" w:w="120"/>
            </w:tcMar>
            <w:vAlign w:val="center"/>
          </w:tcPr>
          <w:p>
            <w:r>
              <w:rPr>
                <w:b w:val="false"/>
                <w:bCs w:val="false"/>
                <w:color w:val="2B2B2B"/>
                <w:sz w:val="19"/>
                <w:szCs w:val="19"/>
              </w:rPr>
              <w:t xml:space="preserve">AzureBlobFS</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ADLSsus</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AzureBlobFS</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CosmosGXS</w:t>
            </w:r>
          </w:p>
        </w:tc>
        <w:tc>
          <w:tcPr>
            <w:tcW w:type="dxa" w:w="5300"/>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CosmosNGE</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CosmosNGEGrubbrrLoyalty</w:t>
            </w:r>
          </w:p>
        </w:tc>
        <w:tc>
          <w:tcPr>
            <w:tcW w:type="dxa" w:w="5300"/>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CosmosPOS</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EventsCosmosNew</w:t>
            </w:r>
          </w:p>
        </w:tc>
        <w:tc>
          <w:tcPr>
            <w:tcW w:type="dxa" w:w="5300"/>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LoadKiosksFromCosmosDbToAnalyticsDb</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AzureFunction</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OrdersCosmosNew</w:t>
            </w:r>
          </w:p>
        </w:tc>
        <w:tc>
          <w:tcPr>
            <w:tcW w:type="dxa" w:w="5300"/>
            <w:tcMar>
              <w:top w:type="dxa" w:w="80"/>
              <w:left w:type="dxa" w:w="120"/>
              <w:bottom w:type="dxa" w:w="80"/>
              <w:right w:type="dxa" w:w="120"/>
            </w:tcMar>
            <w:vAlign w:val="center"/>
          </w:tcPr>
          <w:p>
            <w:r>
              <w:rPr>
                <w:b w:val="false"/>
                <w:bCs w:val="false"/>
                <w:color w:val="2B2B2B"/>
                <w:sz w:val="19"/>
                <w:szCs w:val="19"/>
              </w:rPr>
              <w:t xml:space="preserve">CosmosDb</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OrdersPGNew</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AzurePostgreSql</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PostgresGMS</w:t>
            </w:r>
          </w:p>
        </w:tc>
        <w:tc>
          <w:tcPr>
            <w:tcW w:type="dxa" w:w="5300"/>
            <w:tcMar>
              <w:top w:type="dxa" w:w="80"/>
              <w:left w:type="dxa" w:w="120"/>
              <w:bottom w:type="dxa" w:w="80"/>
              <w:right w:type="dxa" w:w="120"/>
            </w:tcMar>
            <w:vAlign w:val="center"/>
          </w:tcPr>
          <w:p>
            <w:r>
              <w:rPr>
                <w:b w:val="false"/>
                <w:bCs w:val="false"/>
                <w:color w:val="2B2B2B"/>
                <w:sz w:val="19"/>
                <w:szCs w:val="19"/>
              </w:rPr>
              <w:t xml:space="preserve">AzurePostgreSql</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PostgresGOU</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AzurePostgreSql</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ServicesPGNew</w:t>
            </w:r>
          </w:p>
        </w:tc>
        <w:tc>
          <w:tcPr>
            <w:tcW w:type="dxa" w:w="5300"/>
            <w:tcMar>
              <w:top w:type="dxa" w:w="80"/>
              <w:left w:type="dxa" w:w="120"/>
              <w:bottom w:type="dxa" w:w="80"/>
              <w:right w:type="dxa" w:w="120"/>
            </w:tcMar>
            <w:vAlign w:val="center"/>
          </w:tcPr>
          <w:p>
            <w:r>
              <w:rPr>
                <w:b w:val="false"/>
                <w:bCs w:val="false"/>
                <w:color w:val="2B2B2B"/>
                <w:sz w:val="19"/>
                <w:szCs w:val="19"/>
              </w:rPr>
              <w:t xml:space="preserve">AzurePostgreSql</w:t>
            </w:r>
          </w:p>
        </w:tc>
      </w:tr>
      <w:tr>
        <w:tc>
          <w:tcPr>
            <w:tcW w:type="dxa" w:w="4200"/>
            <w:shd w:fill="EFF3F5" w:val="clear"/>
            <w:tcMar>
              <w:top w:type="dxa" w:w="80"/>
              <w:left w:type="dxa" w:w="120"/>
              <w:bottom w:type="dxa" w:w="80"/>
              <w:right w:type="dxa" w:w="120"/>
            </w:tcMar>
            <w:vAlign w:val="center"/>
          </w:tcPr>
          <w:p>
            <w:r>
              <w:rPr>
                <w:b w:val="false"/>
                <w:bCs w:val="false"/>
                <w:color w:val="2B2B2B"/>
                <w:sz w:val="19"/>
                <w:szCs w:val="19"/>
              </w:rPr>
              <w:t xml:space="preserve">StgADLSgas</w:t>
            </w:r>
          </w:p>
        </w:tc>
        <w:tc>
          <w:tcPr>
            <w:tcW w:type="dxa" w:w="5300"/>
            <w:shd w:fill="EFF3F5" w:val="clear"/>
            <w:tcMar>
              <w:top w:type="dxa" w:w="80"/>
              <w:left w:type="dxa" w:w="120"/>
              <w:bottom w:type="dxa" w:w="80"/>
              <w:right w:type="dxa" w:w="120"/>
            </w:tcMar>
            <w:vAlign w:val="center"/>
          </w:tcPr>
          <w:p>
            <w:r>
              <w:rPr>
                <w:b w:val="false"/>
                <w:bCs w:val="false"/>
                <w:color w:val="2B2B2B"/>
                <w:sz w:val="19"/>
                <w:szCs w:val="19"/>
              </w:rPr>
              <w:t xml:space="preserve">AzureBlobFS</w:t>
            </w:r>
          </w:p>
        </w:tc>
      </w:tr>
      <w:tr>
        <w:tc>
          <w:tcPr>
            <w:tcW w:type="dxa" w:w="4200"/>
            <w:tcMar>
              <w:top w:type="dxa" w:w="80"/>
              <w:left w:type="dxa" w:w="120"/>
              <w:bottom w:type="dxa" w:w="80"/>
              <w:right w:type="dxa" w:w="120"/>
            </w:tcMar>
            <w:vAlign w:val="center"/>
          </w:tcPr>
          <w:p>
            <w:r>
              <w:rPr>
                <w:b w:val="false"/>
                <w:bCs w:val="false"/>
                <w:color w:val="2B2B2B"/>
                <w:sz w:val="19"/>
                <w:szCs w:val="19"/>
              </w:rPr>
              <w:t xml:space="preserve">kyv_grubbrr_dev</w:t>
            </w:r>
          </w:p>
        </w:tc>
        <w:tc>
          <w:tcPr>
            <w:tcW w:type="dxa" w:w="5300"/>
            <w:tcMar>
              <w:top w:type="dxa" w:w="80"/>
              <w:left w:type="dxa" w:w="120"/>
              <w:bottom w:type="dxa" w:w="80"/>
              <w:right w:type="dxa" w:w="120"/>
            </w:tcMar>
            <w:vAlign w:val="center"/>
          </w:tcPr>
          <w:p>
            <w:r>
              <w:rPr>
                <w:b w:val="false"/>
                <w:bCs w:val="false"/>
                <w:color w:val="2B2B2B"/>
                <w:sz w:val="19"/>
                <w:szCs w:val="19"/>
              </w:rPr>
              <w:t xml:space="preserve">AzureKeyVault</w:t>
            </w:r>
          </w:p>
        </w:tc>
      </w:tr>
    </w:tbl>
    <w:p>
      <w:pPr>
        <w:spacing w:after="160" w:line="276"/>
      </w:pPr>
      <w:r>
        <w:rPr>
          <w:b w:val="false"/>
          <w:bCs w:val="false"/>
          <w:i w:val="false"/>
          <w:iCs w:val="false"/>
          <w:color w:val="2B2B2B"/>
          <w:sz w:val="21"/>
          <w:szCs w:val="21"/>
        </w:rPr>
        <w:t xml:space="preserve">Four Cosmos DB sources feed Bronze (CosmosGXS, CosmosNGE, CosmosNGEGrubbrrLoyalty, CosmosPOS, plus EventsCosmosNew/OrdersCosmosNew as newer variants); ADLSgas/ADLSsus/StgADLSgas are the three ADLS Gen2 (AzureBlobFS-typed) storage accounts; OrdersPGNew/PostgresGMS/PostgresGOU/ServicesPGNew are the PostgreSQL targets/sources; kyv_grubbrr_dev is the Key Vault backing linked-service credentials.</w:t>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LINKED-SERVICE GOTCHA:  </w:t>
            </w:r>
            <w:r>
              <w:rPr>
                <w:color w:val="8A4B08"/>
                <w:sz w:val="20"/>
                <w:szCs w:val="20"/>
              </w:rPr>
              <w:t xml:space="preserve">All ADLS-linked services here are typed AzureBlobFS. This matters directly because of the stgsusprodeastus incident: a linked service pointed at a flat-namespace Blob Storage account but typed as ADLS Gen2 (dfs.core.windows.net) throws AdlsGen2OperationFailed / EndpointUnsupportedAccountFeatures. If a new storage account is ever added, confirm hierarchical namespace is actually enabled before typing its linked service as ADLS Gen2 / AzureBlobFS — otherwise use the plain Azure Blob Storage connector instead.</w:t>
            </w:r>
          </w:p>
        </w:tc>
      </w:tr>
    </w:tbl>
    <w:p>
      <w:pPr>
        <w:pStyle w:val="Heading2"/>
        <w:spacing w:after="160" w:before="360"/>
      </w:pPr>
      <w:r>
        <w:rPr>
          <w:b/>
          <w:bCs/>
          <w:color w:val="1F2A44"/>
          <w:sz w:val="24"/>
          <w:szCs w:val="24"/>
        </w:rPr>
        <w:t xml:space="preserve">11.2 Triggers (4)</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200"/>
        <w:gridCol w:w="3800"/>
        <w:gridCol w:w="350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Trigger</w:t>
            </w:r>
          </w:p>
        </w:tc>
        <w:tc>
          <w:tcPr>
            <w:tcW w:type="dxa" w:w="3800"/>
            <w:shd w:fill="1F2A44" w:val="clear"/>
            <w:tcMar>
              <w:top w:type="dxa" w:w="100"/>
              <w:left w:type="dxa" w:w="120"/>
              <w:bottom w:type="dxa" w:w="100"/>
              <w:right w:type="dxa" w:w="120"/>
            </w:tcMar>
            <w:vAlign w:val="center"/>
          </w:tcPr>
          <w:p>
            <w:r>
              <w:rPr>
                <w:b/>
                <w:bCs/>
                <w:color w:val="FFFFFF"/>
                <w:sz w:val="19"/>
                <w:szCs w:val="19"/>
              </w:rPr>
              <w:t xml:space="preserve">Schedule</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Fires pipeline</w:t>
            </w:r>
          </w:p>
        </w:tc>
      </w:tr>
      <w:tr>
        <w:tc>
          <w:tcPr>
            <w:tcW w:type="dxa" w:w="2200"/>
            <w:tcMar>
              <w:top w:type="dxa" w:w="80"/>
              <w:left w:type="dxa" w:w="120"/>
              <w:bottom w:type="dxa" w:w="80"/>
              <w:right w:type="dxa" w:w="120"/>
            </w:tcMar>
            <w:vAlign w:val="center"/>
          </w:tcPr>
          <w:p>
            <w:r>
              <w:rPr>
                <w:b w:val="false"/>
                <w:bCs w:val="false"/>
                <w:color w:val="2B2B2B"/>
                <w:sz w:val="19"/>
                <w:szCs w:val="19"/>
              </w:rPr>
              <w:t xml:space="preserve">GASOrders</w:t>
            </w:r>
          </w:p>
        </w:tc>
        <w:tc>
          <w:tcPr>
            <w:tcW w:type="dxa" w:w="3800"/>
            <w:tcMar>
              <w:top w:type="dxa" w:w="80"/>
              <w:left w:type="dxa" w:w="120"/>
              <w:bottom w:type="dxa" w:w="80"/>
              <w:right w:type="dxa" w:w="120"/>
            </w:tcMar>
            <w:vAlign w:val="center"/>
          </w:tcPr>
          <w:p>
            <w:r>
              <w:rPr>
                <w:b w:val="false"/>
                <w:bCs w:val="false"/>
                <w:color w:val="2B2B2B"/>
                <w:sz w:val="19"/>
                <w:szCs w:val="19"/>
              </w:rPr>
              <w:t xml:space="preserve">Daily @ 5:30 Eastern Standard Time</w:t>
            </w:r>
          </w:p>
        </w:tc>
        <w:tc>
          <w:tcPr>
            <w:tcW w:type="dxa" w:w="3500"/>
            <w:tcMar>
              <w:top w:type="dxa" w:w="80"/>
              <w:left w:type="dxa" w:w="120"/>
              <w:bottom w:type="dxa" w:w="80"/>
              <w:right w:type="dxa" w:w="120"/>
            </w:tcMar>
            <w:vAlign w:val="center"/>
          </w:tcPr>
          <w:p>
            <w:r>
              <w:rPr>
                <w:b w:val="false"/>
                <w:bCs w:val="false"/>
                <w:color w:val="2B2B2B"/>
                <w:sz w:val="19"/>
                <w:szCs w:val="19"/>
              </w:rPr>
              <w:t xml:space="preserve">DimensionsFactsMaster</w:t>
            </w:r>
          </w:p>
        </w:tc>
      </w:tr>
      <w:tr>
        <w:tc>
          <w:tcPr>
            <w:tcW w:type="dxa" w:w="2200"/>
            <w:shd w:fill="EFF3F5" w:val="clear"/>
            <w:tcMar>
              <w:top w:type="dxa" w:w="80"/>
              <w:left w:type="dxa" w:w="120"/>
              <w:bottom w:type="dxa" w:w="80"/>
              <w:right w:type="dxa" w:w="120"/>
            </w:tcMar>
            <w:vAlign w:val="center"/>
          </w:tcPr>
          <w:p>
            <w:r>
              <w:rPr>
                <w:b w:val="false"/>
                <w:bCs w:val="false"/>
                <w:color w:val="2B2B2B"/>
                <w:sz w:val="19"/>
                <w:szCs w:val="19"/>
              </w:rPr>
              <w:t xml:space="preserve">GEMEvents</w:t>
            </w:r>
          </w:p>
        </w:tc>
        <w:tc>
          <w:tcPr>
            <w:tcW w:type="dxa" w:w="3800"/>
            <w:shd w:fill="EFF3F5" w:val="clear"/>
            <w:tcMar>
              <w:top w:type="dxa" w:w="80"/>
              <w:left w:type="dxa" w:w="120"/>
              <w:bottom w:type="dxa" w:w="80"/>
              <w:right w:type="dxa" w:w="120"/>
            </w:tcMar>
            <w:vAlign w:val="center"/>
          </w:tcPr>
          <w:p>
            <w:r>
              <w:rPr>
                <w:b w:val="false"/>
                <w:bCs w:val="false"/>
                <w:color w:val="2B2B2B"/>
                <w:sz w:val="19"/>
                <w:szCs w:val="19"/>
              </w:rPr>
              <w:t xml:space="preserve">Daily @ 5:00 Eastern Standard Time</w:t>
            </w:r>
          </w:p>
        </w:tc>
        <w:tc>
          <w:tcPr>
            <w:tcW w:type="dxa" w:w="3500"/>
            <w:shd w:fill="EFF3F5" w:val="clear"/>
            <w:tcMar>
              <w:top w:type="dxa" w:w="80"/>
              <w:left w:type="dxa" w:w="120"/>
              <w:bottom w:type="dxa" w:w="80"/>
              <w:right w:type="dxa" w:w="120"/>
            </w:tcMar>
            <w:vAlign w:val="center"/>
          </w:tcPr>
          <w:p>
            <w:r>
              <w:rPr>
                <w:b w:val="false"/>
                <w:bCs w:val="false"/>
                <w:color w:val="2B2B2B"/>
                <w:sz w:val="19"/>
                <w:szCs w:val="19"/>
              </w:rPr>
              <w:t xml:space="preserve">GEM_GSH_GOU_Master</w:t>
            </w:r>
          </w:p>
        </w:tc>
      </w:tr>
      <w:tr>
        <w:tc>
          <w:tcPr>
            <w:tcW w:type="dxa" w:w="2200"/>
            <w:tcMar>
              <w:top w:type="dxa" w:w="80"/>
              <w:left w:type="dxa" w:w="120"/>
              <w:bottom w:type="dxa" w:w="80"/>
              <w:right w:type="dxa" w:w="120"/>
            </w:tcMar>
            <w:vAlign w:val="center"/>
          </w:tcPr>
          <w:p>
            <w:r>
              <w:rPr>
                <w:b w:val="false"/>
                <w:bCs w:val="false"/>
                <w:color w:val="2B2B2B"/>
                <w:sz w:val="19"/>
                <w:szCs w:val="19"/>
              </w:rPr>
              <w:t xml:space="preserve">RefreshMLTables</w:t>
            </w:r>
          </w:p>
        </w:tc>
        <w:tc>
          <w:tcPr>
            <w:tcW w:type="dxa" w:w="3800"/>
            <w:tcMar>
              <w:top w:type="dxa" w:w="80"/>
              <w:left w:type="dxa" w:w="120"/>
              <w:bottom w:type="dxa" w:w="80"/>
              <w:right w:type="dxa" w:w="120"/>
            </w:tcMar>
            <w:vAlign w:val="center"/>
          </w:tcPr>
          <w:p>
            <w:r>
              <w:rPr>
                <w:b w:val="false"/>
                <w:bCs w:val="false"/>
                <w:color w:val="2B2B2B"/>
                <w:sz w:val="19"/>
                <w:szCs w:val="19"/>
              </w:rPr>
              <w:t xml:space="preserve">Daily @ 11:00 Eastern Standard Time</w:t>
            </w:r>
          </w:p>
        </w:tc>
        <w:tc>
          <w:tcPr>
            <w:tcW w:type="dxa" w:w="3500"/>
            <w:tcMar>
              <w:top w:type="dxa" w:w="80"/>
              <w:left w:type="dxa" w:w="120"/>
              <w:bottom w:type="dxa" w:w="80"/>
              <w:right w:type="dxa" w:w="120"/>
            </w:tcMar>
            <w:vAlign w:val="center"/>
          </w:tcPr>
          <w:p>
            <w:r>
              <w:rPr>
                <w:b w:val="false"/>
                <w:bCs w:val="false"/>
                <w:color w:val="2B2B2B"/>
                <w:sz w:val="19"/>
                <w:szCs w:val="19"/>
              </w:rPr>
              <w:t xml:space="preserve">RefreshMLTables</w:t>
            </w:r>
          </w:p>
        </w:tc>
      </w:tr>
      <w:tr>
        <w:tc>
          <w:tcPr>
            <w:tcW w:type="dxa" w:w="2200"/>
            <w:shd w:fill="EFF3F5" w:val="clear"/>
            <w:tcMar>
              <w:top w:type="dxa" w:w="80"/>
              <w:left w:type="dxa" w:w="120"/>
              <w:bottom w:type="dxa" w:w="80"/>
              <w:right w:type="dxa" w:w="120"/>
            </w:tcMar>
            <w:vAlign w:val="center"/>
          </w:tcPr>
          <w:p>
            <w:r>
              <w:rPr>
                <w:b w:val="false"/>
                <w:bCs w:val="false"/>
                <w:color w:val="2B2B2B"/>
                <w:sz w:val="19"/>
                <w:szCs w:val="19"/>
              </w:rPr>
              <w:t xml:space="preserve">TwiceDaily</w:t>
            </w:r>
          </w:p>
        </w:tc>
        <w:tc>
          <w:tcPr>
            <w:tcW w:type="dxa" w:w="3800"/>
            <w:shd w:fill="EFF3F5" w:val="clear"/>
            <w:tcMar>
              <w:top w:type="dxa" w:w="80"/>
              <w:left w:type="dxa" w:w="120"/>
              <w:bottom w:type="dxa" w:w="80"/>
              <w:right w:type="dxa" w:w="120"/>
            </w:tcMar>
            <w:vAlign w:val="center"/>
          </w:tcPr>
          <w:p>
            <w:r>
              <w:rPr>
                <w:b w:val="false"/>
                <w:bCs w:val="false"/>
                <w:color w:val="2B2B2B"/>
                <w:sz w:val="19"/>
                <w:szCs w:val="19"/>
              </w:rPr>
              <w:t xml:space="preserve">Daily @ 2,14:30 UTC</w:t>
            </w:r>
          </w:p>
        </w:tc>
        <w:tc>
          <w:tcPr>
            <w:tcW w:type="dxa" w:w="3500"/>
            <w:shd w:fill="EFF3F5" w:val="clear"/>
            <w:tcMar>
              <w:top w:type="dxa" w:w="80"/>
              <w:left w:type="dxa" w:w="120"/>
              <w:bottom w:type="dxa" w:w="80"/>
              <w:right w:type="dxa" w:w="120"/>
            </w:tcMar>
            <w:vAlign w:val="center"/>
          </w:tcPr>
          <w:p>
            <w:r>
              <w:rPr>
                <w:b w:val="false"/>
                <w:bCs w:val="false"/>
                <w:color w:val="2B2B2B"/>
                <w:sz w:val="19"/>
                <w:szCs w:val="19"/>
              </w:rPr>
              <w:t xml:space="preserve">GrubbrrInstallBaseDashboard</w:t>
            </w:r>
          </w:p>
        </w:tc>
      </w:tr>
    </w:tbl>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POSSIBLE REDUNDANCY TO VERIFY:  </w:t>
            </w:r>
            <w:r>
              <w:rPr>
                <w:color w:val="8A4B08"/>
                <w:sz w:val="20"/>
                <w:szCs w:val="20"/>
              </w:rPr>
              <w:t xml:space="preserve">GASOrders triggers DimensionsFactsMaster once per day (5:30am EST) and GEMEvents triggers GEM_GSH_GOU_Master separately once per day (5am EST) — but GEM_GSH_GOU_Master is also called as a child step inside DimensionsFactsMaster itself (Section 12). That means GEM_GSH_GOU_Master can run twice in the same day through two independent triggers. This may be intentional (e.g. GEMEvents runs earlier to unblock something else before the main master pipeline kicks off), or it may be a legacy trigger left over from before GEM_GSH_GOU_Master was folded into the master pipeline. Confirm current intent with the team before disabling either trigger.</w:t>
            </w:r>
          </w:p>
        </w:tc>
      </w:tr>
    </w:tbl>
    <w:p>
      <w:pPr>
        <w:spacing w:after="160" w:line="276"/>
      </w:pPr>
      <w:r>
        <w:rPr>
          <w:b w:val="false"/>
          <w:bCs w:val="false"/>
          <w:i w:val="false"/>
          <w:iCs w:val="false"/>
          <w:color w:val="2B2B2B"/>
          <w:sz w:val="21"/>
          <w:szCs w:val="21"/>
        </w:rPr>
        <w:t xml:space="preserve">Because triggers fire once daily rather than hourly, "real time" in this warehouse means same-day batch, not streaming — the parallel hour-partition catch-up mechanism (Section 13) is what allows one daily run to process up to a full day’s worth of pending hourly partitions in a single pipeline execution.</w:t>
      </w:r>
    </w:p>
    <w:p>
      <w:r>
        <w:br w:type="page"/>
      </w:r>
    </w:p>
    <w:p>
      <w:pPr>
        <w:pStyle w:val="Heading1"/>
        <w:pBdr>
          <w:bottom w:val="single" w:color="0F6E6B" w:sz="8" w:space="4"/>
        </w:pBdr>
        <w:spacing w:after="200" w:before="480"/>
      </w:pPr>
      <w:r>
        <w:rPr>
          <w:b/>
          <w:bCs/>
          <w:color w:val="1F2A44"/>
          <w:sz w:val="30"/>
          <w:szCs w:val="30"/>
        </w:rPr>
        <w:t xml:space="preserve">12. Master Orchestration: DimensionsFactsMaster</w:t>
      </w:r>
    </w:p>
    <w:p>
      <w:pPr>
        <w:spacing w:after="160" w:line="276"/>
      </w:pPr>
      <w:r>
        <w:rPr>
          <w:b w:val="false"/>
          <w:bCs w:val="false"/>
          <w:i w:val="false"/>
          <w:iCs w:val="false"/>
          <w:color w:val="2B2B2B"/>
          <w:sz w:val="21"/>
          <w:szCs w:val="21"/>
        </w:rPr>
        <w:t xml:space="preserve">DimensionsFactsMaster is the single pipeline the GASOrders trigger fires once a day. Every other master/sub-pipeline in the warehouse is reached by following the ExecutePipeline chain out from here. Its 14 activities implement one linear success path plus two independent failure branches, both logging to fact.pipelinerunstatus.</w:t>
      </w:r>
    </w:p>
    <w:p>
      <w:pPr>
        <w:pStyle w:val="Heading2"/>
        <w:spacing w:after="160" w:before="360"/>
      </w:pPr>
      <w:r>
        <w:rPr>
          <w:b/>
          <w:bCs/>
          <w:color w:val="1F2A44"/>
          <w:sz w:val="24"/>
          <w:szCs w:val="24"/>
        </w:rPr>
        <w:t xml:space="preserve">12.1 Success Path</w:t>
      </w:r>
    </w:p>
    <w:p>
      <w:pPr>
        <w:spacing w:after="70"/>
        <w:ind w:left="0"/>
      </w:pPr>
      <w:r>
        <w:rPr>
          <w:b/>
          <w:bCs/>
          <w:color w:val="0F6E6B"/>
          <w:sz w:val="21"/>
          <w:szCs w:val="21"/>
        </w:rPr>
        <w:t xml:space="preserve"/>
      </w:r>
      <w:r>
        <w:rPr>
          <w:b w:val="false"/>
          <w:bCs w:val="false"/>
          <w:color w:val="2B2B2B"/>
          <w:sz w:val="21"/>
          <w:szCs w:val="21"/>
        </w:rPr>
        <w:t xml:space="preserve">v_starttime — SetVariable, @utcNow()</w:t>
      </w:r>
      <w:r>
        <w:t xml:space="preserve"/>
      </w:r>
    </w:p>
    <w:p>
      <w:pPr>
        <w:spacing w:after="70"/>
        <w:ind w:left="0"/>
      </w:pPr>
      <w:r>
        <w:rPr>
          <w:b/>
          <w:bCs/>
          <w:color w:val="0F6E6B"/>
          <w:sz w:val="21"/>
          <w:szCs w:val="21"/>
        </w:rPr>
        <w:t xml:space="preserve"/>
      </w:r>
      <w:r>
        <w:rPr>
          <w:b w:val="false"/>
          <w:bCs w:val="false"/>
          <w:color w:val="2B2B2B"/>
          <w:sz w:val="21"/>
          <w:szCs w:val="21"/>
        </w:rPr>
        <w:t xml:space="preserve">Dimensions — ExecutePipeline → DimensionUpdateOrdersToAnalyticsDb (waitOnCompletion)</w:t>
      </w:r>
      <w:r>
        <w:t xml:space="preserve"/>
      </w:r>
    </w:p>
    <w:p>
      <w:pPr>
        <w:spacing w:after="70"/>
        <w:ind w:left="0"/>
      </w:pPr>
      <w:r>
        <w:rPr>
          <w:b/>
          <w:bCs/>
          <w:color w:val="0F6E6B"/>
          <w:sz w:val="21"/>
          <w:szCs w:val="21"/>
        </w:rPr>
        <w:t xml:space="preserve"/>
      </w:r>
      <w:r>
        <w:rPr>
          <w:b w:val="false"/>
          <w:bCs w:val="false"/>
          <w:color w:val="2B2B2B"/>
          <w:sz w:val="21"/>
          <w:szCs w:val="21"/>
        </w:rPr>
        <w:t xml:space="preserve">TruncateStagingTables — Lookup activity running CALL etl.truncate_silver_staging(); (Section 7.2)</w:t>
      </w:r>
      <w:r>
        <w:t xml:space="preserve"/>
      </w:r>
    </w:p>
    <w:p>
      <w:pPr>
        <w:spacing w:after="70"/>
        <w:ind w:left="0"/>
      </w:pPr>
      <w:r>
        <w:rPr>
          <w:b/>
          <w:bCs/>
          <w:color w:val="0F6E6B"/>
          <w:sz w:val="21"/>
          <w:szCs w:val="21"/>
        </w:rPr>
        <w:t xml:space="preserve"/>
      </w:r>
      <w:r>
        <w:rPr>
          <w:b w:val="false"/>
          <w:bCs w:val="false"/>
          <w:color w:val="2B2B2B"/>
          <w:sz w:val="21"/>
          <w:szCs w:val="21"/>
        </w:rPr>
        <w:t xml:space="preserve">BronzeSilverGASMaster — ExecutePipeline → BronzeSilverGASMaster, which itself runs BronzeEventsToSilverAndGAS and BronzeOrdersToSilverAndGAS</w:t>
      </w:r>
      <w:r>
        <w:t xml:space="preserve"/>
      </w:r>
    </w:p>
    <w:p>
      <w:pPr>
        <w:spacing w:after="70"/>
        <w:ind w:left="0"/>
      </w:pPr>
      <w:r>
        <w:rPr>
          <w:b/>
          <w:bCs/>
          <w:color w:val="0F6E6B"/>
          <w:sz w:val="21"/>
          <w:szCs w:val="21"/>
        </w:rPr>
        <w:t xml:space="preserve"/>
      </w:r>
      <w:r>
        <w:rPr>
          <w:b w:val="false"/>
          <w:bCs w:val="false"/>
          <w:color w:val="2B2B2B"/>
          <w:sz w:val="21"/>
          <w:szCs w:val="21"/>
        </w:rPr>
        <w:t xml:space="preserve">GEM_GSH_GOU_Master  and  Facts (→ FactsMaster)  — both ExecutePipeline activities depend only on BronzeSilverGASMaster succeeding, so they run in parallel with each other</w:t>
      </w:r>
      <w:r>
        <w:rPr>
          <w:i/>
          <w:iCs/>
          <w:color w:val="5B6470"/>
          <w:sz w:val="18"/>
          <w:szCs w:val="18"/>
        </w:rPr>
        <w:t xml:space="preserve">   [parallel branch]</w:t>
      </w:r>
    </w:p>
    <w:p>
      <w:pPr>
        <w:spacing w:after="70"/>
        <w:ind w:left="0"/>
      </w:pPr>
      <w:r>
        <w:rPr>
          <w:b/>
          <w:bCs/>
          <w:color w:val="0F6E6B"/>
          <w:sz w:val="21"/>
          <w:szCs w:val="21"/>
        </w:rPr>
        <w:t xml:space="preserve"/>
      </w:r>
      <w:r>
        <w:rPr>
          <w:b w:val="false"/>
          <w:bCs w:val="false"/>
          <w:color w:val="2B2B2B"/>
          <w:sz w:val="21"/>
          <w:szCs w:val="21"/>
        </w:rPr>
        <w:t xml:space="preserve">v_finishtime — SetVariable, @utcNow(), depends on Facts succeeding</w:t>
      </w:r>
      <w:r>
        <w:t xml:space="preserve"/>
      </w:r>
    </w:p>
    <w:p>
      <w:pPr>
        <w:spacing w:after="70"/>
        <w:ind w:left="0"/>
      </w:pPr>
      <w:r>
        <w:rPr>
          <w:b/>
          <w:bCs/>
          <w:color w:val="0F6E6B"/>
          <w:sz w:val="21"/>
          <w:szCs w:val="21"/>
        </w:rPr>
        <w:t xml:space="preserve"/>
      </w:r>
      <w:r>
        <w:rPr>
          <w:b w:val="false"/>
          <w:bCs w:val="false"/>
          <w:color w:val="2B2B2B"/>
          <w:sz w:val="21"/>
          <w:szCs w:val="21"/>
        </w:rPr>
        <w:t xml:space="preserve">SuccessStatus — Lookup activity: UPDATE fact.pipelinerunstatus SET pipelinerunid=..., pipelinetriggertime=..., pipelinecompletedtime=..., issuccess mark</w:t>
      </w:r>
      <w:r>
        <w:t xml:space="preserve"/>
      </w:r>
    </w:p>
    <w:p>
      <w:pPr>
        <w:pStyle w:val="Heading2"/>
        <w:spacing w:after="160" w:before="360"/>
      </w:pPr>
      <w:r>
        <w:rPr>
          <w:b/>
          <w:bCs/>
          <w:color w:val="1F2A44"/>
          <w:sz w:val="24"/>
          <w:szCs w:val="24"/>
        </w:rPr>
        <w:t xml:space="preserve">12.2 Failure Branches</w:t>
      </w:r>
    </w:p>
    <w:p>
      <w:pPr>
        <w:spacing w:after="160" w:line="276"/>
      </w:pPr>
      <w:r>
        <w:rPr>
          <w:b w:val="false"/>
          <w:bCs w:val="false"/>
          <w:i w:val="false"/>
          <w:iCs w:val="false"/>
          <w:color w:val="2B2B2B"/>
          <w:sz w:val="21"/>
          <w:szCs w:val="21"/>
        </w:rPr>
        <w:t xml:space="preserve">Two independent failure branches exist, each triggered by dependencyConditions: ['Failed'] on a specific step rather than by a try/catch construct (ADF pipelines don’t have one) — this is the standard ADF pattern for error handling:</w:t>
      </w:r>
    </w:p>
    <w:p>
      <w:pPr>
        <w:spacing w:after="70"/>
        <w:ind w:left="0"/>
      </w:pPr>
      <w:r>
        <w:rPr>
          <w:b/>
          <w:bCs/>
          <w:color w:val="0F6E6B"/>
          <w:sz w:val="21"/>
          <w:szCs w:val="21"/>
        </w:rPr>
        <w:t xml:space="preserve"/>
      </w:r>
      <w:r>
        <w:rPr>
          <w:b w:val="false"/>
          <w:bCs w:val="false"/>
          <w:color w:val="2B2B2B"/>
          <w:sz w:val="21"/>
          <w:szCs w:val="21"/>
        </w:rPr>
        <w:t xml:space="preserve">If Dimensions fails: v_errormsg captures @replace(activity('Dimensions').error.Message, '''', '"') → v_finishtime_copy1 → FailStatus (same UPDATE fact.pipelinerunstatus pattern, with the error message and a failure flag).</w:t>
      </w:r>
      <w:r>
        <w:t xml:space="preserve"/>
      </w:r>
    </w:p>
    <w:p>
      <w:pPr>
        <w:spacing w:after="70"/>
        <w:ind w:left="0"/>
      </w:pPr>
      <w:r>
        <w:rPr>
          <w:b/>
          <w:bCs/>
          <w:color w:val="0F6E6B"/>
          <w:sz w:val="21"/>
          <w:szCs w:val="21"/>
        </w:rPr>
        <w:t xml:space="preserve"/>
      </w:r>
      <w:r>
        <w:rPr>
          <w:b w:val="false"/>
          <w:bCs w:val="false"/>
          <w:color w:val="2B2B2B"/>
          <w:sz w:val="21"/>
          <w:szCs w:val="21"/>
        </w:rPr>
        <w:t xml:space="preserve">If Facts fails: the same three-step chain runs against activity('Facts').error.Message → v_errormsg2 → v_finishtime2 → FailStatus2.</w:t>
      </w:r>
      <w:r>
        <w:t xml:space="preserve"/>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MONITORING GAP:  </w:t>
            </w:r>
            <w:r>
              <w:rPr>
                <w:color w:val="8A4B08"/>
                <w:sz w:val="20"/>
                <w:szCs w:val="20"/>
              </w:rPr>
              <w:t xml:space="preserve">There is no failure branch keyed off BronzeSilverGASMaster or GEM_GSH_GOU_Master failing directly — only Dimensions and Facts have explicit error capture. If BronzeSilverGASMaster fails, the pipeline simply stops (Facts and GEM_GSH_GOU_Master never run, because their dependency was never satisfied) without ever writing a failure row to fact.pipelinerunstatus. Anyone monitoring pipeline health off fact.pipelinerunstatus should be aware a stuck/failed BronzeSilverGASMaster step will look like "no completion logged" rather than an explicit failure row — worth adding the missing failure branch if you find this pattern causing missed alerts.</w:t>
            </w:r>
          </w:p>
        </w:tc>
      </w:tr>
    </w:tbl>
    <w:p>
      <w:pPr>
        <w:pStyle w:val="Heading2"/>
        <w:spacing w:after="160" w:before="360"/>
      </w:pPr>
      <w:r>
        <w:rPr>
          <w:b/>
          <w:bCs/>
          <w:color w:val="1F2A44"/>
          <w:sz w:val="24"/>
          <w:szCs w:val="24"/>
        </w:rPr>
        <w:t xml:space="preserve">12.3 Sub-Pipeline Call Tree</w:t>
      </w:r>
    </w:p>
    <w:tbl>
      <w:tblPr>
        <w:tblW w:type="pct" w:w="100%"/>
        <w:tblBorders>
          <w:top w:val="single" w:color="D8DEE3" w:sz="4"/>
          <w:left w:val="single" w:color="D8DEE3" w:sz="4"/>
          <w:bottom w:val="single" w:color="D8DEE3" w:sz="4"/>
          <w:right w:val="single" w:color="D8DEE3" w:sz="4"/>
          <w:insideH w:val="single" w:color="D8DEE3" w:sz="4"/>
          <w:insideV w:val="single" w:color="D8DEE3" w:sz="4"/>
        </w:tblBorders>
      </w:tblPr>
      <w:tblGrid>
        <w:gridCol w:w="100"/>
      </w:tblGrid>
      <w:tr>
        <w:tc>
          <w:tcPr>
            <w:shd w:fill="2B2E33" w:val="clear"/>
            <w:tcMar>
              <w:top w:type="dxa" w:w="140"/>
              <w:left w:type="dxa" w:w="200"/>
              <w:bottom w:type="dxa" w:w="140"/>
              <w:right w:type="dxa" w:w="200"/>
            </w:tcMar>
          </w:tcPr>
          <w:p>
            <w:pPr>
              <w:spacing w:after="20"/>
            </w:pPr>
            <w:r>
              <w:rPr>
                <w:rFonts w:ascii="Consolas" w:cs="Consolas" w:eastAsia="Consolas" w:hAnsi="Consolas"/>
                <w:color w:val="E6E6E6"/>
                <w:sz w:val="18"/>
                <w:szCs w:val="18"/>
              </w:rPr>
              <w:t xml:space="preserve">DimensionsFactsMaster</w:t>
            </w:r>
          </w:p>
          <w:p>
            <w:pPr>
              <w:spacing w:after="20"/>
            </w:pPr>
            <w:r>
              <w:rPr>
                <w:rFonts w:ascii="Consolas" w:cs="Consolas" w:eastAsia="Consolas" w:hAnsi="Consolas"/>
                <w:color w:val="E6E6E6"/>
                <w:sz w:val="18"/>
                <w:szCs w:val="18"/>
              </w:rPr>
              <w:t xml:space="preserve">├─ Dimensions ─────────────► DimensionUpdateOrdersToAnalyticsDb</w:t>
            </w:r>
          </w:p>
          <w:p>
            <w:pPr>
              <w:spacing w:after="20"/>
            </w:pPr>
            <w:r>
              <w:rPr>
                <w:rFonts w:ascii="Consolas" w:cs="Consolas" w:eastAsia="Consolas" w:hAnsi="Consolas"/>
                <w:color w:val="E6E6E6"/>
                <w:sz w:val="18"/>
                <w:szCs w:val="18"/>
              </w:rPr>
              <w:t xml:space="preserve">│                              ├─ DimensionMaster (ExecutePipeline, runs first)</w:t>
            </w:r>
          </w:p>
          <w:p>
            <w:pPr>
              <w:spacing w:after="20"/>
            </w:pPr>
            <w:r>
              <w:rPr>
                <w:rFonts w:ascii="Consolas" w:cs="Consolas" w:eastAsia="Consolas" w:hAnsi="Consolas"/>
                <w:color w:val="E6E6E6"/>
                <w:sz w:val="18"/>
                <w:szCs w:val="18"/>
              </w:rPr>
              <w:t xml:space="preserve">│                              │    ├─ DimensionMenuItems</w:t>
            </w:r>
          </w:p>
          <w:p>
            <w:pPr>
              <w:spacing w:after="20"/>
            </w:pPr>
            <w:r>
              <w:rPr>
                <w:rFonts w:ascii="Consolas" w:cs="Consolas" w:eastAsia="Consolas" w:hAnsi="Consolas"/>
                <w:color w:val="E6E6E6"/>
                <w:sz w:val="18"/>
                <w:szCs w:val="18"/>
              </w:rPr>
              <w:t xml:space="preserve">│                              │    ├─ DimensionFrequentCustomer</w:t>
            </w:r>
          </w:p>
          <w:p>
            <w:pPr>
              <w:spacing w:after="20"/>
            </w:pPr>
            <w:r>
              <w:rPr>
                <w:rFonts w:ascii="Consolas" w:cs="Consolas" w:eastAsia="Consolas" w:hAnsi="Consolas"/>
                <w:color w:val="E6E6E6"/>
                <w:sz w:val="18"/>
                <w:szCs w:val="18"/>
              </w:rPr>
              <w:t xml:space="preserve">│                              │    ├─ DimensionKiosks</w:t>
            </w:r>
          </w:p>
          <w:p>
            <w:pPr>
              <w:spacing w:after="20"/>
            </w:pPr>
            <w:r>
              <w:rPr>
                <w:rFonts w:ascii="Consolas" w:cs="Consolas" w:eastAsia="Consolas" w:hAnsi="Consolas"/>
                <w:color w:val="E6E6E6"/>
                <w:sz w:val="18"/>
                <w:szCs w:val="18"/>
              </w:rPr>
              <w:t xml:space="preserve">│                              │    ├─ CopyGOUViewsToGAS</w:t>
            </w:r>
          </w:p>
          <w:p>
            <w:pPr>
              <w:spacing w:after="20"/>
            </w:pPr>
            <w:r>
              <w:rPr>
                <w:rFonts w:ascii="Consolas" w:cs="Consolas" w:eastAsia="Consolas" w:hAnsi="Consolas"/>
                <w:color w:val="E6E6E6"/>
                <w:sz w:val="18"/>
                <w:szCs w:val="18"/>
              </w:rPr>
              <w:t xml:space="preserve">│                              │    └─ DimensionMenuModifiers   (after DimensionMenuItems)</w:t>
            </w:r>
          </w:p>
          <w:p>
            <w:pPr>
              <w:spacing w:after="20"/>
            </w:pPr>
            <w:r>
              <w:rPr>
                <w:rFonts w:ascii="Consolas" w:cs="Consolas" w:eastAsia="Consolas" w:hAnsi="Consolas"/>
                <w:color w:val="E6E6E6"/>
                <w:sz w:val="18"/>
                <w:szCs w:val="18"/>
              </w:rPr>
              <w:t xml:space="preserve">│                              ├─ OrderItemCategories  (DataFlow, after DimensionMaster)</w:t>
            </w:r>
          </w:p>
          <w:p>
            <w:pPr>
              <w:spacing w:after="20"/>
            </w:pPr>
            <w:r>
              <w:rPr>
                <w:rFonts w:ascii="Consolas" w:cs="Consolas" w:eastAsia="Consolas" w:hAnsi="Consolas"/>
                <w:color w:val="E6E6E6"/>
                <w:sz w:val="18"/>
                <w:szCs w:val="18"/>
              </w:rPr>
              <w:t xml:space="preserve">│                              ├─ Locations             (DataFlow, after OrderItemCategories)</w:t>
            </w:r>
          </w:p>
          <w:p>
            <w:pPr>
              <w:spacing w:after="20"/>
            </w:pPr>
            <w:r>
              <w:rPr>
                <w:rFonts w:ascii="Consolas" w:cs="Consolas" w:eastAsia="Consolas" w:hAnsi="Consolas"/>
                <w:color w:val="E6E6E6"/>
                <w:sz w:val="18"/>
                <w:szCs w:val="18"/>
              </w:rPr>
              <w:t xml:space="preserve">│                              ├─ NewCosmosOrdersMenus  (DataFlow, after Locations)</w:t>
            </w:r>
          </w:p>
          <w:p>
            <w:pPr>
              <w:spacing w:after="20"/>
            </w:pPr>
            <w:r>
              <w:rPr>
                <w:rFonts w:ascii="Consolas" w:cs="Consolas" w:eastAsia="Consolas" w:hAnsi="Consolas"/>
                <w:color w:val="E6E6E6"/>
                <w:sz w:val="18"/>
                <w:szCs w:val="18"/>
              </w:rPr>
              <w:t xml:space="preserve">│                              ├─ NgeCategoryHierarchy  (DataFlow, after NewCosmosOrdersMenus)</w:t>
            </w:r>
          </w:p>
          <w:p>
            <w:pPr>
              <w:spacing w:after="20"/>
            </w:pPr>
            <w:r>
              <w:rPr>
                <w:rFonts w:ascii="Consolas" w:cs="Consolas" w:eastAsia="Consolas" w:hAnsi="Consolas"/>
                <w:color w:val="E6E6E6"/>
                <w:sz w:val="18"/>
                <w:szCs w:val="18"/>
              </w:rPr>
              <w:t xml:space="preserve">│                              ├─ gshDeviceToDimKiosk   (DataFlow, after NgeCategoryHierarchy)</w:t>
            </w:r>
          </w:p>
          <w:p>
            <w:pPr>
              <w:spacing w:after="20"/>
            </w:pPr>
            <w:r>
              <w:rPr>
                <w:rFonts w:ascii="Consolas" w:cs="Consolas" w:eastAsia="Consolas" w:hAnsi="Consolas"/>
                <w:color w:val="E6E6E6"/>
                <w:sz w:val="18"/>
                <w:szCs w:val="18"/>
              </w:rPr>
              <w:t xml:space="preserve">│                              ├─ LoadOrderTypes        (DataFlow, after gshDeviceToDimKiosk)</w:t>
            </w:r>
          </w:p>
          <w:p>
            <w:pPr>
              <w:spacing w:after="20"/>
            </w:pPr>
            <w:r>
              <w:rPr>
                <w:rFonts w:ascii="Consolas" w:cs="Consolas" w:eastAsia="Consolas" w:hAnsi="Consolas"/>
                <w:color w:val="E6E6E6"/>
                <w:sz w:val="18"/>
                <w:szCs w:val="18"/>
              </w:rPr>
              <w:t xml:space="preserve">│                              └─ 5x error-branch triples (v_errormsg/v_finishtime/FailStatus, one per step group)</w:t>
            </w:r>
          </w:p>
          <w:p>
            <w:pPr>
              <w:spacing w:after="20"/>
            </w:pPr>
            <w:r>
              <w:rPr>
                <w:rFonts w:ascii="Consolas" w:cs="Consolas" w:eastAsia="Consolas" w:hAnsi="Consolas"/>
                <w:color w:val="E6E6E6"/>
                <w:sz w:val="18"/>
                <w:szCs w:val="18"/>
              </w:rPr>
              <w:t xml:space="preserve">│</w:t>
            </w:r>
          </w:p>
          <w:p>
            <w:pPr>
              <w:spacing w:after="20"/>
            </w:pPr>
            <w:r>
              <w:rPr>
                <w:rFonts w:ascii="Consolas" w:cs="Consolas" w:eastAsia="Consolas" w:hAnsi="Consolas"/>
                <w:color w:val="E6E6E6"/>
                <w:sz w:val="18"/>
                <w:szCs w:val="18"/>
              </w:rPr>
              <w:t xml:space="preserve">├─ TruncateStagingTables ──► CALL etl.truncate_silver_staging();</w:t>
            </w:r>
          </w:p>
          <w:p>
            <w:pPr>
              <w:spacing w:after="20"/>
            </w:pPr>
            <w:r>
              <w:rPr>
                <w:rFonts w:ascii="Consolas" w:cs="Consolas" w:eastAsia="Consolas" w:hAnsi="Consolas"/>
                <w:color w:val="E6E6E6"/>
                <w:sz w:val="18"/>
                <w:szCs w:val="18"/>
              </w:rPr>
              <w:t xml:space="preserve">│</w:t>
            </w:r>
          </w:p>
          <w:p>
            <w:pPr>
              <w:spacing w:after="20"/>
            </w:pPr>
            <w:r>
              <w:rPr>
                <w:rFonts w:ascii="Consolas" w:cs="Consolas" w:eastAsia="Consolas" w:hAnsi="Consolas"/>
                <w:color w:val="E6E6E6"/>
                <w:sz w:val="18"/>
                <w:szCs w:val="18"/>
              </w:rPr>
              <w:t xml:space="preserve">├─ BronzeSilverGASMaster ──► BronzeSilverGASMaster (pipeline)</w:t>
            </w:r>
          </w:p>
          <w:p>
            <w:pPr>
              <w:spacing w:after="20"/>
            </w:pPr>
            <w:r>
              <w:rPr>
                <w:rFonts w:ascii="Consolas" w:cs="Consolas" w:eastAsia="Consolas" w:hAnsi="Consolas"/>
                <w:color w:val="E6E6E6"/>
                <w:sz w:val="18"/>
                <w:szCs w:val="18"/>
              </w:rPr>
              <w:t xml:space="preserve">│                              ├─ BronzeEventsToSilverAndGAS</w:t>
            </w:r>
          </w:p>
          <w:p>
            <w:pPr>
              <w:spacing w:after="20"/>
            </w:pPr>
            <w:r>
              <w:rPr>
                <w:rFonts w:ascii="Consolas" w:cs="Consolas" w:eastAsia="Consolas" w:hAnsi="Consolas"/>
                <w:color w:val="E6E6E6"/>
                <w:sz w:val="18"/>
                <w:szCs w:val="18"/>
              </w:rPr>
              <w:t xml:space="preserve">│                              └─ BronzeOrdersToSilverAndGAS</w:t>
            </w:r>
          </w:p>
          <w:p>
            <w:pPr>
              <w:spacing w:after="20"/>
            </w:pPr>
            <w:r>
              <w:rPr>
                <w:rFonts w:ascii="Consolas" w:cs="Consolas" w:eastAsia="Consolas" w:hAnsi="Consolas"/>
                <w:color w:val="E6E6E6"/>
                <w:sz w:val="18"/>
                <w:szCs w:val="18"/>
              </w:rPr>
              <w:t xml:space="preserve">│                                    (both use the parallel hour-partition pattern — Section 13)</w:t>
            </w:r>
          </w:p>
          <w:p>
            <w:pPr>
              <w:spacing w:after="20"/>
            </w:pPr>
            <w:r>
              <w:rPr>
                <w:rFonts w:ascii="Consolas" w:cs="Consolas" w:eastAsia="Consolas" w:hAnsi="Consolas"/>
                <w:color w:val="E6E6E6"/>
                <w:sz w:val="18"/>
                <w:szCs w:val="18"/>
              </w:rPr>
              <w:t xml:space="preserve">│</w:t>
            </w:r>
          </w:p>
          <w:p>
            <w:pPr>
              <w:spacing w:after="20"/>
            </w:pPr>
            <w:r>
              <w:rPr>
                <w:rFonts w:ascii="Consolas" w:cs="Consolas" w:eastAsia="Consolas" w:hAnsi="Consolas"/>
                <w:color w:val="E6E6E6"/>
                <w:sz w:val="18"/>
                <w:szCs w:val="18"/>
              </w:rPr>
              <w:t xml:space="preserve">├─ GEM_GSH_GOU_Master ─────► GEM_GSH_GOU_Master (pipeline)      ─┐</w:t>
            </w:r>
          </w:p>
          <w:p>
            <w:pPr>
              <w:spacing w:after="20"/>
            </w:pPr>
            <w:r>
              <w:rPr>
                <w:rFonts w:ascii="Consolas" w:cs="Consolas" w:eastAsia="Consolas" w:hAnsi="Consolas"/>
                <w:color w:val="E6E6E6"/>
                <w:sz w:val="18"/>
                <w:szCs w:val="18"/>
              </w:rPr>
              <w:t xml:space="preserve">│     dimView → dimElement → CopyGOUViewsToGAS →                │  runs in</w:t>
            </w:r>
          </w:p>
          <w:p>
            <w:pPr>
              <w:spacing w:after="20"/>
            </w:pPr>
            <w:r>
              <w:rPr>
                <w:rFonts w:ascii="Consolas" w:cs="Consolas" w:eastAsia="Consolas" w:hAnsi="Consolas"/>
                <w:color w:val="E6E6E6"/>
                <w:sz w:val="18"/>
                <w:szCs w:val="18"/>
              </w:rPr>
              <w:t xml:space="preserve">│     gemEventsToAnalyticsDb → GEMUserBehaviourEventsToPG →     │  parallel</w:t>
            </w:r>
          </w:p>
          <w:p>
            <w:pPr>
              <w:spacing w:after="20"/>
            </w:pPr>
            <w:r>
              <w:rPr>
                <w:rFonts w:ascii="Consolas" w:cs="Consolas" w:eastAsia="Consolas" w:hAnsi="Consolas"/>
                <w:color w:val="E6E6E6"/>
                <w:sz w:val="18"/>
                <w:szCs w:val="18"/>
              </w:rPr>
              <w:t xml:space="preserve">│     gshDeviceHealthToAnalyticsDbFactDeviceState →              │  with</w:t>
            </w:r>
          </w:p>
          <w:p>
            <w:pPr>
              <w:spacing w:after="20"/>
            </w:pPr>
            <w:r>
              <w:rPr>
                <w:rFonts w:ascii="Consolas" w:cs="Consolas" w:eastAsia="Consolas" w:hAnsi="Consolas"/>
                <w:color w:val="E6E6E6"/>
                <w:sz w:val="18"/>
                <w:szCs w:val="18"/>
              </w:rPr>
              <w:t xml:space="preserve">│     gshDeviceTelemetryToAnalyticsDb → gemOrderTiming →         │  Facts</w:t>
            </w:r>
          </w:p>
          <w:p>
            <w:pPr>
              <w:spacing w:after="20"/>
            </w:pPr>
            <w:r>
              <w:rPr>
                <w:rFonts w:ascii="Consolas" w:cs="Consolas" w:eastAsia="Consolas" w:hAnsi="Consolas"/>
                <w:color w:val="E6E6E6"/>
                <w:sz w:val="18"/>
                <w:szCs w:val="18"/>
              </w:rPr>
              <w:t xml:space="preserve">│     gemUserCheckedInToPG → DimensionABTests                   │</w:t>
            </w:r>
          </w:p>
          <w:p>
            <w:pPr>
              <w:spacing w:after="20"/>
            </w:pPr>
            <w:r>
              <w:rPr>
                <w:rFonts w:ascii="Consolas" w:cs="Consolas" w:eastAsia="Consolas" w:hAnsi="Consolas"/>
                <w:color w:val="E6E6E6"/>
                <w:sz w:val="18"/>
                <w:szCs w:val="18"/>
              </w:rPr>
              <w:t xml:space="preserve">│                                                                 │</w:t>
            </w:r>
          </w:p>
          <w:p>
            <w:pPr>
              <w:spacing w:after="20"/>
            </w:pPr>
            <w:r>
              <w:rPr>
                <w:rFonts w:ascii="Consolas" w:cs="Consolas" w:eastAsia="Consolas" w:hAnsi="Consolas"/>
                <w:color w:val="E6E6E6"/>
                <w:sz w:val="18"/>
                <w:szCs w:val="18"/>
              </w:rPr>
              <w:t xml:space="preserve">└─ Facts ──────────────────► FactsMaster (pipeline)             ─┘</w:t>
            </w:r>
          </w:p>
          <w:p>
            <w:pPr>
              <w:spacing w:after="20"/>
            </w:pPr>
            <w:r>
              <w:rPr>
                <w:rFonts w:ascii="Consolas" w:cs="Consolas" w:eastAsia="Consolas" w:hAnsi="Consolas"/>
                <w:color w:val="E6E6E6"/>
                <w:sz w:val="18"/>
                <w:szCs w:val="18"/>
              </w:rPr>
              <w:t xml:space="preserve">      dimOrderType (Lookup) → gasTransactionsToAnalyticsDb →</w:t>
            </w:r>
          </w:p>
          <w:p>
            <w:pPr>
              <w:spacing w:after="20"/>
            </w:pPr>
            <w:r>
              <w:rPr>
                <w:rFonts w:ascii="Consolas" w:cs="Consolas" w:eastAsia="Consolas" w:hAnsi="Consolas"/>
                <w:color w:val="E6E6E6"/>
                <w:sz w:val="18"/>
                <w:szCs w:val="18"/>
              </w:rPr>
              <w:t xml:space="preserve">      UpsellRecommendationsToGAS → ModifierUpsellRecommendationsToGAS →</w:t>
            </w:r>
          </w:p>
          <w:p>
            <w:pPr>
              <w:spacing w:after="20"/>
            </w:pPr>
            <w:r>
              <w:rPr>
                <w:rFonts w:ascii="Consolas" w:cs="Consolas" w:eastAsia="Consolas" w:hAnsi="Consolas"/>
                <w:color w:val="E6E6E6"/>
                <w:sz w:val="18"/>
                <w:szCs w:val="18"/>
              </w:rPr>
              <w:t xml:space="preserve">      AbortedOrdersAndItemsToPG → OccasionSurveyOrdersFeedback</w:t>
            </w:r>
          </w:p>
        </w:tc>
      </w:tr>
    </w:tbl>
    <w:p>
      <w:pPr>
        <w:spacing w:after="60"/>
      </w:pPr>
    </w:p>
    <w:p>
      <w:pPr>
        <w:spacing w:after="160" w:line="276"/>
      </w:pPr>
      <w:r>
        <w:rPr>
          <w:b w:val="false"/>
          <w:bCs w:val="false"/>
          <w:i w:val="false"/>
          <w:iCs w:val="false"/>
          <w:color w:val="2B2B2B"/>
          <w:sz w:val="21"/>
          <w:szCs w:val="21"/>
        </w:rPr>
        <w:t xml:space="preserve">Note the load order inside DimensionUpdateOrdersToAnalyticsDb: DimensionMaster (menu items, frequent customers, kiosks, modifiers, GOU views) runs to completion before OrderItemCategories/Locations/NewCosmosOrdersMenus/NgeCategoryHierarchy/gshDeviceToDimKiosk/LoadOrderTypes — the order-related dimension data flows all depend on the core dimensions being current first. Do not reorder these to "parallelize for speed" without checking for implicit read dependencies on freshly-refreshed dim tables.</w:t>
      </w:r>
    </w:p>
    <w:p>
      <w:pPr>
        <w:pStyle w:val="Heading1"/>
        <w:pBdr>
          <w:bottom w:val="single" w:color="0F6E6B" w:sz="8" w:space="4"/>
        </w:pBdr>
        <w:spacing w:after="200" w:before="480"/>
      </w:pPr>
      <w:r>
        <w:rPr>
          <w:b/>
          <w:bCs/>
          <w:color w:val="1F2A44"/>
          <w:sz w:val="30"/>
          <w:szCs w:val="30"/>
        </w:rPr>
        <w:t xml:space="preserve">13. Parallel Hour-Partition Read Pattern</w:t>
      </w:r>
    </w:p>
    <w:p>
      <w:pPr>
        <w:spacing w:after="160" w:line="276"/>
      </w:pPr>
      <w:r>
        <w:rPr>
          <w:b w:val="false"/>
          <w:bCs w:val="false"/>
          <w:i w:val="false"/>
          <w:iCs w:val="false"/>
          <w:color w:val="2B2B2B"/>
          <w:sz w:val="21"/>
          <w:szCs w:val="21"/>
        </w:rPr>
        <w:t xml:space="preserve">BronzeOrdersToSilverAndGAS and BronzeEventsToSilverAndGAS (the two pipelines BronzeSilverGASMaster calls) both implement the same two-phase pattern for catching up on however many hourly Bronze partitions have accumulated since the last successful run.</w:t>
      </w:r>
    </w:p>
    <w:p>
      <w:pPr>
        <w:pStyle w:val="Heading2"/>
        <w:spacing w:after="160" w:before="360"/>
      </w:pPr>
      <w:r>
        <w:rPr>
          <w:b/>
          <w:bCs/>
          <w:color w:val="1F2A44"/>
          <w:sz w:val="24"/>
          <w:szCs w:val="24"/>
        </w:rPr>
        <w:t xml:space="preserve">13.1 Phase 1 — Parallel Existence Check</w:t>
      </w:r>
    </w:p>
    <w:p>
      <w:pPr>
        <w:spacing w:after="70"/>
        <w:ind w:left="0"/>
      </w:pPr>
      <w:r>
        <w:rPr>
          <w:b/>
          <w:bCs/>
          <w:color w:val="0F6E6B"/>
          <w:sz w:val="21"/>
          <w:szCs w:val="21"/>
        </w:rPr>
        <w:t xml:space="preserve"/>
      </w:r>
      <w:r>
        <w:rPr>
          <w:b w:val="false"/>
          <w:bCs w:val="false"/>
          <w:color w:val="2B2B2B"/>
          <w:sz w:val="21"/>
          <w:szCs w:val="21"/>
        </w:rPr>
        <w:t xml:space="preserve">vTodayUTC — SetVariable, establishes the processing window’s upper bound.</w:t>
      </w:r>
      <w:r>
        <w:t xml:space="preserve"/>
      </w:r>
    </w:p>
    <w:p>
      <w:pPr>
        <w:spacing w:after="70"/>
        <w:ind w:left="0"/>
      </w:pPr>
      <w:r>
        <w:rPr>
          <w:b/>
          <w:bCs/>
          <w:color w:val="0F6E6B"/>
          <w:sz w:val="21"/>
          <w:szCs w:val="21"/>
        </w:rPr>
        <w:t xml:space="preserve"/>
      </w:r>
      <w:r>
        <w:rPr>
          <w:b w:val="false"/>
          <w:bCs w:val="false"/>
          <w:color w:val="2B2B2B"/>
          <w:sz w:val="21"/>
          <w:szCs w:val="21"/>
        </w:rPr>
        <w:t xml:space="preserve">PendingPartitions — Lookup against etl.bronze_partition_registry: rows for this entity where status is not yet 'completed'/'not found' and dateid falls inside the eligible window (the working queries in etl_bronze_partition_registry.sql show the pattern: dateid &gt; COALESCE(MAX(dateid) WHERE status IN ('completed','not found'), &lt;seed&gt;) AND dateid &lt; NOW()-1hr, status = 'pending').</w:t>
      </w:r>
      <w:r>
        <w:t xml:space="preserve"/>
      </w:r>
    </w:p>
    <w:p>
      <w:pPr>
        <w:spacing w:after="70"/>
        <w:ind w:left="0"/>
      </w:pPr>
      <w:r>
        <w:rPr>
          <w:b/>
          <w:bCs/>
          <w:color w:val="0F6E6B"/>
          <w:sz w:val="21"/>
          <w:szCs w:val="21"/>
        </w:rPr>
        <w:t xml:space="preserve"/>
      </w:r>
      <w:r>
        <w:rPr>
          <w:b w:val="false"/>
          <w:bCs w:val="false"/>
          <w:color w:val="2B2B2B"/>
          <w:sz w:val="21"/>
          <w:szCs w:val="21"/>
        </w:rPr>
        <w:t xml:space="preserve">LoopThroughHourPartitions — ForEach over the Lookup output, isSequential: false, batchCount: 50. Up to 50 partitions are checked concurrently. Each iteration runs GetHourPartitions (GetMetadata — does this partition’s ADLS folder actually exist?) then IfHourPartitionExists (IfCondition) to route existing vs. missing partitions.</w:t>
      </w:r>
      <w:r>
        <w:t xml:space="preserve"/>
      </w:r>
    </w:p>
    <w:p>
      <w:pPr>
        <w:pStyle w:val="Heading2"/>
        <w:spacing w:after="160" w:before="360"/>
      </w:pPr>
      <w:r>
        <w:rPr>
          <w:b/>
          <w:bCs/>
          <w:color w:val="1F2A44"/>
          <w:sz w:val="24"/>
          <w:szCs w:val="24"/>
        </w:rPr>
        <w:t xml:space="preserve">13.2 Phase 2 — Sequential Load</w:t>
      </w:r>
    </w:p>
    <w:p>
      <w:pPr>
        <w:spacing w:after="70"/>
        <w:ind w:left="0"/>
      </w:pPr>
      <w:r>
        <w:rPr>
          <w:b/>
          <w:bCs/>
          <w:color w:val="0F6E6B"/>
          <w:sz w:val="21"/>
          <w:szCs w:val="21"/>
        </w:rPr>
        <w:t xml:space="preserve"/>
      </w:r>
      <w:r>
        <w:rPr>
          <w:b w:val="false"/>
          <w:bCs w:val="false"/>
          <w:color w:val="2B2B2B"/>
          <w:sz w:val="21"/>
          <w:szCs w:val="21"/>
        </w:rPr>
        <w:t xml:space="preserve">LoopThroughTrxnHourPartitions / LoopThroughEventsHourPartitions — ForEach over the confirmed-available partitions, isSequential: true (no batchCount — one partition at a time). Each iteration: an ExecutePipeline call to SilverOrdersToGAS / SilverEventsToGAS, a GetMetadata + IfCondition existence check per source file type (header/item/payment/combo/modifiers/interactions/impressions/recommendations/refunds), then a Copy activity into the matching stg.silver_* table for every file type present.</w:t>
      </w:r>
      <w:r>
        <w:t xml:space="preserve"/>
      </w:r>
    </w:p>
    <w:p>
      <w:pPr>
        <w:spacing w:after="60"/>
      </w:pPr>
    </w:p>
    <w:tbl>
      <w:tblPr>
        <w:tblW w:type="pct" w:w="100%"/>
        <w:tblBorders>
          <w:top w:val="single" w:color="8A4B08" w:sz="4"/>
          <w:left w:val="single" w:color="8A4B08" w:sz="4"/>
          <w:bottom w:val="single" w:color="8A4B08" w:sz="4"/>
          <w:right w:val="single" w:color="8A4B08" w:sz="4"/>
          <w:insideH w:val="single" w:color="8A4B08" w:sz="4"/>
          <w:insideV w:val="single" w:color="8A4B08" w:sz="4"/>
        </w:tblBorders>
      </w:tblPr>
      <w:tblGrid>
        <w:gridCol w:w="100"/>
      </w:tblGrid>
      <w:tr>
        <w:tc>
          <w:tcPr>
            <w:shd w:fill="FBEEDD" w:val="clear"/>
            <w:tcMar>
              <w:top w:type="dxa" w:w="120"/>
              <w:left w:type="dxa" w:w="160"/>
              <w:bottom w:type="dxa" w:w="120"/>
              <w:right w:type="dxa" w:w="160"/>
            </w:tcMar>
          </w:tcPr>
          <w:p>
            <w:r>
              <w:rPr>
                <w:b/>
                <w:bCs/>
                <w:color w:val="8A4B08"/>
                <w:sz w:val="20"/>
                <w:szCs w:val="20"/>
              </w:rPr>
              <w:t xml:space="preserve">DO NOT PARALLELIZE PHASE 2:  </w:t>
            </w:r>
            <w:r>
              <w:rPr>
                <w:color w:val="8A4B08"/>
                <w:sz w:val="20"/>
                <w:szCs w:val="20"/>
              </w:rPr>
              <w:t xml:space="preserve">Phase 1 (existence-checking) is parallel because it is cheap, read-only metadata calls. Phase 2 (actually copying data and executing the per-partition child pipeline) is deliberately sequential — this is the direct mitigation for the dimCategoryHierarchy SSL/connection-exhaustion issue (Npgsql "E" response to SSLRequest): running many Copy Activities against the same PostgreSQL source (GMS) in parallel exhausted available connections. If you are ever tempted to flip LoopThroughTrxnHourPartitions/LoopThroughEventsHourPartitions to isSequential: false for throughput, revisit that incident first — the other mitigations on record are replica reads, reduced parallelism, and watermark-based incremental partitioning, not parallel Phase 2 execution.</w:t>
            </w:r>
          </w:p>
        </w:tc>
      </w:tr>
    </w:tbl>
    <w:p>
      <w:pPr>
        <w:spacing w:after="160" w:line="276"/>
      </w:pPr>
      <w:r>
        <w:rPr>
          <w:b w:val="false"/>
          <w:bCs w:val="false"/>
          <w:i w:val="false"/>
          <w:iCs w:val="false"/>
          <w:color w:val="2B2B2B"/>
          <w:sz w:val="21"/>
          <w:szCs w:val="21"/>
        </w:rPr>
        <w:t xml:space="preserve">IngestToBronze (the pipeline one layer upstream of these two, landing raw Cosmos DB data into ADLS Bronze in the first place) is a much simpler linear chain: ngeOrdersToBronzeCopy → {ngeOrdersToBronze, gemEventsToBronze, OriginalNgeOrdersToBronze} → ngeLocationsToBronze. It does not use the hour-partition ForEach pattern — it is a straight Cosmos DB change-feed style pull, not a partition catch-up.</w:t>
      </w:r>
    </w:p>
    <w:p>
      <w:r>
        <w:br w:type="page"/>
      </w:r>
    </w:p>
    <w:p>
      <w:pPr>
        <w:pStyle w:val="Heading1"/>
        <w:pBdr>
          <w:bottom w:val="single" w:color="0F6E6B" w:sz="8" w:space="4"/>
        </w:pBdr>
        <w:spacing w:after="200" w:before="480"/>
      </w:pPr>
      <w:r>
        <w:rPr>
          <w:b/>
          <w:bCs/>
          <w:color w:val="1F2A44"/>
          <w:sz w:val="30"/>
          <w:szCs w:val="30"/>
        </w:rPr>
        <w:t xml:space="preserve">14. Known Issues, Landmines &amp; Recommended Follow-ups</w:t>
      </w:r>
    </w:p>
    <w:p>
      <w:pPr>
        <w:spacing w:after="160" w:line="276"/>
      </w:pPr>
      <w:r>
        <w:rPr>
          <w:b w:val="false"/>
          <w:bCs w:val="false"/>
          <w:i w:val="false"/>
          <w:iCs w:val="false"/>
          <w:color w:val="2B2B2B"/>
          <w:sz w:val="21"/>
          <w:szCs w:val="21"/>
        </w:rPr>
        <w:t xml:space="preserve">Consolidated from this document’s analysis and recent working history. Ranked roughly by blast radius — items that would silently corrupt data or break production first, verification/documentation gaps second.</w:t>
      </w:r>
    </w:p>
    <w:p>
      <w:pPr>
        <w:pStyle w:val="Heading2"/>
        <w:spacing w:after="160" w:before="360"/>
      </w:pPr>
      <w:r>
        <w:rPr>
          <w:b/>
          <w:bCs/>
          <w:color w:val="1F2A44"/>
          <w:sz w:val="24"/>
          <w:szCs w:val="24"/>
        </w:rPr>
        <w:t xml:space="preserve">14.1 High Blast Radius</w:t>
      </w:r>
    </w:p>
    <w:p>
      <w:pPr>
        <w:pStyle w:val="ListParagraph"/>
        <w:numPr>
          <w:ilvl w:val="0"/>
          <w:numId w:val="1"/>
        </w:numPr>
        <w:spacing w:after="90" w:line="264"/>
      </w:pPr>
      <w:r>
        <w:rPr>
          <w:b w:val="false"/>
          <w:bCs w:val="false"/>
          <w:color w:val="2B2B2B"/>
          <w:sz w:val="21"/>
          <w:szCs w:val="21"/>
        </w:rPr>
        <w:t xml:space="preserve">etl.truncate_silver_staging() window logic — the 10-minute sliding-window DELETE on silver_kiosk_events / silver_transaction_header / silver_transaction_item / silver_transaction_combo_items must not be reverted to a full TRUNCATE (Section 7.2). This was a deliberate bug fix; reverting it will cause the transaction-header loader’s kiosk-event journey-timing join to silently lose data again.</w:t>
      </w:r>
    </w:p>
    <w:p>
      <w:pPr>
        <w:pStyle w:val="ListParagraph"/>
        <w:numPr>
          <w:ilvl w:val="0"/>
          <w:numId w:val="1"/>
        </w:numPr>
        <w:spacing w:after="90" w:line="264"/>
      </w:pPr>
      <w:r>
        <w:rPr>
          <w:b w:val="false"/>
          <w:bCs w:val="false"/>
          <w:color w:val="2B2B2B"/>
          <w:sz w:val="21"/>
          <w:szCs w:val="21"/>
        </w:rPr>
        <w:t xml:space="preserve">fact.usp_silver_transaction_header_to_fact’s ON CONFLICT ... DO UPDATE COALESCE guards (Section 4.3) must not be loosened to unconditional overwrites — doing so would let a late partial re-run erase correctly-captured timing data from an earlier run.</w:t>
      </w:r>
    </w:p>
    <w:p>
      <w:pPr>
        <w:pStyle w:val="ListParagraph"/>
        <w:numPr>
          <w:ilvl w:val="0"/>
          <w:numId w:val="1"/>
        </w:numPr>
        <w:spacing w:after="90" w:line="264"/>
      </w:pPr>
      <w:r>
        <w:rPr>
          <w:b w:val="false"/>
          <w:bCs w:val="false"/>
          <w:color w:val="2B2B2B"/>
          <w:sz w:val="21"/>
          <w:szCs w:val="21"/>
        </w:rPr>
        <w:t xml:space="preserve">The ADF parallel hour-partition Phase 2 (Section 13.2) must stay isSequential: true. This is the fix for the dimCategoryHierarchy SSL/connection-exhaustion incident (Npgsql “E” response to SSLRequest, diagnosed as GMS-source connection exhaustion from parallel Copy Activity reads). Flipping it back to parallel for throughput would very likely reintroduce that failure.</w:t>
      </w:r>
    </w:p>
    <w:p>
      <w:pPr>
        <w:pStyle w:val="ListParagraph"/>
        <w:numPr>
          <w:ilvl w:val="0"/>
          <w:numId w:val="1"/>
        </w:numPr>
        <w:spacing w:after="90" w:line="264"/>
      </w:pPr>
      <w:r>
        <w:rPr>
          <w:b w:val="false"/>
          <w:bCs w:val="false"/>
          <w:color w:val="2B2B2B"/>
          <w:sz w:val="21"/>
          <w:szCs w:val="21"/>
        </w:rPr>
        <w:t xml:space="preserve">ADLS linked-service typing — always confirm hierarchical namespace is enabled before typing a new storage account’s linked service as ADLS Gen2/AzureBlobFS (Section 11.1). Getting this wrong throws AdlsGen2OperationFailed / EndpointUnsupportedAccountFeatures, as it did for stgsusprodeastus.</w:t>
      </w:r>
    </w:p>
    <w:p>
      <w:pPr>
        <w:pStyle w:val="Heading2"/>
        <w:spacing w:after="160" w:before="360"/>
      </w:pPr>
      <w:r>
        <w:rPr>
          <w:b/>
          <w:bCs/>
          <w:color w:val="1F2A44"/>
          <w:sz w:val="24"/>
          <w:szCs w:val="24"/>
        </w:rPr>
        <w:t xml:space="preserve">14.2 Verify Against Production (DDL Export May Be Stale)</w:t>
      </w:r>
    </w:p>
    <w:p>
      <w:pPr>
        <w:pStyle w:val="ListParagraph"/>
        <w:numPr>
          <w:ilvl w:val="0"/>
          <w:numId w:val="1"/>
        </w:numPr>
        <w:spacing w:after="90" w:line="264"/>
      </w:pPr>
      <w:r>
        <w:rPr>
          <w:b w:val="false"/>
          <w:bCs w:val="false"/>
          <w:color w:val="2B2B2B"/>
          <w:sz w:val="21"/>
          <w:szCs w:val="21"/>
        </w:rPr>
        <w:t xml:space="preserve">fact.deviceevent unique constraint — not visible in the May 30, 2026 DDL export; confirm whether the dedup project’s unique constraint (and any supporting index) exists in production (Section 4.4).</w:t>
      </w:r>
    </w:p>
    <w:p>
      <w:pPr>
        <w:pStyle w:val="ListParagraph"/>
        <w:numPr>
          <w:ilvl w:val="0"/>
          <w:numId w:val="1"/>
        </w:numPr>
        <w:spacing w:after="90" w:line="264"/>
      </w:pPr>
      <w:r>
        <w:rPr>
          <w:b w:val="false"/>
          <w:bCs w:val="false"/>
          <w:color w:val="2B2B2B"/>
          <w:sz w:val="21"/>
          <w:szCs w:val="21"/>
        </w:rPr>
        <w:t xml:space="preserve">ix_deviceevent_syscosmosts_brin — present in gas_indexes.sql but commented out (not created). Every comparably-sized fact table has this BRIN index already; confirm whether it was created directly in prod, and create it if not (Section 9.1).</w:t>
      </w:r>
    </w:p>
    <w:p>
      <w:pPr>
        <w:pStyle w:val="ListParagraph"/>
        <w:numPr>
          <w:ilvl w:val="0"/>
          <w:numId w:val="1"/>
        </w:numPr>
        <w:spacing w:after="90" w:line="264"/>
      </w:pPr>
      <w:r>
        <w:rPr>
          <w:b w:val="false"/>
          <w:bCs w:val="false"/>
          <w:color w:val="2B2B2B"/>
          <w:sz w:val="21"/>
          <w:szCs w:val="21"/>
        </w:rPr>
        <w:t xml:space="preserve">stg.silver_order_entities vs. stg.silver_all_transaction_entities — the ARM template still references the former by name (dataset stgSilverCaseSensitiveOrderEntitiesAnalyticsDb, and a DELETE FROM stg.silver_order_entities cleanup statement); only the latter exists in the current DDL export, with a matching bronze_folderpath column. Confirm which name is authoritative before modifying either the ADF dataset or the table (Section 6.1).</w:t>
      </w:r>
    </w:p>
    <w:p>
      <w:pPr>
        <w:pStyle w:val="ListParagraph"/>
        <w:numPr>
          <w:ilvl w:val="0"/>
          <w:numId w:val="1"/>
        </w:numPr>
        <w:spacing w:after="90" w:line="264"/>
      </w:pPr>
      <w:r>
        <w:rPr>
          <w:b w:val="false"/>
          <w:bCs w:val="false"/>
          <w:color w:val="2B2B2B"/>
          <w:sz w:val="21"/>
          <w:szCs w:val="21"/>
        </w:rPr>
        <w:t xml:space="preserve">stg.transactionheader — an older/alternate transaction-header staging shape (44 cols, different column set than stg.silver_transaction_header) still present in the DDL export. Confirm whether any active pipeline still writes to it before assuming it is dead.</w:t>
      </w:r>
    </w:p>
    <w:p>
      <w:pPr>
        <w:pStyle w:val="ListParagraph"/>
        <w:numPr>
          <w:ilvl w:val="0"/>
          <w:numId w:val="1"/>
        </w:numPr>
        <w:spacing w:after="90" w:line="264"/>
      </w:pPr>
      <w:r>
        <w:rPr>
          <w:b w:val="false"/>
          <w:bCs w:val="false"/>
          <w:color w:val="2B2B2B"/>
          <w:sz w:val="21"/>
          <w:szCs w:val="21"/>
        </w:rPr>
        <w:t xml:space="preserve">dim.token_sort_ratio — called from ml.usp_refresh_item_modifier_matching but its own CREATE FUNCTION definition was not present in any of the nine files reviewed here. Locate and preserve it explicitly (Section 5.3).</w:t>
      </w:r>
    </w:p>
    <w:p>
      <w:pPr>
        <w:pStyle w:val="ListParagraph"/>
        <w:numPr>
          <w:ilvl w:val="0"/>
          <w:numId w:val="1"/>
        </w:numPr>
        <w:spacing w:after="90" w:line="264"/>
      </w:pPr>
      <w:r>
        <w:rPr>
          <w:b w:val="false"/>
          <w:bCs w:val="false"/>
          <w:color w:val="2B2B2B"/>
          <w:sz w:val="21"/>
          <w:szCs w:val="21"/>
        </w:rPr>
        <w:t xml:space="preserve">The per-location ROW_NUMBER() dedup loop script used for the fact.deviceevent/userbehaviour cleanup (Section 4.4) was run ad hoc and is not part of the committed stored-procedure files. If it still exists anywhere, hand it off explicitly.</w:t>
      </w:r>
    </w:p>
    <w:p>
      <w:pPr>
        <w:pStyle w:val="Heading2"/>
        <w:spacing w:after="160" w:before="360"/>
      </w:pPr>
      <w:r>
        <w:rPr>
          <w:b/>
          <w:bCs/>
          <w:color w:val="1F2A44"/>
          <w:sz w:val="24"/>
          <w:szCs w:val="24"/>
        </w:rPr>
        <w:t xml:space="preserve">14.3 Known Data-Quality / Design Gaps</w:t>
      </w:r>
    </w:p>
    <w:p>
      <w:pPr>
        <w:pStyle w:val="ListParagraph"/>
        <w:numPr>
          <w:ilvl w:val="0"/>
          <w:numId w:val="1"/>
        </w:numPr>
        <w:spacing w:after="90" w:line="264"/>
      </w:pPr>
      <w:r>
        <w:rPr>
          <w:b w:val="false"/>
          <w:bCs w:val="false"/>
          <w:color w:val="2B2B2B"/>
          <w:sz w:val="21"/>
          <w:szCs w:val="21"/>
        </w:rPr>
        <w:t xml:space="preserve">Historically, zero BRIN coverage existed across roughly 35 tables on syscosmosts before the current 7-index BRIN rollout — worth re-auditing periodically as new large tables are added, since the pattern (append-heavy, time-correlated) recurs.</w:t>
      </w:r>
    </w:p>
    <w:p>
      <w:pPr>
        <w:pStyle w:val="ListParagraph"/>
        <w:numPr>
          <w:ilvl w:val="0"/>
          <w:numId w:val="1"/>
        </w:numPr>
        <w:spacing w:after="90" w:line="264"/>
      </w:pPr>
      <w:r>
        <w:rPr>
          <w:b w:val="false"/>
          <w:bCs w:val="false"/>
          <w:color w:val="2B2B2B"/>
          <w:sz w:val="21"/>
          <w:szCs w:val="21"/>
        </w:rPr>
        <w:t xml:space="preserve">Roughly 10 fact tables have no primary key at all (confirmed structurally by the very small number of PRIMARY KEY / UNIQUE constraints — 4 PKs and 2 unique indexes total — relative to 33 fact tables). Natural-key ON CONFLICT upserts still work without a formal PK/unique constraint as long as a matching unique index exists, but any fact table relying on ON CONFLICT without a backing unique index/constraint will fail outright the moment it is used — check before assuming a given fact table’s loader can be safely modified to use ON CONFLICT.</w:t>
      </w:r>
    </w:p>
    <w:p>
      <w:pPr>
        <w:pStyle w:val="ListParagraph"/>
        <w:numPr>
          <w:ilvl w:val="0"/>
          <w:numId w:val="1"/>
        </w:numPr>
        <w:spacing w:after="90" w:line="264"/>
      </w:pPr>
      <w:r>
        <w:rPr>
          <w:b w:val="false"/>
          <w:bCs w:val="false"/>
          <w:color w:val="2B2B2B"/>
          <w:sz w:val="21"/>
          <w:szCs w:val="21"/>
        </w:rPr>
        <w:t xml:space="preserve">No foreign-key constraints exist anywhere in the DDL export (0 REFERENCES). This is a deliberate Citus/distributed-table tradeoff, not an oversight, but it does mean referential integrity between dim and fact tables is enforced only by ETL discipline (the LEFT JOINs in the loader procedures), not by the database itself.</w:t>
      </w:r>
    </w:p>
    <w:p>
      <w:pPr>
        <w:pStyle w:val="Heading2"/>
        <w:spacing w:after="160" w:before="360"/>
      </w:pPr>
      <w:r>
        <w:rPr>
          <w:b/>
          <w:bCs/>
          <w:color w:val="1F2A44"/>
          <w:sz w:val="24"/>
          <w:szCs w:val="24"/>
        </w:rPr>
        <w:t xml:space="preserve">14.4 Monitoring Gap</w:t>
      </w:r>
    </w:p>
    <w:p>
      <w:pPr>
        <w:pStyle w:val="ListParagraph"/>
        <w:numPr>
          <w:ilvl w:val="0"/>
          <w:numId w:val="1"/>
        </w:numPr>
        <w:spacing w:after="90" w:line="264"/>
      </w:pPr>
      <w:r>
        <w:rPr>
          <w:b w:val="false"/>
          <w:bCs w:val="false"/>
          <w:color w:val="2B2B2B"/>
          <w:sz w:val="21"/>
          <w:szCs w:val="21"/>
        </w:rPr>
        <w:t xml:space="preserve">DimensionsFactsMaster has explicit failure branches only for the Dimensions and Facts steps (Section 12.2). A failure in BronzeSilverGASMaster or GEM_GSH_GOU_Master stops the pipeline without writing a failure row to fact.pipelinerunstatus — anyone alerting off that table should know a missing row does not necessarily mean success.</w:t>
      </w:r>
    </w:p>
    <w:p>
      <w:pPr>
        <w:pStyle w:val="Heading1"/>
        <w:pBdr>
          <w:bottom w:val="single" w:color="0F6E6B" w:sz="8" w:space="4"/>
        </w:pBdr>
        <w:spacing w:after="200" w:before="480"/>
      </w:pPr>
      <w:r>
        <w:rPr>
          <w:b/>
          <w:bCs/>
          <w:color w:val="1F2A44"/>
          <w:sz w:val="30"/>
          <w:szCs w:val="30"/>
        </w:rPr>
        <w:t xml:space="preserve">15. Recommended KT Session Plan</w:t>
      </w:r>
    </w:p>
    <w:p>
      <w:pPr>
        <w:spacing w:after="160" w:line="276"/>
      </w:pPr>
      <w:r>
        <w:rPr>
          <w:b w:val="false"/>
          <w:bCs w:val="false"/>
          <w:i w:val="false"/>
          <w:iCs w:val="false"/>
          <w:color w:val="2B2B2B"/>
          <w:sz w:val="21"/>
          <w:szCs w:val="21"/>
        </w:rPr>
        <w:t xml:space="preserve">Structured around how the incoming engineer will actually operate the system day to day, not around the order this document happens to present material in. Each session should leave behind a written artifact (this document plus any session-specific notes), since verbal KT does not survive contact with week three.</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300"/>
        <w:gridCol w:w="2400"/>
        <w:gridCol w:w="470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Session</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Document sections</w:t>
            </w:r>
          </w:p>
        </w:tc>
        <w:tc>
          <w:tcPr>
            <w:tcW w:type="dxa" w:w="4700"/>
            <w:shd w:fill="1F2A44" w:val="clear"/>
            <w:tcMar>
              <w:top w:type="dxa" w:w="100"/>
              <w:left w:type="dxa" w:w="120"/>
              <w:bottom w:type="dxa" w:w="100"/>
              <w:right w:type="dxa" w:w="120"/>
            </w:tcMar>
            <w:vAlign w:val="center"/>
          </w:tcPr>
          <w:p>
            <w:r>
              <w:rPr>
                <w:b/>
                <w:bCs/>
                <w:color w:val="FFFFFF"/>
                <w:sz w:val="19"/>
                <w:szCs w:val="19"/>
              </w:rPr>
              <w:t xml:space="preserve">What to actually do</w:t>
            </w:r>
          </w:p>
        </w:tc>
      </w:tr>
      <w:tr>
        <w:tc>
          <w:tcPr>
            <w:tcW w:type="dxa" w:w="2300"/>
            <w:tcMar>
              <w:top w:type="dxa" w:w="80"/>
              <w:left w:type="dxa" w:w="120"/>
              <w:bottom w:type="dxa" w:w="80"/>
              <w:right w:type="dxa" w:w="120"/>
            </w:tcMar>
            <w:vAlign w:val="center"/>
          </w:tcPr>
          <w:p>
            <w:r>
              <w:rPr>
                <w:b w:val="false"/>
                <w:bCs w:val="false"/>
                <w:color w:val="2B2B2B"/>
                <w:sz w:val="19"/>
                <w:szCs w:val="19"/>
              </w:rPr>
              <w:t xml:space="preserve">1. Architecture &amp; mental model</w:t>
            </w:r>
          </w:p>
        </w:tc>
        <w:tc>
          <w:tcPr>
            <w:tcW w:type="dxa" w:w="2400"/>
            <w:tcMar>
              <w:top w:type="dxa" w:w="80"/>
              <w:left w:type="dxa" w:w="120"/>
              <w:bottom w:type="dxa" w:w="80"/>
              <w:right w:type="dxa" w:w="120"/>
            </w:tcMar>
            <w:vAlign w:val="center"/>
          </w:tcPr>
          <w:p>
            <w:r>
              <w:rPr>
                <w:b w:val="false"/>
                <w:bCs w:val="false"/>
                <w:color w:val="2B2B2B"/>
                <w:sz w:val="19"/>
                <w:szCs w:val="19"/>
              </w:rPr>
              <w:t xml:space="preserve">Section 2 (medallion flow), Section 11–13 (ADF orchestration)</w:t>
            </w:r>
          </w:p>
        </w:tc>
        <w:tc>
          <w:tcPr>
            <w:tcW w:type="dxa" w:w="4700"/>
            <w:tcMar>
              <w:top w:type="dxa" w:w="80"/>
              <w:left w:type="dxa" w:w="120"/>
              <w:bottom w:type="dxa" w:w="80"/>
              <w:right w:type="dxa" w:w="120"/>
            </w:tcMar>
            <w:vAlign w:val="center"/>
          </w:tcPr>
          <w:p>
            <w:r>
              <w:rPr>
                <w:b w:val="false"/>
                <w:bCs w:val="false"/>
                <w:color w:val="2B2B2B"/>
                <w:sz w:val="19"/>
                <w:szCs w:val="19"/>
              </w:rPr>
              <w:t xml:space="preserve">Walk the Cosmos → Bronze → Silver → Gold flow end to end, then trace one DimensionsFactsMaster run live in the ADF monitoring UI while narrating each branch of the call tree in Section 12.3.</w:t>
            </w:r>
          </w:p>
        </w:tc>
      </w:tr>
      <w:tr>
        <w:tc>
          <w:tcPr>
            <w:tcW w:type="dxa" w:w="2300"/>
            <w:shd w:fill="EFF3F5" w:val="clear"/>
            <w:tcMar>
              <w:top w:type="dxa" w:w="80"/>
              <w:left w:type="dxa" w:w="120"/>
              <w:bottom w:type="dxa" w:w="80"/>
              <w:right w:type="dxa" w:w="120"/>
            </w:tcMar>
            <w:vAlign w:val="center"/>
          </w:tcPr>
          <w:p>
            <w:r>
              <w:rPr>
                <w:b w:val="false"/>
                <w:bCs w:val="false"/>
                <w:color w:val="2B2B2B"/>
                <w:sz w:val="19"/>
                <w:szCs w:val="19"/>
              </w:rPr>
              <w:t xml:space="preserve">2. The landmines session (highest value)</w:t>
            </w:r>
          </w:p>
        </w:tc>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Section 14 in full</w:t>
            </w:r>
          </w:p>
        </w:tc>
        <w:tc>
          <w:tcPr>
            <w:tcW w:type="dxa" w:w="4700"/>
            <w:shd w:fill="EFF3F5" w:val="clear"/>
            <w:tcMar>
              <w:top w:type="dxa" w:w="80"/>
              <w:left w:type="dxa" w:w="120"/>
              <w:bottom w:type="dxa" w:w="80"/>
              <w:right w:type="dxa" w:w="120"/>
            </w:tcMar>
            <w:vAlign w:val="center"/>
          </w:tcPr>
          <w:p>
            <w:r>
              <w:rPr>
                <w:b w:val="false"/>
                <w:bCs w:val="false"/>
                <w:color w:val="2B2B2B"/>
                <w:sz w:val="19"/>
                <w:szCs w:val="19"/>
              </w:rPr>
              <w:t xml:space="preserve">Go through every item in 14.1 and 14.2 explicitly. These are the things that take weeks to rediscover if undocumented — prioritize this over anything else if time is short.</w:t>
            </w:r>
          </w:p>
        </w:tc>
      </w:tr>
      <w:tr>
        <w:tc>
          <w:tcPr>
            <w:tcW w:type="dxa" w:w="2300"/>
            <w:tcMar>
              <w:top w:type="dxa" w:w="80"/>
              <w:left w:type="dxa" w:w="120"/>
              <w:bottom w:type="dxa" w:w="80"/>
              <w:right w:type="dxa" w:w="120"/>
            </w:tcMar>
            <w:vAlign w:val="center"/>
          </w:tcPr>
          <w:p>
            <w:r>
              <w:rPr>
                <w:b w:val="false"/>
                <w:bCs w:val="false"/>
                <w:color w:val="2B2B2B"/>
                <w:sz w:val="19"/>
                <w:szCs w:val="19"/>
              </w:rPr>
              <w:t xml:space="preserve">3. Runbooks for recurring issues</w:t>
            </w:r>
          </w:p>
        </w:tc>
        <w:tc>
          <w:tcPr>
            <w:tcW w:type="dxa" w:w="2400"/>
            <w:tcMar>
              <w:top w:type="dxa" w:w="80"/>
              <w:left w:type="dxa" w:w="120"/>
              <w:bottom w:type="dxa" w:w="80"/>
              <w:right w:type="dxa" w:w="120"/>
            </w:tcMar>
            <w:vAlign w:val="center"/>
          </w:tcPr>
          <w:p>
            <w:r>
              <w:rPr>
                <w:b w:val="false"/>
                <w:bCs w:val="false"/>
                <w:color w:val="2B2B2B"/>
                <w:sz w:val="19"/>
                <w:szCs w:val="19"/>
              </w:rPr>
              <w:t xml:space="preserve">Sections 9.1, 11.1, 13.2</w:t>
            </w:r>
          </w:p>
        </w:tc>
        <w:tc>
          <w:tcPr>
            <w:tcW w:type="dxa" w:w="4700"/>
            <w:tcMar>
              <w:top w:type="dxa" w:w="80"/>
              <w:left w:type="dxa" w:w="120"/>
              <w:bottom w:type="dxa" w:w="80"/>
              <w:right w:type="dxa" w:w="120"/>
            </w:tcMar>
            <w:vAlign w:val="center"/>
          </w:tcPr>
          <w:p>
            <w:r>
              <w:rPr>
                <w:b w:val="false"/>
                <w:bCs w:val="false"/>
                <w:color w:val="2B2B2B"/>
                <w:sz w:val="19"/>
                <w:szCs w:val="19"/>
              </w:rPr>
              <w:t xml:space="preserve">SSL/connection-exhaustion diagnosis and mitigation playbook; ADLS linked-service typing checklist; how to read etl.bronze_partition_registry.status to find a stuck partition.</w:t>
            </w:r>
          </w:p>
        </w:tc>
      </w:tr>
      <w:tr>
        <w:tc>
          <w:tcPr>
            <w:tcW w:type="dxa" w:w="2300"/>
            <w:shd w:fill="EFF3F5" w:val="clear"/>
            <w:tcMar>
              <w:top w:type="dxa" w:w="80"/>
              <w:left w:type="dxa" w:w="120"/>
              <w:bottom w:type="dxa" w:w="80"/>
              <w:right w:type="dxa" w:w="120"/>
            </w:tcMar>
            <w:vAlign w:val="center"/>
          </w:tcPr>
          <w:p>
            <w:r>
              <w:rPr>
                <w:b w:val="false"/>
                <w:bCs w:val="false"/>
                <w:color w:val="2B2B2B"/>
                <w:sz w:val="19"/>
                <w:szCs w:val="19"/>
              </w:rPr>
              <w:t xml:space="preserve">4. Live walkthrough: one full pipeline</w:t>
            </w:r>
          </w:p>
        </w:tc>
        <w:tc>
          <w:tcPr>
            <w:tcW w:type="dxa" w:w="2400"/>
            <w:shd w:fill="EFF3F5" w:val="clear"/>
            <w:tcMar>
              <w:top w:type="dxa" w:w="80"/>
              <w:left w:type="dxa" w:w="120"/>
              <w:bottom w:type="dxa" w:w="80"/>
              <w:right w:type="dxa" w:w="120"/>
            </w:tcMar>
            <w:vAlign w:val="center"/>
          </w:tcPr>
          <w:p>
            <w:r>
              <w:rPr>
                <w:b w:val="false"/>
                <w:bCs w:val="false"/>
                <w:color w:val="2B2B2B"/>
                <w:sz w:val="19"/>
                <w:szCs w:val="19"/>
              </w:rPr>
              <w:t xml:space="preserve">Section 4.3 + Section 13</w:t>
            </w:r>
          </w:p>
        </w:tc>
        <w:tc>
          <w:tcPr>
            <w:tcW w:type="dxa" w:w="4700"/>
            <w:shd w:fill="EFF3F5" w:val="clear"/>
            <w:tcMar>
              <w:top w:type="dxa" w:w="80"/>
              <w:left w:type="dxa" w:w="120"/>
              <w:bottom w:type="dxa" w:w="80"/>
              <w:right w:type="dxa" w:w="120"/>
            </w:tcMar>
            <w:vAlign w:val="center"/>
          </w:tcPr>
          <w:p>
            <w:r>
              <w:rPr>
                <w:b w:val="false"/>
                <w:bCs w:val="false"/>
                <w:color w:val="2B2B2B"/>
                <w:sz w:val="19"/>
                <w:szCs w:val="19"/>
              </w:rPr>
              <w:t xml:space="preserve">Trace one order from a raw Cosmos JSON document through stg.silver_all_transaction_entities → stg.silver_transaction_header → fact.transactionheader, showing every transformation and why the ON CONFLICT guard exists.</w:t>
            </w:r>
          </w:p>
        </w:tc>
      </w:tr>
      <w:tr>
        <w:tc>
          <w:tcPr>
            <w:tcW w:type="dxa" w:w="2300"/>
            <w:tcMar>
              <w:top w:type="dxa" w:w="80"/>
              <w:left w:type="dxa" w:w="120"/>
              <w:bottom w:type="dxa" w:w="80"/>
              <w:right w:type="dxa" w:w="120"/>
            </w:tcMar>
            <w:vAlign w:val="center"/>
          </w:tcPr>
          <w:p>
            <w:r>
              <w:rPr>
                <w:b w:val="false"/>
                <w:bCs w:val="false"/>
                <w:color w:val="2B2B2B"/>
                <w:sz w:val="19"/>
                <w:szCs w:val="19"/>
              </w:rPr>
              <w:t xml:space="preserve">5. Shadow / Q&amp;A</w:t>
            </w:r>
          </w:p>
        </w:tc>
        <w:tc>
          <w:tcPr>
            <w:tcW w:type="dxa" w:w="2400"/>
            <w:tcMar>
              <w:top w:type="dxa" w:w="80"/>
              <w:left w:type="dxa" w:w="120"/>
              <w:bottom w:type="dxa" w:w="80"/>
              <w:right w:type="dxa" w:w="120"/>
            </w:tcMar>
            <w:vAlign w:val="center"/>
          </w:tcPr>
          <w:p>
            <w:r>
              <w:rPr>
                <w:b w:val="false"/>
                <w:bCs w:val="false"/>
                <w:color w:val="2B2B2B"/>
                <w:sz w:val="19"/>
                <w:szCs w:val="19"/>
              </w:rPr>
              <w:t xml:space="preserve">Whole document</w:t>
            </w:r>
          </w:p>
        </w:tc>
        <w:tc>
          <w:tcPr>
            <w:tcW w:type="dxa" w:w="4700"/>
            <w:tcMar>
              <w:top w:type="dxa" w:w="80"/>
              <w:left w:type="dxa" w:w="120"/>
              <w:bottom w:type="dxa" w:w="80"/>
              <w:right w:type="dxa" w:w="120"/>
            </w:tcMar>
            <w:vAlign w:val="center"/>
          </w:tcPr>
          <w:p>
            <w:r>
              <w:rPr>
                <w:b w:val="false"/>
                <w:bCs w:val="false"/>
                <w:color w:val="2B2B2B"/>
                <w:sz w:val="19"/>
                <w:szCs w:val="19"/>
              </w:rPr>
              <w:t xml:space="preserve">Incoming engineer drives (makes a small, low-risk change or runs a diagnostic query) while narrating their own understanding back — this surfaces gaps in comprehension faster than more explanation would.</w:t>
            </w:r>
          </w:p>
        </w:tc>
      </w:tr>
    </w:tbl>
    <w:p>
      <w:r>
        <w:br w:type="page"/>
      </w:r>
    </w:p>
    <w:p>
      <w:pPr>
        <w:pStyle w:val="Heading1"/>
        <w:pBdr>
          <w:bottom w:val="single" w:color="0F6E6B" w:sz="8" w:space="4"/>
        </w:pBdr>
        <w:spacing w:after="200" w:before="480"/>
      </w:pPr>
      <w:r>
        <w:rPr>
          <w:b/>
          <w:bCs/>
          <w:color w:val="1F2A44"/>
          <w:sz w:val="30"/>
          <w:szCs w:val="30"/>
        </w:rPr>
        <w:t xml:space="preserve">16. Appendices</w:t>
      </w:r>
    </w:p>
    <w:p>
      <w:pPr>
        <w:pStyle w:val="Heading2"/>
        <w:spacing w:after="160" w:before="360"/>
      </w:pPr>
      <w:r>
        <w:rPr>
          <w:b/>
          <w:bCs/>
          <w:color w:val="1F2A44"/>
          <w:sz w:val="24"/>
          <w:szCs w:val="24"/>
        </w:rPr>
        <w:t xml:space="preserve">Appendix A — Full ADF Pipeline Inventory (67, alphabetical)</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4550"/>
        <w:gridCol w:w="4550"/>
      </w:tblGrid>
      <w:tr>
        <w:trPr>
          <w:tblHeader/>
        </w:trPr>
        <w:tc>
          <w:tcPr>
            <w:tcW w:type="dxa" w:w="4550"/>
            <w:shd w:fill="1F2A44" w:val="clear"/>
            <w:tcMar>
              <w:top w:type="dxa" w:w="100"/>
              <w:left w:type="dxa" w:w="120"/>
              <w:bottom w:type="dxa" w:w="100"/>
              <w:right w:type="dxa" w:w="120"/>
            </w:tcMar>
            <w:vAlign w:val="center"/>
          </w:tcPr>
          <w:p>
            <w:r>
              <w:rPr>
                <w:b/>
                <w:bCs/>
                <w:color w:val="FFFFFF"/>
                <w:sz w:val="19"/>
                <w:szCs w:val="19"/>
              </w:rPr>
              <w:t xml:space="preserve">Pipeline</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Pipeline</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ADFEventLoggingTemplate</w:t>
            </w:r>
          </w:p>
        </w:tc>
        <w:tc>
          <w:tcPr>
            <w:tcW w:type="dxa" w:w="4550"/>
            <w:tcMar>
              <w:top w:type="dxa" w:w="80"/>
              <w:left w:type="dxa" w:w="120"/>
              <w:bottom w:type="dxa" w:w="80"/>
              <w:right w:type="dxa" w:w="120"/>
            </w:tcMar>
            <w:vAlign w:val="center"/>
          </w:tcPr>
          <w:p>
            <w:r>
              <w:rPr>
                <w:b w:val="false"/>
                <w:bCs w:val="false"/>
                <w:color w:val="2B2B2B"/>
                <w:sz w:val="19"/>
                <w:szCs w:val="19"/>
              </w:rPr>
              <w:t xml:space="preserve">AbortedItemsToPG</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AbortedOrdersAndItemsToPG</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BronzeEventsToGAS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BronzeEventsToSilverAndGAS</w:t>
            </w:r>
          </w:p>
        </w:tc>
        <w:tc>
          <w:tcPr>
            <w:tcW w:type="dxa" w:w="4550"/>
            <w:tcMar>
              <w:top w:type="dxa" w:w="80"/>
              <w:left w:type="dxa" w:w="120"/>
              <w:bottom w:type="dxa" w:w="80"/>
              <w:right w:type="dxa" w:w="120"/>
            </w:tcMar>
            <w:vAlign w:val="center"/>
          </w:tcPr>
          <w:p>
            <w:r>
              <w:rPr>
                <w:b w:val="false"/>
                <w:bCs w:val="false"/>
                <w:color w:val="2B2B2B"/>
                <w:sz w:val="19"/>
                <w:szCs w:val="19"/>
              </w:rPr>
              <w:t xml:space="preserve">BronzeOrdersToGAS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BronzeOrdersToSilverAndGAS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BronzeSilverGASMaster</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ChildPipCompressedTrainingDataML</w:t>
            </w:r>
          </w:p>
        </w:tc>
        <w:tc>
          <w:tcPr>
            <w:tcW w:type="dxa" w:w="4550"/>
            <w:tcMar>
              <w:top w:type="dxa" w:w="80"/>
              <w:left w:type="dxa" w:w="120"/>
              <w:bottom w:type="dxa" w:w="80"/>
              <w:right w:type="dxa" w:w="120"/>
            </w:tcMar>
            <w:vAlign w:val="center"/>
          </w:tcPr>
          <w:p>
            <w:r>
              <w:rPr>
                <w:b w:val="false"/>
                <w:bCs w:val="false"/>
                <w:color w:val="2B2B2B"/>
                <w:sz w:val="19"/>
                <w:szCs w:val="19"/>
              </w:rPr>
              <w:t xml:space="preserve">ChildPipTrainingDataML</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CompressedTrainingDataForML</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CopyGOUViewsToGAS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CosmosDbChangeFeed</w:t>
            </w:r>
          </w:p>
        </w:tc>
        <w:tc>
          <w:tcPr>
            <w:tcW w:type="dxa" w:w="4550"/>
            <w:tcMar>
              <w:top w:type="dxa" w:w="80"/>
              <w:left w:type="dxa" w:w="120"/>
              <w:bottom w:type="dxa" w:w="80"/>
              <w:right w:type="dxa" w:w="120"/>
            </w:tcMar>
            <w:vAlign w:val="center"/>
          </w:tcPr>
          <w:p>
            <w:r>
              <w:rPr>
                <w:b w:val="false"/>
                <w:bCs w:val="false"/>
                <w:color w:val="2B2B2B"/>
                <w:sz w:val="19"/>
                <w:szCs w:val="19"/>
              </w:rPr>
              <w:t xml:space="preserve">DevicesAndPeripherals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DimensionABTests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DimensionFrequentCustomer</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DimensionKiosks</w:t>
            </w:r>
          </w:p>
        </w:tc>
        <w:tc>
          <w:tcPr>
            <w:tcW w:type="dxa" w:w="4550"/>
            <w:tcMar>
              <w:top w:type="dxa" w:w="80"/>
              <w:left w:type="dxa" w:w="120"/>
              <w:bottom w:type="dxa" w:w="80"/>
              <w:right w:type="dxa" w:w="120"/>
            </w:tcMar>
            <w:vAlign w:val="center"/>
          </w:tcPr>
          <w:p>
            <w:r>
              <w:rPr>
                <w:b w:val="false"/>
                <w:bCs w:val="false"/>
                <w:color w:val="2B2B2B"/>
                <w:sz w:val="19"/>
                <w:szCs w:val="19"/>
              </w:rPr>
              <w:t xml:space="preserve">DimensionMaster</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DimensionMasterItemsAndModifiers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DimensionMenuItems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DimensionMenuModifiers</w:t>
            </w:r>
          </w:p>
        </w:tc>
        <w:tc>
          <w:tcPr>
            <w:tcW w:type="dxa" w:w="4550"/>
            <w:tcMar>
              <w:top w:type="dxa" w:w="80"/>
              <w:left w:type="dxa" w:w="120"/>
              <w:bottom w:type="dxa" w:w="80"/>
              <w:right w:type="dxa" w:w="120"/>
            </w:tcMar>
            <w:vAlign w:val="center"/>
          </w:tcPr>
          <w:p>
            <w:r>
              <w:rPr>
                <w:b w:val="false"/>
                <w:bCs w:val="false"/>
                <w:color w:val="2B2B2B"/>
                <w:sz w:val="19"/>
                <w:szCs w:val="19"/>
              </w:rPr>
              <w:t xml:space="preserve">DimensionOrganizationLocationCatalog</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DimensionUpdateOrdersToAnalyticsDb</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DimensionWeatherInfo</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DimensionsFactsMaster</w:t>
            </w:r>
          </w:p>
        </w:tc>
        <w:tc>
          <w:tcPr>
            <w:tcW w:type="dxa" w:w="4550"/>
            <w:tcMar>
              <w:top w:type="dxa" w:w="80"/>
              <w:left w:type="dxa" w:w="120"/>
              <w:bottom w:type="dxa" w:w="80"/>
              <w:right w:type="dxa" w:w="120"/>
            </w:tcMar>
            <w:vAlign w:val="center"/>
          </w:tcPr>
          <w:p>
            <w:r>
              <w:rPr>
                <w:b w:val="false"/>
                <w:bCs w:val="false"/>
                <w:color w:val="2B2B2B"/>
                <w:sz w:val="19"/>
                <w:szCs w:val="19"/>
              </w:rPr>
              <w:t xml:space="preserve">FactsMaster</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FastPartitionTrainingDataForML</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GEMEventsToParquetsADLS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GEMUserBehaviourETL</w:t>
            </w:r>
          </w:p>
        </w:tc>
        <w:tc>
          <w:tcPr>
            <w:tcW w:type="dxa" w:w="4550"/>
            <w:tcMar>
              <w:top w:type="dxa" w:w="80"/>
              <w:left w:type="dxa" w:w="120"/>
              <w:bottom w:type="dxa" w:w="80"/>
              <w:right w:type="dxa" w:w="120"/>
            </w:tcMar>
            <w:vAlign w:val="center"/>
          </w:tcPr>
          <w:p>
            <w:r>
              <w:rPr>
                <w:b w:val="false"/>
                <w:bCs w:val="false"/>
                <w:color w:val="2B2B2B"/>
                <w:sz w:val="19"/>
                <w:szCs w:val="19"/>
              </w:rPr>
              <w:t xml:space="preserve">GEMUserBehaviourEventsToPG</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GEM_GSH_GOU_Master</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GrubbrrInstallBaseDashboard</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IngestToBronze</w:t>
            </w:r>
          </w:p>
        </w:tc>
        <w:tc>
          <w:tcPr>
            <w:tcW w:type="dxa" w:w="4550"/>
            <w:tcMar>
              <w:top w:type="dxa" w:w="80"/>
              <w:left w:type="dxa" w:w="120"/>
              <w:bottom w:type="dxa" w:w="80"/>
              <w:right w:type="dxa" w:w="120"/>
            </w:tcMar>
            <w:vAlign w:val="center"/>
          </w:tcPr>
          <w:p>
            <w:r>
              <w:rPr>
                <w:b w:val="false"/>
                <w:bCs w:val="false"/>
                <w:color w:val="2B2B2B"/>
                <w:sz w:val="19"/>
                <w:szCs w:val="19"/>
              </w:rPr>
              <w:t xml:space="preserve">ItemCategoriesCosmosToPG</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KiosksCosmosToPG</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MasterStoredProcedures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MenusCosmosToPG</w:t>
            </w:r>
          </w:p>
        </w:tc>
        <w:tc>
          <w:tcPr>
            <w:tcW w:type="dxa" w:w="4550"/>
            <w:tcMar>
              <w:top w:type="dxa" w:w="80"/>
              <w:left w:type="dxa" w:w="120"/>
              <w:bottom w:type="dxa" w:w="80"/>
              <w:right w:type="dxa" w:w="120"/>
            </w:tcMar>
            <w:vAlign w:val="center"/>
          </w:tcPr>
          <w:p>
            <w:r>
              <w:rPr>
                <w:b w:val="false"/>
                <w:bCs w:val="false"/>
                <w:color w:val="2B2B2B"/>
                <w:sz w:val="19"/>
                <w:szCs w:val="19"/>
              </w:rPr>
              <w:t xml:space="preserve">ModifierUpsellRecommendationsToGAS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OccasionSurveyOrdersFeedback</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OrderItemsNoHeadersStandAlone</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OrderTypesCosmosToPG</w:t>
            </w:r>
          </w:p>
        </w:tc>
        <w:tc>
          <w:tcPr>
            <w:tcW w:type="dxa" w:w="4550"/>
            <w:tcMar>
              <w:top w:type="dxa" w:w="80"/>
              <w:left w:type="dxa" w:w="120"/>
              <w:bottom w:type="dxa" w:w="80"/>
              <w:right w:type="dxa" w:w="120"/>
            </w:tcMar>
            <w:vAlign w:val="center"/>
          </w:tcPr>
          <w:p>
            <w:r>
              <w:rPr>
                <w:b w:val="false"/>
                <w:bCs w:val="false"/>
                <w:color w:val="2B2B2B"/>
                <w:sz w:val="19"/>
                <w:szCs w:val="19"/>
              </w:rPr>
              <w:t xml:space="preserve">RefreshInstallBaseDataset</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RefreshMLTables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SampleDataForMLTraining</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SeparateDatasetsForMLTraining</w:t>
            </w:r>
          </w:p>
        </w:tc>
        <w:tc>
          <w:tcPr>
            <w:tcW w:type="dxa" w:w="4550"/>
            <w:tcMar>
              <w:top w:type="dxa" w:w="80"/>
              <w:left w:type="dxa" w:w="120"/>
              <w:bottom w:type="dxa" w:w="80"/>
              <w:right w:type="dxa" w:w="120"/>
            </w:tcMar>
            <w:vAlign w:val="center"/>
          </w:tcPr>
          <w:p>
            <w:r>
              <w:rPr>
                <w:b w:val="false"/>
                <w:bCs w:val="false"/>
                <w:color w:val="2B2B2B"/>
                <w:sz w:val="19"/>
                <w:szCs w:val="19"/>
              </w:rPr>
              <w:t xml:space="preserve">SilverEventsToGAS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SilverOrdersToGAS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TestBronzeEventsToSilverAndGAS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TestBronzeOrdersToSilverAndGAS</w:t>
            </w:r>
          </w:p>
        </w:tc>
        <w:tc>
          <w:tcPr>
            <w:tcW w:type="dxa" w:w="4550"/>
            <w:tcMar>
              <w:top w:type="dxa" w:w="80"/>
              <w:left w:type="dxa" w:w="120"/>
              <w:bottom w:type="dxa" w:w="80"/>
              <w:right w:type="dxa" w:w="120"/>
            </w:tcMar>
            <w:vAlign w:val="center"/>
          </w:tcPr>
          <w:p>
            <w:r>
              <w:rPr>
                <w:b w:val="false"/>
                <w:bCs w:val="false"/>
                <w:color w:val="2B2B2B"/>
                <w:sz w:val="19"/>
                <w:szCs w:val="19"/>
              </w:rPr>
              <w:t xml:space="preserve">TestPipelines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TrainingDataForML</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TransactionPaymentRefunds</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UpdateDateTimeFields</w:t>
            </w:r>
          </w:p>
        </w:tc>
        <w:tc>
          <w:tcPr>
            <w:tcW w:type="dxa" w:w="4550"/>
            <w:tcMar>
              <w:top w:type="dxa" w:w="80"/>
              <w:left w:type="dxa" w:w="120"/>
              <w:bottom w:type="dxa" w:w="80"/>
              <w:right w:type="dxa" w:w="120"/>
            </w:tcMar>
            <w:vAlign w:val="center"/>
          </w:tcPr>
          <w:p>
            <w:r>
              <w:rPr>
                <w:b w:val="false"/>
                <w:bCs w:val="false"/>
                <w:color w:val="2B2B2B"/>
                <w:sz w:val="19"/>
                <w:szCs w:val="19"/>
              </w:rPr>
              <w:t xml:space="preserve">UpdateFieldsInTrxnFactTables</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UpsellRecommendationsToGAS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V2ChildPipTrainingDataML</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V2TrainingDataForML</w:t>
            </w:r>
          </w:p>
        </w:tc>
        <w:tc>
          <w:tcPr>
            <w:tcW w:type="dxa" w:w="4550"/>
            <w:tcMar>
              <w:top w:type="dxa" w:w="80"/>
              <w:left w:type="dxa" w:w="120"/>
              <w:bottom w:type="dxa" w:w="80"/>
              <w:right w:type="dxa" w:w="120"/>
            </w:tcMar>
            <w:vAlign w:val="center"/>
          </w:tcPr>
          <w:p>
            <w:r>
              <w:rPr>
                <w:b w:val="false"/>
                <w:bCs w:val="false"/>
                <w:color w:val="2B2B2B"/>
                <w:sz w:val="19"/>
                <w:szCs w:val="19"/>
              </w:rPr>
              <w:t xml:space="preserve">gasTransactionsToAnalyticsDb</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gemCEPIncidents</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gemEventsToAnalyticsDb</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gemOrderTimingtoAnalyticsDb</w:t>
            </w:r>
          </w:p>
        </w:tc>
        <w:tc>
          <w:tcPr>
            <w:tcW w:type="dxa" w:w="4550"/>
            <w:tcMar>
              <w:top w:type="dxa" w:w="80"/>
              <w:left w:type="dxa" w:w="120"/>
              <w:bottom w:type="dxa" w:w="80"/>
              <w:right w:type="dxa" w:w="120"/>
            </w:tcMar>
            <w:vAlign w:val="center"/>
          </w:tcPr>
          <w:p>
            <w:r>
              <w:rPr>
                <w:b w:val="false"/>
                <w:bCs w:val="false"/>
                <w:color w:val="2B2B2B"/>
                <w:sz w:val="19"/>
                <w:szCs w:val="19"/>
              </w:rPr>
              <w:t xml:space="preserve">gemUserBehaviourToAnalyticsDb</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gemUserCheckedInToPG</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gshDeviceHealthToAnalyticsDbFactDeviceState</w:t>
            </w:r>
          </w:p>
        </w:tc>
      </w:tr>
      <w:tr>
        <w:tc>
          <w:tcPr>
            <w:tcW w:type="dxa" w:w="4550"/>
            <w:tcMar>
              <w:top w:type="dxa" w:w="80"/>
              <w:left w:type="dxa" w:w="120"/>
              <w:bottom w:type="dxa" w:w="80"/>
              <w:right w:type="dxa" w:w="120"/>
            </w:tcMar>
            <w:vAlign w:val="center"/>
          </w:tcPr>
          <w:p>
            <w:r>
              <w:rPr>
                <w:b w:val="false"/>
                <w:bCs w:val="false"/>
                <w:color w:val="2B2B2B"/>
                <w:sz w:val="19"/>
                <w:szCs w:val="19"/>
              </w:rPr>
              <w:t xml:space="preserve">gshDeviceTelemetryToAnalyticsDb</w:t>
            </w:r>
          </w:p>
        </w:tc>
        <w:tc>
          <w:tcPr>
            <w:tcW w:type="dxa" w:w="4550"/>
            <w:tcMar>
              <w:top w:type="dxa" w:w="80"/>
              <w:left w:type="dxa" w:w="120"/>
              <w:bottom w:type="dxa" w:w="80"/>
              <w:right w:type="dxa" w:w="120"/>
            </w:tcMar>
            <w:vAlign w:val="center"/>
          </w:tcPr>
          <w:p>
            <w:r>
              <w:rPr>
                <w:b w:val="false"/>
                <w:bCs w:val="false"/>
                <w:color w:val="2B2B2B"/>
                <w:sz w:val="19"/>
                <w:szCs w:val="19"/>
              </w:rPr>
              <w:t xml:space="preserve">gxsTransactionsToAnalyticsDb</w:t>
            </w:r>
          </w:p>
        </w:tc>
      </w:tr>
      <w:tr>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orderHeadersNoItemsToAnalyticsDb</w:t>
            </w:r>
          </w:p>
        </w:tc>
        <w:tc>
          <w:tcPr>
            <w:tcW w:type="dxa" w:w="4550"/>
            <w:shd w:fill="EFF3F5" w:val="clear"/>
            <w:tcMar>
              <w:top w:type="dxa" w:w="80"/>
              <w:left w:type="dxa" w:w="120"/>
              <w:bottom w:type="dxa" w:w="80"/>
              <w:right w:type="dxa" w:w="120"/>
            </w:tcMar>
            <w:vAlign w:val="center"/>
          </w:tcPr>
          <w:p>
            <w:r>
              <w:rPr>
                <w:b w:val="false"/>
                <w:bCs w:val="false"/>
                <w:color w:val="2B2B2B"/>
                <w:sz w:val="19"/>
                <w:szCs w:val="19"/>
              </w:rPr>
              <w:t xml:space="preserve"/>
            </w:r>
          </w:p>
        </w:tc>
      </w:tr>
    </w:tbl>
    <w:p>
      <w:pPr>
        <w:pStyle w:val="Heading2"/>
        <w:spacing w:after="160" w:before="360"/>
      </w:pPr>
      <w:r>
        <w:rPr>
          <w:b/>
          <w:bCs/>
          <w:color w:val="1F2A44"/>
          <w:sz w:val="24"/>
          <w:szCs w:val="24"/>
        </w:rPr>
        <w:t xml:space="preserve">Appendix B — Source File Cross-Reference</w:t>
      </w:r>
    </w:p>
    <w:p>
      <w:pPr>
        <w:spacing w:after="160" w:line="276"/>
      </w:pPr>
      <w:r>
        <w:rPr>
          <w:b w:val="false"/>
          <w:bCs w:val="false"/>
          <w:i w:val="false"/>
          <w:iCs w:val="false"/>
          <w:color w:val="2B2B2B"/>
          <w:sz w:val="21"/>
          <w:szCs w:val="21"/>
        </w:rPr>
        <w:t xml:space="preserve">Which of the nine uploaded artifacts backs each part of this document, for whoever needs to go re-verify something against the raw source rather than this summary.</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3000"/>
        <w:gridCol w:w="3400"/>
        <w:gridCol w:w="270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Source file</w:t>
            </w:r>
          </w:p>
        </w:tc>
        <w:tc>
          <w:tcPr>
            <w:tcW w:type="dxa" w:w="3400"/>
            <w:shd w:fill="1F2A44" w:val="clear"/>
            <w:tcMar>
              <w:top w:type="dxa" w:w="100"/>
              <w:left w:type="dxa" w:w="120"/>
              <w:bottom w:type="dxa" w:w="100"/>
              <w:right w:type="dxa" w:w="120"/>
            </w:tcMar>
            <w:vAlign w:val="center"/>
          </w:tcPr>
          <w:p>
            <w:r>
              <w:rPr>
                <w:b/>
                <w:bCs/>
                <w:color w:val="FFFFFF"/>
                <w:sz w:val="19"/>
                <w:szCs w:val="19"/>
              </w:rPr>
              <w:t xml:space="preserve">What it contains</w:t>
            </w:r>
          </w:p>
        </w:tc>
        <w:tc>
          <w:tcPr>
            <w:tcW w:type="dxa" w:w="2700"/>
            <w:shd w:fill="1F2A44" w:val="clear"/>
            <w:tcMar>
              <w:top w:type="dxa" w:w="100"/>
              <w:left w:type="dxa" w:w="120"/>
              <w:bottom w:type="dxa" w:w="100"/>
              <w:right w:type="dxa" w:w="120"/>
            </w:tcMar>
            <w:vAlign w:val="center"/>
          </w:tcPr>
          <w:p>
            <w:r>
              <w:rPr>
                <w:b/>
                <w:bCs/>
                <w:color w:val="FFFFFF"/>
                <w:sz w:val="19"/>
                <w:szCs w:val="19"/>
              </w:rPr>
              <w:t xml:space="preserve">Covered in</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gas_db_ddls_merged_20260530.sql</w:t>
            </w:r>
          </w:p>
        </w:tc>
        <w:tc>
          <w:tcPr>
            <w:tcW w:type="dxa" w:w="3400"/>
            <w:tcMar>
              <w:top w:type="dxa" w:w="80"/>
              <w:left w:type="dxa" w:w="120"/>
              <w:bottom w:type="dxa" w:w="80"/>
              <w:right w:type="dxa" w:w="120"/>
            </w:tcMar>
            <w:vAlign w:val="center"/>
          </w:tcPr>
          <w:p>
            <w:r>
              <w:rPr>
                <w:b w:val="false"/>
                <w:bCs w:val="false"/>
                <w:color w:val="2B2B2B"/>
                <w:sz w:val="19"/>
                <w:szCs w:val="19"/>
              </w:rPr>
              <w:t xml:space="preserve">Full DDL for all 128 tables across dim/fact/ml/stg/etl.</w:t>
            </w:r>
          </w:p>
        </w:tc>
        <w:tc>
          <w:tcPr>
            <w:tcW w:type="dxa" w:w="2700"/>
            <w:tcMar>
              <w:top w:type="dxa" w:w="80"/>
              <w:left w:type="dxa" w:w="120"/>
              <w:bottom w:type="dxa" w:w="80"/>
              <w:right w:type="dxa" w:w="120"/>
            </w:tcMar>
            <w:vAlign w:val="center"/>
          </w:tcPr>
          <w:p>
            <w:r>
              <w:rPr>
                <w:b w:val="false"/>
                <w:bCs w:val="false"/>
                <w:color w:val="2B2B2B"/>
                <w:sz w:val="19"/>
                <w:szCs w:val="19"/>
              </w:rPr>
              <w:t xml:space="preserve">Sections 3–7</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gas_indexes.sql</w:t>
            </w:r>
          </w:p>
        </w:tc>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All 84 active + 18 commented-out index/constraint statements.</w:t>
            </w:r>
          </w:p>
        </w:tc>
        <w:tc>
          <w:tcPr>
            <w:tcW w:type="dxa" w:w="2700"/>
            <w:shd w:fill="EFF3F5" w:val="clear"/>
            <w:tcMar>
              <w:top w:type="dxa" w:w="80"/>
              <w:left w:type="dxa" w:w="120"/>
              <w:bottom w:type="dxa" w:w="80"/>
              <w:right w:type="dxa" w:w="120"/>
            </w:tcMar>
            <w:vAlign w:val="center"/>
          </w:tcPr>
          <w:p>
            <w:r>
              <w:rPr>
                <w:b w:val="false"/>
                <w:bCs w:val="false"/>
                <w:color w:val="2B2B2B"/>
                <w:sz w:val="19"/>
                <w:szCs w:val="19"/>
              </w:rPr>
              <w:t xml:space="preserve">Section 9</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gas_db_sequence_synchronization.sql</w:t>
            </w:r>
          </w:p>
        </w:tc>
        <w:tc>
          <w:tcPr>
            <w:tcW w:type="dxa" w:w="3400"/>
            <w:tcMar>
              <w:top w:type="dxa" w:w="80"/>
              <w:left w:type="dxa" w:w="120"/>
              <w:bottom w:type="dxa" w:w="80"/>
              <w:right w:type="dxa" w:w="120"/>
            </w:tcMar>
            <w:vAlign w:val="center"/>
          </w:tcPr>
          <w:p>
            <w:r>
              <w:rPr>
                <w:b w:val="false"/>
                <w:bCs w:val="false"/>
                <w:color w:val="2B2B2B"/>
                <w:sz w:val="19"/>
                <w:szCs w:val="19"/>
              </w:rPr>
              <w:t xml:space="preserve">The 12 manually-managed surrogate-key sequences.</w:t>
            </w:r>
          </w:p>
        </w:tc>
        <w:tc>
          <w:tcPr>
            <w:tcW w:type="dxa" w:w="2700"/>
            <w:tcMar>
              <w:top w:type="dxa" w:w="80"/>
              <w:left w:type="dxa" w:w="120"/>
              <w:bottom w:type="dxa" w:w="80"/>
              <w:right w:type="dxa" w:w="120"/>
            </w:tcMar>
            <w:vAlign w:val="center"/>
          </w:tcPr>
          <w:p>
            <w:r>
              <w:rPr>
                <w:b w:val="false"/>
                <w:bCs w:val="false"/>
                <w:color w:val="2B2B2B"/>
                <w:sz w:val="19"/>
                <w:szCs w:val="19"/>
              </w:rPr>
              <w:t xml:space="preserve">Section 8</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dim_stored_procs.sql</w:t>
            </w:r>
          </w:p>
        </w:tc>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20 dim schema stored procedures.</w:t>
            </w:r>
          </w:p>
        </w:tc>
        <w:tc>
          <w:tcPr>
            <w:tcW w:type="dxa" w:w="2700"/>
            <w:shd w:fill="EFF3F5" w:val="clear"/>
            <w:tcMar>
              <w:top w:type="dxa" w:w="80"/>
              <w:left w:type="dxa" w:w="120"/>
              <w:bottom w:type="dxa" w:w="80"/>
              <w:right w:type="dxa" w:w="120"/>
            </w:tcMar>
            <w:vAlign w:val="center"/>
          </w:tcPr>
          <w:p>
            <w:r>
              <w:rPr>
                <w:b w:val="false"/>
                <w:bCs w:val="false"/>
                <w:color w:val="2B2B2B"/>
                <w:sz w:val="19"/>
                <w:szCs w:val="19"/>
              </w:rPr>
              <w:t xml:space="preserve">Section 3</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fact_stored_procs.sql</w:t>
            </w:r>
          </w:p>
        </w:tc>
        <w:tc>
          <w:tcPr>
            <w:tcW w:type="dxa" w:w="3400"/>
            <w:tcMar>
              <w:top w:type="dxa" w:w="80"/>
              <w:left w:type="dxa" w:w="120"/>
              <w:bottom w:type="dxa" w:w="80"/>
              <w:right w:type="dxa" w:w="120"/>
            </w:tcMar>
            <w:vAlign w:val="center"/>
          </w:tcPr>
          <w:p>
            <w:r>
              <w:rPr>
                <w:b w:val="false"/>
                <w:bCs w:val="false"/>
                <w:color w:val="2B2B2B"/>
                <w:sz w:val="19"/>
                <w:szCs w:val="19"/>
              </w:rPr>
              <w:t xml:space="preserve">34 fact schema procedures + 2 utility functions.</w:t>
            </w:r>
          </w:p>
        </w:tc>
        <w:tc>
          <w:tcPr>
            <w:tcW w:type="dxa" w:w="2700"/>
            <w:tcMar>
              <w:top w:type="dxa" w:w="80"/>
              <w:left w:type="dxa" w:w="120"/>
              <w:bottom w:type="dxa" w:w="80"/>
              <w:right w:type="dxa" w:w="120"/>
            </w:tcMar>
            <w:vAlign w:val="center"/>
          </w:tcPr>
          <w:p>
            <w:r>
              <w:rPr>
                <w:b w:val="false"/>
                <w:bCs w:val="false"/>
                <w:color w:val="2B2B2B"/>
                <w:sz w:val="19"/>
                <w:szCs w:val="19"/>
              </w:rPr>
              <w:t xml:space="preserve">Section 4</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ml_stored_procs.sql</w:t>
            </w:r>
          </w:p>
        </w:tc>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8 ml schema stored procedures.</w:t>
            </w:r>
          </w:p>
        </w:tc>
        <w:tc>
          <w:tcPr>
            <w:tcW w:type="dxa" w:w="2700"/>
            <w:shd w:fill="EFF3F5" w:val="clear"/>
            <w:tcMar>
              <w:top w:type="dxa" w:w="80"/>
              <w:left w:type="dxa" w:w="120"/>
              <w:bottom w:type="dxa" w:w="80"/>
              <w:right w:type="dxa" w:w="120"/>
            </w:tcMar>
            <w:vAlign w:val="center"/>
          </w:tcPr>
          <w:p>
            <w:r>
              <w:rPr>
                <w:b w:val="false"/>
                <w:bCs w:val="false"/>
                <w:color w:val="2B2B2B"/>
                <w:sz w:val="19"/>
                <w:szCs w:val="19"/>
              </w:rPr>
              <w:t xml:space="preserve">Section 5</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etl_bronze_partition_registry.sql</w:t>
            </w:r>
          </w:p>
        </w:tc>
        <w:tc>
          <w:tcPr>
            <w:tcW w:type="dxa" w:w="3400"/>
            <w:tcMar>
              <w:top w:type="dxa" w:w="80"/>
              <w:left w:type="dxa" w:w="120"/>
              <w:bottom w:type="dxa" w:w="80"/>
              <w:right w:type="dxa" w:w="120"/>
            </w:tcMar>
            <w:vAlign w:val="center"/>
          </w:tcPr>
          <w:p>
            <w:r>
              <w:rPr>
                <w:b w:val="false"/>
                <w:bCs w:val="false"/>
                <w:color w:val="2B2B2B"/>
                <w:sz w:val="19"/>
                <w:szCs w:val="19"/>
              </w:rPr>
              <w:t xml:space="preserve">etl.bronze_partition_registry DDL + working watermark queries.</w:t>
            </w:r>
          </w:p>
        </w:tc>
        <w:tc>
          <w:tcPr>
            <w:tcW w:type="dxa" w:w="2700"/>
            <w:tcMar>
              <w:top w:type="dxa" w:w="80"/>
              <w:left w:type="dxa" w:w="120"/>
              <w:bottom w:type="dxa" w:w="80"/>
              <w:right w:type="dxa" w:w="120"/>
            </w:tcMar>
            <w:vAlign w:val="center"/>
          </w:tcPr>
          <w:p>
            <w:r>
              <w:rPr>
                <w:b w:val="false"/>
                <w:bCs w:val="false"/>
                <w:color w:val="2B2B2B"/>
                <w:sz w:val="19"/>
                <w:szCs w:val="19"/>
              </w:rPr>
              <w:t xml:space="preserve">Section 7.1</w:t>
            </w:r>
          </w:p>
        </w:tc>
      </w:tr>
      <w:tr>
        <w:tc>
          <w:tcPr>
            <w:tcW w:type="dxa" w:w="3000"/>
            <w:shd w:fill="EFF3F5" w:val="clear"/>
            <w:tcMar>
              <w:top w:type="dxa" w:w="80"/>
              <w:left w:type="dxa" w:w="120"/>
              <w:bottom w:type="dxa" w:w="80"/>
              <w:right w:type="dxa" w:w="120"/>
            </w:tcMar>
            <w:vAlign w:val="center"/>
          </w:tcPr>
          <w:p>
            <w:r>
              <w:rPr>
                <w:b w:val="false"/>
                <w:bCs w:val="false"/>
                <w:color w:val="2B2B2B"/>
                <w:sz w:val="19"/>
                <w:szCs w:val="19"/>
              </w:rPr>
              <w:t xml:space="preserve">silver_usp_etl_truncate_silver_staging.sql</w:t>
            </w:r>
          </w:p>
        </w:tc>
        <w:tc>
          <w:tcPr>
            <w:tcW w:type="dxa" w:w="3400"/>
            <w:shd w:fill="EFF3F5" w:val="clear"/>
            <w:tcMar>
              <w:top w:type="dxa" w:w="80"/>
              <w:left w:type="dxa" w:w="120"/>
              <w:bottom w:type="dxa" w:w="80"/>
              <w:right w:type="dxa" w:w="120"/>
            </w:tcMar>
            <w:vAlign w:val="center"/>
          </w:tcPr>
          <w:p>
            <w:r>
              <w:rPr>
                <w:b w:val="false"/>
                <w:bCs w:val="false"/>
                <w:color w:val="2B2B2B"/>
                <w:sz w:val="19"/>
                <w:szCs w:val="19"/>
              </w:rPr>
              <w:t xml:space="preserve">etl.truncate_silver_staging() procedure body.</w:t>
            </w:r>
          </w:p>
        </w:tc>
        <w:tc>
          <w:tcPr>
            <w:tcW w:type="dxa" w:w="2700"/>
            <w:shd w:fill="EFF3F5" w:val="clear"/>
            <w:tcMar>
              <w:top w:type="dxa" w:w="80"/>
              <w:left w:type="dxa" w:w="120"/>
              <w:bottom w:type="dxa" w:w="80"/>
              <w:right w:type="dxa" w:w="120"/>
            </w:tcMar>
            <w:vAlign w:val="center"/>
          </w:tcPr>
          <w:p>
            <w:r>
              <w:rPr>
                <w:b w:val="false"/>
                <w:bCs w:val="false"/>
                <w:color w:val="2B2B2B"/>
                <w:sz w:val="19"/>
                <w:szCs w:val="19"/>
              </w:rPr>
              <w:t xml:space="preserve">Section 7.2</w:t>
            </w:r>
          </w:p>
        </w:tc>
      </w:tr>
      <w:tr>
        <w:tc>
          <w:tcPr>
            <w:tcW w:type="dxa" w:w="3000"/>
            <w:tcMar>
              <w:top w:type="dxa" w:w="80"/>
              <w:left w:type="dxa" w:w="120"/>
              <w:bottom w:type="dxa" w:w="80"/>
              <w:right w:type="dxa" w:w="120"/>
            </w:tcMar>
            <w:vAlign w:val="center"/>
          </w:tcPr>
          <w:p>
            <w:r>
              <w:rPr>
                <w:b w:val="false"/>
                <w:bCs w:val="false"/>
                <w:color w:val="2B2B2B"/>
                <w:sz w:val="19"/>
                <w:szCs w:val="19"/>
              </w:rPr>
              <w:t xml:space="preserve">ARMTemplateForFactory.json</w:t>
            </w:r>
          </w:p>
        </w:tc>
        <w:tc>
          <w:tcPr>
            <w:tcW w:type="dxa" w:w="3400"/>
            <w:tcMar>
              <w:top w:type="dxa" w:w="80"/>
              <w:left w:type="dxa" w:w="120"/>
              <w:bottom w:type="dxa" w:w="80"/>
              <w:right w:type="dxa" w:w="120"/>
            </w:tcMar>
            <w:vAlign w:val="center"/>
          </w:tcPr>
          <w:p>
            <w:r>
              <w:rPr>
                <w:b w:val="false"/>
                <w:bCs w:val="false"/>
                <w:color w:val="2B2B2B"/>
                <w:sz w:val="19"/>
                <w:szCs w:val="19"/>
              </w:rPr>
              <w:t xml:space="preserve">Full ADF ARM export: 67 pipelines, 80 data flows, 198 datasets, 15 linked services, 4 triggers.</w:t>
            </w:r>
          </w:p>
        </w:tc>
        <w:tc>
          <w:tcPr>
            <w:tcW w:type="dxa" w:w="2700"/>
            <w:tcMar>
              <w:top w:type="dxa" w:w="80"/>
              <w:left w:type="dxa" w:w="120"/>
              <w:bottom w:type="dxa" w:w="80"/>
              <w:right w:type="dxa" w:w="120"/>
            </w:tcMar>
            <w:vAlign w:val="center"/>
          </w:tcPr>
          <w:p>
            <w:r>
              <w:rPr>
                <w:b w:val="false"/>
                <w:bCs w:val="false"/>
                <w:color w:val="2B2B2B"/>
                <w:sz w:val="19"/>
                <w:szCs w:val="19"/>
              </w:rPr>
              <w:t xml:space="preserve">Sections 11–13</w:t>
            </w:r>
          </w:p>
        </w:tc>
      </w:tr>
    </w:tbl>
    <w:p>
      <w:pPr>
        <w:pStyle w:val="Heading2"/>
        <w:spacing w:after="160" w:before="360"/>
      </w:pPr>
      <w:r>
        <w:rPr>
          <w:b/>
          <w:bCs/>
          <w:color w:val="1F2A44"/>
          <w:sz w:val="24"/>
          <w:szCs w:val="24"/>
        </w:rPr>
        <w:t xml:space="preserve">Appendix C — Document Change Log</w:t>
      </w:r>
    </w:p>
    <w:tbl>
      <w:tblPr>
        <w:tblW w:type="pct" w:w="100%"/>
        <w:tblBorders>
          <w:top w:val="single" w:color="D8DEE3" w:sz="2"/>
          <w:left w:val="single" w:color="D8DEE3" w:sz="2"/>
          <w:bottom w:val="single" w:color="D8DEE3" w:sz="2"/>
          <w:right w:val="single" w:color="D8DEE3" w:sz="2"/>
          <w:insideH w:val="single" w:color="D8DEE3" w:sz="2"/>
          <w:insideV w:val="single" w:color="D8DEE3" w:sz="2"/>
        </w:tblBorders>
      </w:tblPr>
      <w:tblGrid>
        <w:gridCol w:w="2200"/>
        <w:gridCol w:w="690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Date</w:t>
            </w:r>
          </w:p>
        </w:tc>
        <w:tc>
          <w:tcPr>
            <w:tcW w:type="dxa" w:w="6900"/>
            <w:shd w:fill="1F2A44" w:val="clear"/>
            <w:tcMar>
              <w:top w:type="dxa" w:w="100"/>
              <w:left w:type="dxa" w:w="120"/>
              <w:bottom w:type="dxa" w:w="100"/>
              <w:right w:type="dxa" w:w="120"/>
            </w:tcMar>
            <w:vAlign w:val="center"/>
          </w:tcPr>
          <w:p>
            <w:r>
              <w:rPr>
                <w:b/>
                <w:bCs/>
                <w:color w:val="FFFFFF"/>
                <w:sz w:val="19"/>
                <w:szCs w:val="19"/>
              </w:rPr>
              <w:t xml:space="preserve">Change</w:t>
            </w:r>
          </w:p>
        </w:tc>
      </w:tr>
      <w:tr>
        <w:tc>
          <w:tcPr>
            <w:tcW w:type="dxa" w:w="2200"/>
            <w:tcMar>
              <w:top w:type="dxa" w:w="80"/>
              <w:left w:type="dxa" w:w="120"/>
              <w:bottom w:type="dxa" w:w="80"/>
              <w:right w:type="dxa" w:w="120"/>
            </w:tcMar>
            <w:vAlign w:val="center"/>
          </w:tcPr>
          <w:p>
            <w:r>
              <w:rPr>
                <w:b w:val="false"/>
                <w:bCs w:val="false"/>
                <w:color w:val="2B2B2B"/>
                <w:sz w:val="19"/>
                <w:szCs w:val="19"/>
              </w:rPr>
              <w:t xml:space="preserve">July 2026</w:t>
            </w:r>
          </w:p>
        </w:tc>
        <w:tc>
          <w:tcPr>
            <w:tcW w:type="dxa" w:w="6900"/>
            <w:tcMar>
              <w:top w:type="dxa" w:w="80"/>
              <w:left w:type="dxa" w:w="120"/>
              <w:bottom w:type="dxa" w:w="80"/>
              <w:right w:type="dxa" w:w="120"/>
            </w:tcMar>
            <w:vAlign w:val="center"/>
          </w:tcPr>
          <w:p>
            <w:r>
              <w:rPr>
                <w:b w:val="false"/>
                <w:bCs w:val="false"/>
                <w:color w:val="2B2B2B"/>
                <w:sz w:val="19"/>
                <w:szCs w:val="19"/>
              </w:rPr>
              <w:t xml:space="preserve">Initial version, generated from the nine source files listed above ahead of end-of-July departure KT sessions.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Page </w:t>
    </w:r>
    <w:r>
      <w:rPr>
        <w:color w:val="8A93A0"/>
        <w:sz w:val="16"/>
        <w:szCs w:val="16"/>
      </w:rPr>
      <w:fldChar w:fldCharType="begin"/>
      <w:instrText xml:space="preserve">PAGE</w:instrText>
      <w:fldChar w:fldCharType="separate"/>
      <w:fldChar w:fldCharType="end"/>
    </w:r>
    <w:r>
      <w:rPr>
        <w:color w:val="8A93A0"/>
        <w:sz w:val="16"/>
        <w:szCs w:val="16"/>
      </w:rPr>
      <w:t xml:space="preserve"> of </w:t>
    </w:r>
    <w:r>
      <w:rPr>
        <w:color w:val="8A93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A93A0"/>
        <w:sz w:val="16"/>
        <w:szCs w:val="16"/>
      </w:rPr>
      <w:t xml:space="preserve">gas_db Knowledge Transfer</w:t>
    </w:r>
    <w:r>
      <w:rPr>
        <w:sz w:val="16"/>
        <w:szCs w:val="16"/>
      </w:rPr>
      <w:t xml:space="preserve">	</w:t>
    </w:r>
    <w:r>
      <w:rPr>
        <w:i/>
        <w:iCs/>
        <w:color w:val="8A93A0"/>
        <w:sz w:val="16"/>
        <w:szCs w:val="16"/>
      </w:rPr>
      <w:t xml:space="preserve">Grubbrr Data Warehouse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2026-07-20T06:29:19.179Z</dcterms:created>
  <dcterms:modified xsi:type="dcterms:W3CDTF">2026-07-20T06:29:19.192Z</dcterms:modified>
</cp:coreProperties>
</file>

<file path=docProps/custom.xml><?xml version="1.0" encoding="utf-8"?>
<Properties xmlns="http://schemas.openxmlformats.org/officeDocument/2006/custom-properties" xmlns:vt="http://schemas.openxmlformats.org/officeDocument/2006/docPropsVTypes"/>
</file>