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Grubbrr Data Warehouse — Architecture Overview</w:t>
      </w:r>
    </w:p>
    <w:p>
      <w:pPr>
        <w:spacing w:after="140"/>
      </w:pPr>
      <w:r>
        <w:rPr>
          <w:b w:val="false"/>
          <w:bCs w:val="false"/>
          <w:i/>
          <w:iCs/>
        </w:rPr>
        <w:t xml:space="preserve">Owner: Nate  |  Last updated: July 2026</w:t>
      </w:r>
    </w:p>
    <w:p>
      <w:pPr>
        <w:pStyle w:val="Heading1"/>
        <w:spacing w:after="160" w:before="320"/>
      </w:pPr>
      <w:r>
        <w:t xml:space="preserve">1. Purpose &amp; Scope</w:t>
      </w:r>
    </w:p>
    <w:p>
      <w:pPr>
        <w:spacing w:after="140"/>
      </w:pPr>
      <w:r>
        <w:rPr>
          <w:b w:val="false"/>
          <w:bCs w:val="false"/>
          <w:i w:val="false"/>
          <w:iCs w:val="false"/>
        </w:rPr>
        <w:t xml:space="preserve">This document describes the architecture of gas_db, Grubbrr's analytics data warehouse: how data flows from operational Cosmos DB sources into a queryable PostgreSQL warehouse, the storage layers involved, the orchestration layer (Azure Data Factory), and the conventions the codebase follows. It is intended as a reference for engineers working on ETL pipelines, dimensional modeling, or ML feature pipelines against this warehouse.</w:t>
      </w:r>
    </w:p>
    <w:p>
      <w:pPr>
        <w:pStyle w:val="Heading1"/>
        <w:spacing w:after="160" w:before="320"/>
      </w:pPr>
      <w:r>
        <w:t xml:space="preserve">2. High-Level Architecture</w:t>
      </w:r>
    </w:p>
    <w:p>
      <w:pPr>
        <w:spacing w:after="140"/>
      </w:pPr>
      <w:r>
        <w:rPr>
          <w:b w:val="false"/>
          <w:bCs w:val="false"/>
          <w:i w:val="false"/>
          <w:iCs w:val="false"/>
        </w:rPr>
        <w:t xml:space="preserve">The warehouse follows a Bronze / Silver / Gold medallion pattern:</w:t>
      </w:r>
    </w:p>
    <w:p>
      <w:pPr>
        <w:pBdr>
          <w:top w:val="single" w:color="CCCCCC" w:sz="2"/>
          <w:bottom w:val="single" w:color="CCCCCC" w:sz="2"/>
          <w:left w:val="single" w:color="CCCCCC" w:sz="2"/>
          <w:right w:val="single" w:color="CCCCCC" w:sz="2"/>
        </w:pBdr>
        <w:shd w:fill="F2F2F2" w:val="clear"/>
        <w:spacing w:after="160" w:before="80"/>
      </w:pPr>
      <w:r>
        <w:rPr>
          <w:rFonts w:ascii="Consolas" w:cs="Consolas" w:eastAsia="Consolas" w:hAnsi="Consolas"/>
          <w:sz w:val="18"/>
          <w:szCs w:val="18"/>
        </w:rPr>
        <w:t xml:space="preserve">Cosmos DB (operational)  -&gt;  Message Bus  -&gt;  ADLS Gen2 Bronze (raw JSON)</w:t>
      </w:r>
      <w:r>
        <w:rPr>
          <w:rFonts w:ascii="Consolas" w:cs="Consolas" w:eastAsia="Consolas" w:hAnsi="Consolas"/>
          <w:sz w:val="18"/>
          <w:szCs w:val="18"/>
        </w:rPr>
        <w:br/>
        <w:t xml:space="preserve">    -&gt;  ADF Copy Activity  -&gt;  PostgreSQL Silver staging (stg schema)</w:t>
      </w:r>
      <w:r>
        <w:rPr>
          <w:rFonts w:ascii="Consolas" w:cs="Consolas" w:eastAsia="Consolas" w:hAnsi="Consolas"/>
          <w:sz w:val="18"/>
          <w:szCs w:val="18"/>
        </w:rPr>
        <w:br/>
        <w:t xml:space="preserve">    -&gt;  Stored procedure distribution  -&gt;  PostgreSQL Gold (fact / dim schemas)</w:t>
      </w:r>
    </w:p>
    <w:p>
      <w:pPr>
        <w:spacing w:after="140"/>
      </w:pPr>
      <w:r>
        <w:rPr>
          <w:b/>
          <w:bCs/>
          <w:i w:val="false"/>
          <w:iCs w:val="false"/>
        </w:rPr>
        <w:t xml:space="preserve">Why this shape:</w:t>
      </w:r>
    </w:p>
    <w:p>
      <w:pPr>
        <w:pStyle w:val="ListParagraph"/>
        <w:numPr>
          <w:ilvl w:val="0"/>
          <w:numId w:val="2"/>
        </w:numPr>
        <w:spacing w:after="60"/>
      </w:pPr>
      <w:r>
        <w:t xml:space="preserve">Reading directly from Cosmos DB for ETL would compete with production RU budget, so a Message Bus decouples operational writes from analytics ingestion.</w:t>
      </w:r>
    </w:p>
    <w:p>
      <w:pPr>
        <w:pStyle w:val="ListParagraph"/>
        <w:numPr>
          <w:ilvl w:val="0"/>
          <w:numId w:val="2"/>
        </w:numPr>
        <w:spacing w:after="60"/>
      </w:pPr>
      <w:r>
        <w:t xml:space="preserve">ADLS Gen2 Bronze gives a durable, replayable raw layer partitioned by time.</w:t>
      </w:r>
    </w:p>
    <w:p>
      <w:pPr>
        <w:pStyle w:val="ListParagraph"/>
        <w:numPr>
          <w:ilvl w:val="0"/>
          <w:numId w:val="2"/>
        </w:numPr>
        <w:spacing w:after="60"/>
      </w:pPr>
      <w:r>
        <w:t xml:space="preserve">Silver staging lives natively in PostgreSQL (not as ADLS Parquet) — ADF Data Flows could not preserve deeply nested JSON structures (e.g. upsellInformation.modifierImpressions), so Copy Activity + stored procedures replaced Data Flow transforms for these entities.</w:t>
      </w:r>
    </w:p>
    <w:p>
      <w:pPr>
        <w:pStyle w:val="ListParagraph"/>
        <w:numPr>
          <w:ilvl w:val="0"/>
          <w:numId w:val="2"/>
        </w:numPr>
        <w:spacing w:after="60"/>
      </w:pPr>
      <w:r>
        <w:t xml:space="preserve">Gold (fact/dim) tables are what BI, ML, and reporting consume.</w:t>
      </w:r>
    </w:p>
    <w:p>
      <w:pPr>
        <w:pStyle w:val="Heading1"/>
        <w:spacing w:after="160" w:before="320"/>
      </w:pPr>
      <w:r>
        <w:t xml:space="preserve">3. Storage Layers</w:t>
      </w:r>
    </w:p>
    <w:p>
      <w:pPr>
        <w:pStyle w:val="Heading2"/>
        <w:spacing w:after="120" w:before="260"/>
      </w:pPr>
      <w:r>
        <w:t xml:space="preserve">3.1 Bronze (ADLS Gen2)</w:t>
      </w:r>
    </w:p>
    <w:p>
      <w:pPr>
        <w:pStyle w:val="ListParagraph"/>
        <w:numPr>
          <w:ilvl w:val="0"/>
          <w:numId w:val="2"/>
        </w:numPr>
        <w:spacing w:after="60"/>
      </w:pPr>
      <w:r>
        <w:t xml:space="preserve">Path convention: bronze/{orders|events}/raw/yyyy/mm/dd/hh/*.json</w:t>
      </w:r>
    </w:p>
    <w:p>
      <w:pPr>
        <w:pStyle w:val="ListParagraph"/>
        <w:numPr>
          <w:ilvl w:val="0"/>
          <w:numId w:val="2"/>
        </w:numPr>
        <w:spacing w:after="60"/>
      </w:pPr>
      <w:r>
        <w:t xml:space="preserve">Raw, append-only JSON exactly as received from the Message Bus.</w:t>
      </w:r>
    </w:p>
    <w:p>
      <w:pPr>
        <w:pStyle w:val="ListParagraph"/>
        <w:numPr>
          <w:ilvl w:val="0"/>
          <w:numId w:val="2"/>
        </w:numPr>
        <w:spacing w:after="60"/>
      </w:pPr>
      <w:r>
        <w:t xml:space="preserve">Watermarking and idempotency tracked in etl.bronze_partition_registry (dateid, layer, entity, partition_path, partition_date/year/month/day/hour, status, file_count, started_at, ...) — this is what lets partitions be safely re-processed without duplication.</w:t>
      </w:r>
    </w:p>
    <w:p>
      <w:pPr>
        <w:spacing w:after="140"/>
      </w:pPr>
      <w:r>
        <w:rPr>
          <w:b w:val="false"/>
          <w:bCs w:val="false"/>
          <w:i w:val="false"/>
          <w:iCs w:val="false"/>
        </w:rPr>
        <w:t xml:space="preserve">Known bottleneck: hour-folders can contain 50K–250K small JSON files. ADF Copy Activity throughput plateaus around 130–150 files/sec regardless of DIU settings once file counts get this high. An Azure Function is being built to compact these into fewer, larger NDJSON files (byte-level concatenation, async Python) before Copy Activity reads them. Hosting plan (Consumption vs. Premium) is still an open decision.</w:t>
      </w:r>
    </w:p>
    <w:p>
      <w:pPr>
        <w:pStyle w:val="Heading2"/>
        <w:spacing w:after="120" w:before="260"/>
      </w:pPr>
      <w:r>
        <w:t xml:space="preserve">3.2 Silver (PostgreSQL stg schema — 45 tables)</w:t>
      </w:r>
    </w:p>
    <w:p>
      <w:pPr>
        <w:pStyle w:val="ListParagraph"/>
        <w:numPr>
          <w:ilvl w:val="0"/>
          <w:numId w:val="2"/>
        </w:numPr>
        <w:spacing w:after="60"/>
      </w:pPr>
      <w:r>
        <w:t xml:space="preserve">Intake tables receive data via ADF Copy Activity directly from Bronze JSON (column names are case-sensitive, double-quoted, and mirror the Cosmos JSON field names exactly, e.g. "locationId", "orderId", "kioskSessionId" — this mapping must never be snake_cased in ADF sink configs).</w:t>
      </w:r>
    </w:p>
    <w:p>
      <w:pPr>
        <w:pStyle w:val="ListParagraph"/>
        <w:numPr>
          <w:ilvl w:val="0"/>
          <w:numId w:val="2"/>
        </w:numPr>
        <w:spacing w:after="60"/>
      </w:pPr>
      <w:r>
        <w:t xml:space="preserve">A fan-out pattern distributes single intake tables into multiple entity-specific silver tables via master stored procedures — see Section 6 for the full breakdown of this logic.</w:t>
      </w:r>
    </w:p>
    <w:p>
      <w:pPr>
        <w:pStyle w:val="ListParagraph"/>
        <w:numPr>
          <w:ilvl w:val="0"/>
          <w:numId w:val="2"/>
        </w:numPr>
        <w:spacing w:after="60"/>
      </w:pPr>
      <w:r>
        <w:t xml:space="preserve">Partition-scoped idempotency: every staging/silver target table carries a bronze_folderpath column. Re-runs use DELETE WHERE bronze_folderpath = p_partition_path rather than TRUNCATE, so partitions can be safely retried in parallel without wiping unrelated data.</w:t>
      </w:r>
    </w:p>
    <w:p>
      <w:pPr>
        <w:pStyle w:val="ListParagraph"/>
        <w:numPr>
          <w:ilvl w:val="0"/>
          <w:numId w:val="2"/>
        </w:numPr>
        <w:spacing w:after="60"/>
      </w:pPr>
      <w:r>
        <w:t xml:space="preserve">Exception — sliding window table: stg.silver_kiosk_events uses a 15-minute sliding DELETE window instead of partition-path deletes, because 8+ downstream stored procedures join it on ordersessionid = token across hour boundaries, and a strict partition-path delete would break those cross-boundary joins.</w:t>
      </w:r>
    </w:p>
    <w:p>
      <w:pPr>
        <w:pStyle w:val="Heading2"/>
        <w:spacing w:after="120" w:before="260"/>
      </w:pPr>
      <w:r>
        <w:t xml:space="preserve">3.3 Gold (PostgreSQL fact, dim, ml schemas)</w:t>
      </w:r>
    </w:p>
    <w:p>
      <w:pPr>
        <w:pStyle w:val="ListParagraph"/>
        <w:numPr>
          <w:ilvl w:val="0"/>
          <w:numId w:val="2"/>
        </w:numPr>
        <w:spacing w:after="60"/>
      </w:pPr>
      <w:r>
        <w:t xml:space="preserve">dim schema — 41 tables. Dimensions (organization, location, kiosk, menuitem, modifier, catalog, category_hierarchy, frequentcustomer, weather, occasionsurvey, ordertype, etc.), refreshed via a consistent dim.usp_refresh_* family (20 procedures).</w:t>
      </w:r>
    </w:p>
    <w:p>
      <w:pPr>
        <w:pStyle w:val="ListParagraph"/>
        <w:numPr>
          <w:ilvl w:val="0"/>
          <w:numId w:val="2"/>
        </w:numPr>
        <w:spacing w:after="60"/>
      </w:pPr>
      <w:r>
        <w:t xml:space="preserve">fact schema — 33 tables. Transactional and event facts (transactionheader/item/payment/refunds, deviceevent, userbehaviour, devicestate, devicetelemetry, ordertiming, occasionsurveydetail, itemssurvey, modifier_impressions/interactions/recommendations, usercheckedin, cep_incidents, location_statistics, etc.), loaded via 36 fact.usp_* stored procedures.</w:t>
      </w:r>
    </w:p>
    <w:p>
      <w:pPr>
        <w:pStyle w:val="ListParagraph"/>
        <w:numPr>
          <w:ilvl w:val="0"/>
          <w:numId w:val="2"/>
        </w:numPr>
        <w:spacing w:after="60"/>
      </w:pPr>
      <w:r>
        <w:t xml:space="preserve">ml schema — 8 tables. Denormalized feature tables for Smart Upsell / Smart Menus models (menu_entities, item_modifiergroup_modifier_mapping, modifier_impressions, modifier_interactions, modifier_item_match, transactions, upsell_analysis, weather), refreshed by 8 ml.usp_refresh_* procedures.</w:t>
      </w:r>
    </w:p>
    <w:p>
      <w:pPr>
        <w:pStyle w:val="ListParagraph"/>
        <w:numPr>
          <w:ilvl w:val="0"/>
          <w:numId w:val="2"/>
        </w:numPr>
        <w:spacing w:after="60"/>
      </w:pPr>
      <w:r>
        <w:t xml:space="preserve">etl schema. Operational metadata — currently etl.bronze_partition_registry.</w:t>
      </w:r>
    </w:p>
    <w:p>
      <w:pPr>
        <w:pStyle w:val="Heading1"/>
        <w:spacing w:after="160" w:before="320"/>
      </w:pPr>
      <w:r>
        <w:t xml:space="preserve">4. Orchestration (Azure Data Factory)</w:t>
      </w:r>
    </w:p>
    <w:p>
      <w:pPr>
        <w:spacing w:after="140"/>
      </w:pPr>
      <w:r>
        <w:rPr>
          <w:b w:val="false"/>
          <w:bCs w:val="false"/>
          <w:i w:val="false"/>
          <w:iCs w:val="false"/>
        </w:rPr>
        <w:t xml:space="preserve">Factory: df-gas-test-eastus. Inventory: 67 pipelines, 80 data flows, 198 datasets, 15 linked services, 4 triggers.</w:t>
      </w:r>
    </w:p>
    <w:p>
      <w:pPr>
        <w:pStyle w:val="Heading2"/>
        <w:spacing w:after="120" w:before="260"/>
      </w:pPr>
      <w:r>
        <w:t xml:space="preserve">4.1 Linked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5040"/>
      </w:tblGrid>
      <w:tr>
        <w:trPr>
          <w:tblHeader/>
        </w:trPr>
        <w:tc>
          <w:tcPr>
            <w:tcW w:type="dxa" w:w="3200"/>
            <w:shd w:fill="2E5395" w:val="clear"/>
            <w:tcMar>
              <w:top w:type="dxa" w:w="60"/>
              <w:left w:type="dxa" w:w="100"/>
              <w:bottom w:type="dxa" w:w="60"/>
              <w:right w:type="dxa" w:w="100"/>
            </w:tcMar>
          </w:tcPr>
          <w:p>
            <w:r>
              <w:rPr>
                <w:b/>
                <w:bCs/>
                <w:color w:val="FFFFFF"/>
              </w:rPr>
              <w:t xml:space="preserve">Name</w:t>
            </w:r>
          </w:p>
        </w:tc>
        <w:tc>
          <w:tcPr>
            <w:tcW w:type="dxa" w:w="2000"/>
            <w:shd w:fill="2E5395" w:val="clear"/>
            <w:tcMar>
              <w:top w:type="dxa" w:w="60"/>
              <w:left w:type="dxa" w:w="100"/>
              <w:bottom w:type="dxa" w:w="60"/>
              <w:right w:type="dxa" w:w="100"/>
            </w:tcMar>
          </w:tcPr>
          <w:p>
            <w:r>
              <w:rPr>
                <w:b/>
                <w:bCs/>
                <w:color w:val="FFFFFF"/>
              </w:rPr>
              <w:t xml:space="preserve">Type</w:t>
            </w:r>
          </w:p>
        </w:tc>
        <w:tc>
          <w:tcPr>
            <w:tcW w:type="dxa" w:w="5040"/>
            <w:shd w:fill="2E5395" w:val="clear"/>
            <w:tcMar>
              <w:top w:type="dxa" w:w="60"/>
              <w:left w:type="dxa" w:w="100"/>
              <w:bottom w:type="dxa" w:w="60"/>
              <w:right w:type="dxa" w:w="100"/>
            </w:tcMar>
          </w:tcPr>
          <w:p>
            <w:r>
              <w:rPr>
                <w:b/>
                <w:bCs/>
                <w:color w:val="FFFFFF"/>
              </w:rPr>
              <w:t xml:space="preserve">Purpose</w:t>
            </w:r>
          </w:p>
        </w:tc>
      </w:tr>
      <w:tr>
        <w:tc>
          <w:tcPr>
            <w:tcW w:type="dxa" w:w="3200"/>
            <w:tcMar>
              <w:top w:type="dxa" w:w="60"/>
              <w:left w:type="dxa" w:w="100"/>
              <w:bottom w:type="dxa" w:w="60"/>
              <w:right w:type="dxa" w:w="100"/>
            </w:tcMar>
          </w:tcPr>
          <w:p>
            <w:r>
              <w:rPr>
                <w:b w:val="false"/>
                <w:bCs w:val="false"/>
              </w:rPr>
              <w:t xml:space="preserve">ADLSgas, StgADLSgas, ADLSsus</w:t>
            </w:r>
          </w:p>
        </w:tc>
        <w:tc>
          <w:tcPr>
            <w:tcW w:type="dxa" w:w="2000"/>
            <w:tcMar>
              <w:top w:type="dxa" w:w="60"/>
              <w:left w:type="dxa" w:w="100"/>
              <w:bottom w:type="dxa" w:w="60"/>
              <w:right w:type="dxa" w:w="100"/>
            </w:tcMar>
          </w:tcPr>
          <w:p>
            <w:r>
              <w:rPr>
                <w:b w:val="false"/>
                <w:bCs w:val="false"/>
              </w:rPr>
              <w:t xml:space="preserve">AzureBlobFS</w:t>
            </w:r>
          </w:p>
        </w:tc>
        <w:tc>
          <w:tcPr>
            <w:tcW w:type="dxa" w:w="5040"/>
            <w:tcMar>
              <w:top w:type="dxa" w:w="60"/>
              <w:left w:type="dxa" w:w="100"/>
              <w:bottom w:type="dxa" w:w="60"/>
              <w:right w:type="dxa" w:w="100"/>
            </w:tcMar>
          </w:tcPr>
          <w:p>
            <w:r>
              <w:rPr>
                <w:b w:val="false"/>
                <w:bCs w:val="false"/>
              </w:rPr>
              <w:t xml:space="preserve">ADLS Gen2 Bronze/staging storage</w:t>
            </w:r>
          </w:p>
        </w:tc>
      </w:tr>
      <w:tr>
        <w:tc>
          <w:tcPr>
            <w:tcW w:type="dxa" w:w="3200"/>
            <w:tcMar>
              <w:top w:type="dxa" w:w="60"/>
              <w:left w:type="dxa" w:w="100"/>
              <w:bottom w:type="dxa" w:w="60"/>
              <w:right w:type="dxa" w:w="100"/>
            </w:tcMar>
          </w:tcPr>
          <w:p>
            <w:r>
              <w:rPr>
                <w:b w:val="false"/>
                <w:bCs w:val="false"/>
              </w:rPr>
              <w:t xml:space="preserve">CosmosGXS, CosmosNGE, CosmosNGEGrubbrrLoyalty, CosmosPOS, EventsCosmosNew, OrdersCosmosNew</w:t>
            </w:r>
          </w:p>
        </w:tc>
        <w:tc>
          <w:tcPr>
            <w:tcW w:type="dxa" w:w="2000"/>
            <w:tcMar>
              <w:top w:type="dxa" w:w="60"/>
              <w:left w:type="dxa" w:w="100"/>
              <w:bottom w:type="dxa" w:w="60"/>
              <w:right w:type="dxa" w:w="100"/>
            </w:tcMar>
          </w:tcPr>
          <w:p>
            <w:r>
              <w:rPr>
                <w:b w:val="false"/>
                <w:bCs w:val="false"/>
              </w:rPr>
              <w:t xml:space="preserve">CosmosDb</w:t>
            </w:r>
          </w:p>
        </w:tc>
        <w:tc>
          <w:tcPr>
            <w:tcW w:type="dxa" w:w="5040"/>
            <w:tcMar>
              <w:top w:type="dxa" w:w="60"/>
              <w:left w:type="dxa" w:w="100"/>
              <w:bottom w:type="dxa" w:w="60"/>
              <w:right w:type="dxa" w:w="100"/>
            </w:tcMar>
          </w:tcPr>
          <w:p>
            <w:r>
              <w:rPr>
                <w:b w:val="false"/>
                <w:bCs w:val="false"/>
              </w:rPr>
              <w:t xml:space="preserve">Operational source systems (orders, events, loyalty, POS)</w:t>
            </w:r>
          </w:p>
        </w:tc>
      </w:tr>
      <w:tr>
        <w:tc>
          <w:tcPr>
            <w:tcW w:type="dxa" w:w="3200"/>
            <w:tcMar>
              <w:top w:type="dxa" w:w="60"/>
              <w:left w:type="dxa" w:w="100"/>
              <w:bottom w:type="dxa" w:w="60"/>
              <w:right w:type="dxa" w:w="100"/>
            </w:tcMar>
          </w:tcPr>
          <w:p>
            <w:r>
              <w:rPr>
                <w:b w:val="false"/>
                <w:bCs w:val="false"/>
              </w:rPr>
              <w:t xml:space="preserve">OrdersPGNew, PostgresGMS, PostgresGOU, ServicesPGNew</w:t>
            </w:r>
          </w:p>
        </w:tc>
        <w:tc>
          <w:tcPr>
            <w:tcW w:type="dxa" w:w="2000"/>
            <w:tcMar>
              <w:top w:type="dxa" w:w="60"/>
              <w:left w:type="dxa" w:w="100"/>
              <w:bottom w:type="dxa" w:w="60"/>
              <w:right w:type="dxa" w:w="100"/>
            </w:tcMar>
          </w:tcPr>
          <w:p>
            <w:r>
              <w:rPr>
                <w:b w:val="false"/>
                <w:bCs w:val="false"/>
              </w:rPr>
              <w:t xml:space="preserve">AzurePostgreSql</w:t>
            </w:r>
          </w:p>
        </w:tc>
        <w:tc>
          <w:tcPr>
            <w:tcW w:type="dxa" w:w="5040"/>
            <w:tcMar>
              <w:top w:type="dxa" w:w="60"/>
              <w:left w:type="dxa" w:w="100"/>
              <w:bottom w:type="dxa" w:w="60"/>
              <w:right w:type="dxa" w:w="100"/>
            </w:tcMar>
          </w:tcPr>
          <w:p>
            <w:r>
              <w:rPr>
                <w:b w:val="false"/>
                <w:bCs w:val="false"/>
              </w:rPr>
              <w:t xml:space="preserve">gas_db (Citus) and related Postgres services</w:t>
            </w:r>
          </w:p>
        </w:tc>
      </w:tr>
      <w:tr>
        <w:tc>
          <w:tcPr>
            <w:tcW w:type="dxa" w:w="3200"/>
            <w:tcMar>
              <w:top w:type="dxa" w:w="60"/>
              <w:left w:type="dxa" w:w="100"/>
              <w:bottom w:type="dxa" w:w="60"/>
              <w:right w:type="dxa" w:w="100"/>
            </w:tcMar>
          </w:tcPr>
          <w:p>
            <w:r>
              <w:rPr>
                <w:b w:val="false"/>
                <w:bCs w:val="false"/>
              </w:rPr>
              <w:t xml:space="preserve">LoadKiosksFromCosmosDbToAnalyticsDb</w:t>
            </w:r>
          </w:p>
        </w:tc>
        <w:tc>
          <w:tcPr>
            <w:tcW w:type="dxa" w:w="2000"/>
            <w:tcMar>
              <w:top w:type="dxa" w:w="60"/>
              <w:left w:type="dxa" w:w="100"/>
              <w:bottom w:type="dxa" w:w="60"/>
              <w:right w:type="dxa" w:w="100"/>
            </w:tcMar>
          </w:tcPr>
          <w:p>
            <w:r>
              <w:rPr>
                <w:b w:val="false"/>
                <w:bCs w:val="false"/>
              </w:rPr>
              <w:t xml:space="preserve">AzureFunction</w:t>
            </w:r>
          </w:p>
        </w:tc>
        <w:tc>
          <w:tcPr>
            <w:tcW w:type="dxa" w:w="5040"/>
            <w:tcMar>
              <w:top w:type="dxa" w:w="60"/>
              <w:left w:type="dxa" w:w="100"/>
              <w:bottom w:type="dxa" w:w="60"/>
              <w:right w:type="dxa" w:w="100"/>
            </w:tcMar>
          </w:tcPr>
          <w:p>
            <w:r>
              <w:rPr>
                <w:b w:val="false"/>
                <w:bCs w:val="false"/>
              </w:rPr>
              <w:t xml:space="preserve">Kiosk data load function</w:t>
            </w:r>
          </w:p>
        </w:tc>
      </w:tr>
      <w:tr>
        <w:tc>
          <w:tcPr>
            <w:tcW w:type="dxa" w:w="3200"/>
            <w:tcMar>
              <w:top w:type="dxa" w:w="60"/>
              <w:left w:type="dxa" w:w="100"/>
              <w:bottom w:type="dxa" w:w="60"/>
              <w:right w:type="dxa" w:w="100"/>
            </w:tcMar>
          </w:tcPr>
          <w:p>
            <w:r>
              <w:rPr>
                <w:b w:val="false"/>
                <w:bCs w:val="false"/>
              </w:rPr>
              <w:t xml:space="preserve">kyv_grubbrr_dev</w:t>
            </w:r>
          </w:p>
        </w:tc>
        <w:tc>
          <w:tcPr>
            <w:tcW w:type="dxa" w:w="2000"/>
            <w:tcMar>
              <w:top w:type="dxa" w:w="60"/>
              <w:left w:type="dxa" w:w="100"/>
              <w:bottom w:type="dxa" w:w="60"/>
              <w:right w:type="dxa" w:w="100"/>
            </w:tcMar>
          </w:tcPr>
          <w:p>
            <w:r>
              <w:rPr>
                <w:b w:val="false"/>
                <w:bCs w:val="false"/>
              </w:rPr>
              <w:t xml:space="preserve">AzureKeyVault</w:t>
            </w:r>
          </w:p>
        </w:tc>
        <w:tc>
          <w:tcPr>
            <w:tcW w:type="dxa" w:w="5040"/>
            <w:tcMar>
              <w:top w:type="dxa" w:w="60"/>
              <w:left w:type="dxa" w:w="100"/>
              <w:bottom w:type="dxa" w:w="60"/>
              <w:right w:type="dxa" w:w="100"/>
            </w:tcMar>
          </w:tcPr>
          <w:p>
            <w:r>
              <w:rPr>
                <w:b w:val="false"/>
                <w:bCs w:val="false"/>
              </w:rPr>
              <w:t xml:space="preserve">Secrets</w:t>
            </w:r>
          </w:p>
        </w:tc>
      </w:tr>
    </w:tbl>
    <w:p>
      <w:pPr>
        <w:pStyle w:val="Heading2"/>
        <w:spacing w:after="120" w:before="260"/>
      </w:pPr>
      <w:r>
        <w:t xml:space="preserve">4.2 Scheduled Triggers → Master Pipelines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640"/>
      </w:tblGrid>
      <w:tr>
        <w:trPr>
          <w:tblHeader/>
        </w:trPr>
        <w:tc>
          <w:tcPr>
            <w:tcW w:type="dxa" w:w="2400"/>
            <w:shd w:fill="2E5395" w:val="clear"/>
            <w:tcMar>
              <w:top w:type="dxa" w:w="60"/>
              <w:left w:type="dxa" w:w="100"/>
              <w:bottom w:type="dxa" w:w="60"/>
              <w:right w:type="dxa" w:w="100"/>
            </w:tcMar>
          </w:tcPr>
          <w:p>
            <w:r>
              <w:rPr>
                <w:b/>
                <w:bCs/>
                <w:color w:val="FFFFFF"/>
              </w:rPr>
              <w:t xml:space="preserve">Trigger</w:t>
            </w:r>
          </w:p>
        </w:tc>
        <w:tc>
          <w:tcPr>
            <w:tcW w:type="dxa" w:w="3200"/>
            <w:shd w:fill="2E5395" w:val="clear"/>
            <w:tcMar>
              <w:top w:type="dxa" w:w="60"/>
              <w:left w:type="dxa" w:w="100"/>
              <w:bottom w:type="dxa" w:w="60"/>
              <w:right w:type="dxa" w:w="100"/>
            </w:tcMar>
          </w:tcPr>
          <w:p>
            <w:r>
              <w:rPr>
                <w:b/>
                <w:bCs/>
                <w:color w:val="FFFFFF"/>
              </w:rPr>
              <w:t xml:space="preserve">Pipeline</w:t>
            </w:r>
          </w:p>
        </w:tc>
        <w:tc>
          <w:tcPr>
            <w:tcW w:type="dxa" w:w="4640"/>
            <w:shd w:fill="2E5395" w:val="clear"/>
            <w:tcMar>
              <w:top w:type="dxa" w:w="60"/>
              <w:left w:type="dxa" w:w="100"/>
              <w:bottom w:type="dxa" w:w="60"/>
              <w:right w:type="dxa" w:w="100"/>
            </w:tcMar>
          </w:tcPr>
          <w:p>
            <w:r>
              <w:rPr>
                <w:b/>
                <w:bCs/>
                <w:color w:val="FFFFFF"/>
              </w:rPr>
              <w:t xml:space="preserve">Purpose</w:t>
            </w:r>
          </w:p>
        </w:tc>
      </w:tr>
      <w:tr>
        <w:tc>
          <w:tcPr>
            <w:tcW w:type="dxa" w:w="2400"/>
            <w:tcMar>
              <w:top w:type="dxa" w:w="60"/>
              <w:left w:type="dxa" w:w="100"/>
              <w:bottom w:type="dxa" w:w="60"/>
              <w:right w:type="dxa" w:w="100"/>
            </w:tcMar>
          </w:tcPr>
          <w:p>
            <w:r>
              <w:rPr>
                <w:b w:val="false"/>
                <w:bCs w:val="false"/>
              </w:rPr>
              <w:t xml:space="preserve">GASOrders</w:t>
            </w:r>
          </w:p>
        </w:tc>
        <w:tc>
          <w:tcPr>
            <w:tcW w:type="dxa" w:w="3200"/>
            <w:tcMar>
              <w:top w:type="dxa" w:w="60"/>
              <w:left w:type="dxa" w:w="100"/>
              <w:bottom w:type="dxa" w:w="60"/>
              <w:right w:type="dxa" w:w="100"/>
            </w:tcMar>
          </w:tcPr>
          <w:p>
            <w:r>
              <w:rPr>
                <w:b w:val="false"/>
                <w:bCs w:val="false"/>
              </w:rPr>
              <w:t xml:space="preserve">DimensionsFactsMaster</w:t>
            </w:r>
          </w:p>
        </w:tc>
        <w:tc>
          <w:tcPr>
            <w:tcW w:type="dxa" w:w="4640"/>
            <w:tcMar>
              <w:top w:type="dxa" w:w="60"/>
              <w:left w:type="dxa" w:w="100"/>
              <w:bottom w:type="dxa" w:w="60"/>
              <w:right w:type="dxa" w:w="100"/>
            </w:tcMar>
          </w:tcPr>
          <w:p>
            <w:r>
              <w:rPr>
                <w:b w:val="false"/>
                <w:bCs w:val="false"/>
              </w:rPr>
              <w:t xml:space="preserve">Primary dimension + fact refresh cycle</w:t>
            </w:r>
          </w:p>
        </w:tc>
      </w:tr>
      <w:tr>
        <w:tc>
          <w:tcPr>
            <w:tcW w:type="dxa" w:w="2400"/>
            <w:tcMar>
              <w:top w:type="dxa" w:w="60"/>
              <w:left w:type="dxa" w:w="100"/>
              <w:bottom w:type="dxa" w:w="60"/>
              <w:right w:type="dxa" w:w="100"/>
            </w:tcMar>
          </w:tcPr>
          <w:p>
            <w:r>
              <w:rPr>
                <w:b w:val="false"/>
                <w:bCs w:val="false"/>
              </w:rPr>
              <w:t xml:space="preserve">GEMEvents</w:t>
            </w:r>
          </w:p>
        </w:tc>
        <w:tc>
          <w:tcPr>
            <w:tcW w:type="dxa" w:w="3200"/>
            <w:tcMar>
              <w:top w:type="dxa" w:w="60"/>
              <w:left w:type="dxa" w:w="100"/>
              <w:bottom w:type="dxa" w:w="60"/>
              <w:right w:type="dxa" w:w="100"/>
            </w:tcMar>
          </w:tcPr>
          <w:p>
            <w:r>
              <w:rPr>
                <w:b w:val="false"/>
                <w:bCs w:val="false"/>
              </w:rPr>
              <w:t xml:space="preserve">GEM_GSH_GOU_Master</w:t>
            </w:r>
          </w:p>
        </w:tc>
        <w:tc>
          <w:tcPr>
            <w:tcW w:type="dxa" w:w="4640"/>
            <w:tcMar>
              <w:top w:type="dxa" w:w="60"/>
              <w:left w:type="dxa" w:w="100"/>
              <w:bottom w:type="dxa" w:w="60"/>
              <w:right w:type="dxa" w:w="100"/>
            </w:tcMar>
          </w:tcPr>
          <w:p>
            <w:r>
              <w:rPr>
                <w:b w:val="false"/>
                <w:bCs w:val="false"/>
              </w:rPr>
              <w:t xml:space="preserve">Device/kiosk event pipeline (GEM/GSH/GOU sources)</w:t>
            </w:r>
          </w:p>
        </w:tc>
      </w:tr>
      <w:tr>
        <w:tc>
          <w:tcPr>
            <w:tcW w:type="dxa" w:w="2400"/>
            <w:tcMar>
              <w:top w:type="dxa" w:w="60"/>
              <w:left w:type="dxa" w:w="100"/>
              <w:bottom w:type="dxa" w:w="60"/>
              <w:right w:type="dxa" w:w="100"/>
            </w:tcMar>
          </w:tcPr>
          <w:p>
            <w:r>
              <w:rPr>
                <w:b w:val="false"/>
                <w:bCs w:val="false"/>
              </w:rPr>
              <w:t xml:space="preserve">RefreshMLTables</w:t>
            </w:r>
          </w:p>
        </w:tc>
        <w:tc>
          <w:tcPr>
            <w:tcW w:type="dxa" w:w="3200"/>
            <w:tcMar>
              <w:top w:type="dxa" w:w="60"/>
              <w:left w:type="dxa" w:w="100"/>
              <w:bottom w:type="dxa" w:w="60"/>
              <w:right w:type="dxa" w:w="100"/>
            </w:tcMar>
          </w:tcPr>
          <w:p>
            <w:r>
              <w:rPr>
                <w:b w:val="false"/>
                <w:bCs w:val="false"/>
              </w:rPr>
              <w:t xml:space="preserve">RefreshMLTables</w:t>
            </w:r>
          </w:p>
        </w:tc>
        <w:tc>
          <w:tcPr>
            <w:tcW w:type="dxa" w:w="4640"/>
            <w:tcMar>
              <w:top w:type="dxa" w:w="60"/>
              <w:left w:type="dxa" w:w="100"/>
              <w:bottom w:type="dxa" w:w="60"/>
              <w:right w:type="dxa" w:w="100"/>
            </w:tcMar>
          </w:tcPr>
          <w:p>
            <w:r>
              <w:rPr>
                <w:b w:val="false"/>
                <w:bCs w:val="false"/>
              </w:rPr>
              <w:t xml:space="preserve">ML feature table refresh</w:t>
            </w:r>
          </w:p>
        </w:tc>
      </w:tr>
      <w:tr>
        <w:tc>
          <w:tcPr>
            <w:tcW w:type="dxa" w:w="2400"/>
            <w:tcMar>
              <w:top w:type="dxa" w:w="60"/>
              <w:left w:type="dxa" w:w="100"/>
              <w:bottom w:type="dxa" w:w="60"/>
              <w:right w:type="dxa" w:w="100"/>
            </w:tcMar>
          </w:tcPr>
          <w:p>
            <w:r>
              <w:rPr>
                <w:b w:val="false"/>
                <w:bCs w:val="false"/>
              </w:rPr>
              <w:t xml:space="preserve">TwiceDaily</w:t>
            </w:r>
          </w:p>
        </w:tc>
        <w:tc>
          <w:tcPr>
            <w:tcW w:type="dxa" w:w="3200"/>
            <w:tcMar>
              <w:top w:type="dxa" w:w="60"/>
              <w:left w:type="dxa" w:w="100"/>
              <w:bottom w:type="dxa" w:w="60"/>
              <w:right w:type="dxa" w:w="100"/>
            </w:tcMar>
          </w:tcPr>
          <w:p>
            <w:r>
              <w:rPr>
                <w:b w:val="false"/>
                <w:bCs w:val="false"/>
              </w:rPr>
              <w:t xml:space="preserve">GrubbrrInstallBaseDashboard</w:t>
            </w:r>
          </w:p>
        </w:tc>
        <w:tc>
          <w:tcPr>
            <w:tcW w:type="dxa" w:w="4640"/>
            <w:tcMar>
              <w:top w:type="dxa" w:w="60"/>
              <w:left w:type="dxa" w:w="100"/>
              <w:bottom w:type="dxa" w:w="60"/>
              <w:right w:type="dxa" w:w="100"/>
            </w:tcMar>
          </w:tcPr>
          <w:p>
            <w:r>
              <w:rPr>
                <w:b w:val="false"/>
                <w:bCs w:val="false"/>
              </w:rPr>
              <w:t xml:space="preserve">Install-base reporting refresh</w:t>
            </w:r>
          </w:p>
        </w:tc>
      </w:tr>
    </w:tbl>
    <w:p>
      <w:pPr>
        <w:pStyle w:val="Heading2"/>
        <w:spacing w:after="120" w:before="260"/>
      </w:pPr>
      <w:r>
        <w:t xml:space="preserve">4.3 Key Pipeline Groups</w:t>
      </w:r>
    </w:p>
    <w:p>
      <w:pPr>
        <w:pStyle w:val="ListParagraph"/>
        <w:numPr>
          <w:ilvl w:val="0"/>
          <w:numId w:val="2"/>
        </w:numPr>
        <w:spacing w:after="60"/>
      </w:pPr>
      <w:r>
        <w:t xml:space="preserve">Bronze ingestion: IngestToBronze, BronzeOrdersToGAS, BronzeEventsToGAS, BronzeOrdersToSilverAndGAS, BronzeEventsToSilverAndGAS, BronzeSilverGASMaster — Copy Activity + ForEach fan-out from Bronze into staging, orchestrated per partition.</w:t>
      </w:r>
    </w:p>
    <w:p>
      <w:pPr>
        <w:pStyle w:val="ListParagraph"/>
        <w:numPr>
          <w:ilvl w:val="0"/>
          <w:numId w:val="2"/>
        </w:numPr>
        <w:spacing w:after="60"/>
      </w:pPr>
      <w:r>
        <w:t xml:space="preserve">Silver → Gold distribution: SilverOrdersToGAS, SilverEventsToGAS, gasTransactionsToAnalyticsDb, gxsTransactionsToAnalyticsDb — call the usp_distribute_silver_* and usp_silver_*_to_fact stored procedures.</w:t>
      </w:r>
    </w:p>
    <w:p>
      <w:pPr>
        <w:pStyle w:val="ListParagraph"/>
        <w:numPr>
          <w:ilvl w:val="0"/>
          <w:numId w:val="2"/>
        </w:numPr>
        <w:spacing w:after="60"/>
      </w:pPr>
      <w:r>
        <w:t xml:space="preserve">Dimension refresh: DimensionMaster fans out to DimensionKiosks, DimensionMenuItems, DimensionMenuModifiers, DimensionOrganizationLocationCatalog, DimensionFrequentCustomer, DimensionABTests, DimensionWeatherInfo, DimensionMasterItemsAndModifiers, DimensionUpdateOrdersToAnalyticsDb.</w:t>
      </w:r>
    </w:p>
    <w:p>
      <w:pPr>
        <w:pStyle w:val="ListParagraph"/>
        <w:numPr>
          <w:ilvl w:val="0"/>
          <w:numId w:val="2"/>
        </w:numPr>
        <w:spacing w:after="60"/>
      </w:pPr>
      <w:r>
        <w:t xml:space="preserve">Fact refresh: FactsMaster fans out to device/telemetry, transaction, and survey fact pipelines (gshDeviceHealthToAnalyticsDbFactDeviceState, gshDeviceTelemetryToAnalyticsDb, OccasionSurveyOrdersFeedback, TransactionPaymentRefunds, gemOrderTimingtoAnalyticsDb, gemUserCheckedInToPG, etc.).</w:t>
      </w:r>
    </w:p>
    <w:p>
      <w:pPr>
        <w:pStyle w:val="ListParagraph"/>
        <w:numPr>
          <w:ilvl w:val="0"/>
          <w:numId w:val="2"/>
        </w:numPr>
        <w:spacing w:after="60"/>
      </w:pPr>
      <w:r>
        <w:t xml:space="preserve">Upsell / recommendations: UpsellRecommendationsToGAS, ModifierUpsellRecommendationsToGAS.</w:t>
      </w:r>
    </w:p>
    <w:p>
      <w:pPr>
        <w:pStyle w:val="ListParagraph"/>
        <w:numPr>
          <w:ilvl w:val="0"/>
          <w:numId w:val="2"/>
        </w:numPr>
        <w:spacing w:after="60"/>
      </w:pPr>
      <w:r>
        <w:t xml:space="preserve">ML feature pipelines: RefreshMLTables, TrainingDataForML (and V2/Compressed/FastPartition/Separate variants), ChildPipTrainingDataML.</w:t>
      </w:r>
    </w:p>
    <w:p>
      <w:pPr>
        <w:pStyle w:val="ListParagraph"/>
        <w:numPr>
          <w:ilvl w:val="0"/>
          <w:numId w:val="2"/>
        </w:numPr>
        <w:spacing w:after="60"/>
      </w:pPr>
      <w:r>
        <w:t xml:space="preserve">Housekeeping: UpdateDateTimeFields, UpdateFieldsInTrxnFactTables, AbortedOrdersAndItemsToPG, ADFEventLoggingTemplate (shared logging template called via WebActivity).</w:t>
      </w:r>
    </w:p>
    <w:p>
      <w:pPr>
        <w:pStyle w:val="Heading1"/>
        <w:spacing w:after="160" w:before="320"/>
      </w:pPr>
      <w:r>
        <w:t xml:space="preserve">5. Incremental Load / Watermarking Framework</w:t>
      </w:r>
    </w:p>
    <w:p>
      <w:pPr>
        <w:pStyle w:val="ListParagraph"/>
        <w:numPr>
          <w:ilvl w:val="0"/>
          <w:numId w:val="2"/>
        </w:numPr>
        <w:spacing w:after="60"/>
      </w:pPr>
      <w:r>
        <w:t xml:space="preserve">fact.watermarktable — columns watermarktablename, watermarkcolumn, watermarkvalue, ticks, ts, source, sysinserttime, sysupdatetime. One row per source/table combination (e.g. source = 'nge').</w:t>
      </w:r>
    </w:p>
    <w:p>
      <w:pPr>
        <w:pStyle w:val="ListParagraph"/>
        <w:numPr>
          <w:ilvl w:val="0"/>
          <w:numId w:val="2"/>
        </w:numPr>
        <w:spacing w:after="60"/>
      </w:pPr>
      <w:r>
        <w:t xml:space="preserve">Read pattern: stored procedures read using COALESCE(ts, seed) - 10 to build a small overlap buffer, avoiding boundary-skipped rows.</w:t>
      </w:r>
    </w:p>
    <w:p>
      <w:pPr>
        <w:pStyle w:val="ListParagraph"/>
        <w:numPr>
          <w:ilvl w:val="0"/>
          <w:numId w:val="2"/>
        </w:numPr>
        <w:spacing w:after="60"/>
      </w:pPr>
      <w:r>
        <w:t xml:space="preserve">Write pattern: fact.updatewatermark(tablename) updates watermarkvalue to MAX(...) of the relevant timestamp column after a successful load.</w:t>
      </w:r>
    </w:p>
    <w:p>
      <w:pPr>
        <w:pStyle w:val="ListParagraph"/>
        <w:numPr>
          <w:ilvl w:val="0"/>
          <w:numId w:val="2"/>
        </w:numPr>
        <w:spacing w:after="60"/>
      </w:pPr>
      <w:r>
        <w:t xml:space="preserve">Deduplication convention: DISTINCT ON (...) ... ORDER BY syscosmosts DESC NULLS LAST is the standard idiom used across silver-to-fact procedures for keeping the latest version of a row per natural key.</w:t>
      </w:r>
    </w:p>
    <w:p>
      <w:pPr>
        <w:pStyle w:val="ListParagraph"/>
        <w:numPr>
          <w:ilvl w:val="0"/>
          <w:numId w:val="2"/>
        </w:numPr>
        <w:spacing w:after="60"/>
      </w:pPr>
      <w:r>
        <w:t xml:space="preserve">Known pitfall (fixed): an earlier bug had AND syscosmosts &gt; v_max_syscosmosts filters in several stored procedures, which silently skipped rows because syscosmosts ordering doesn't reliably align with hour-folder boundaries. Fix: remove the redundant filter; rely on ON CONFLICT for idempotent re-processing instead.</w:t>
      </w:r>
    </w:p>
    <w:p>
      <w:pPr>
        <w:pStyle w:val="ListParagraph"/>
        <w:numPr>
          <w:ilvl w:val="0"/>
          <w:numId w:val="2"/>
        </w:numPr>
        <w:spacing w:after="60"/>
      </w:pPr>
      <w:r>
        <w:t xml:space="preserve">ON CONFLICT DO UPDATE guards: all fact upserts use IS DISTINCT FROM / COALESCE guards and WHERE predicates to suppress no-op writes (e.g. GEM event timing fields — itemselectedtime, addtocarttime, etc. — in fact.usp_silver_transaction_item_to_fact).</w:t>
      </w:r>
    </w:p>
    <w:p>
      <w:pPr>
        <w:pStyle w:val="Heading1"/>
        <w:spacing w:after="160" w:before="320"/>
      </w:pPr>
      <w:r>
        <w:t xml:space="preserve">6. Stored Procedure Inventory &amp; Common Logic</w:t>
      </w:r>
    </w:p>
    <w:p>
      <w:pPr>
        <w:pStyle w:val="Heading2"/>
        <w:spacing w:after="120" w:before="260"/>
      </w:pPr>
      <w:r>
        <w:t xml:space="preserve">6.1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840"/>
      </w:tblGrid>
      <w:tr>
        <w:trPr>
          <w:tblHeader/>
        </w:trPr>
        <w:tc>
          <w:tcPr>
            <w:tcW w:type="dxa" w:w="1600"/>
            <w:shd w:fill="2E5395" w:val="clear"/>
            <w:tcMar>
              <w:top w:type="dxa" w:w="60"/>
              <w:left w:type="dxa" w:w="100"/>
              <w:bottom w:type="dxa" w:w="60"/>
              <w:right w:type="dxa" w:w="100"/>
            </w:tcMar>
          </w:tcPr>
          <w:p>
            <w:r>
              <w:rPr>
                <w:b/>
                <w:bCs/>
                <w:color w:val="FFFFFF"/>
              </w:rPr>
              <w:t xml:space="preserve">Schema</w:t>
            </w:r>
          </w:p>
        </w:tc>
        <w:tc>
          <w:tcPr>
            <w:tcW w:type="dxa" w:w="1800"/>
            <w:shd w:fill="2E5395" w:val="clear"/>
            <w:tcMar>
              <w:top w:type="dxa" w:w="60"/>
              <w:left w:type="dxa" w:w="100"/>
              <w:bottom w:type="dxa" w:w="60"/>
              <w:right w:type="dxa" w:w="100"/>
            </w:tcMar>
          </w:tcPr>
          <w:p>
            <w:r>
              <w:rPr>
                <w:b/>
                <w:bCs/>
                <w:color w:val="FFFFFF"/>
              </w:rPr>
              <w:t xml:space="preserve">Procedures</w:t>
            </w:r>
          </w:p>
        </w:tc>
        <w:tc>
          <w:tcPr>
            <w:tcW w:type="dxa" w:w="5840"/>
            <w:shd w:fill="2E5395" w:val="clear"/>
            <w:tcMar>
              <w:top w:type="dxa" w:w="60"/>
              <w:left w:type="dxa" w:w="100"/>
              <w:bottom w:type="dxa" w:w="60"/>
              <w:right w:type="dxa" w:w="100"/>
            </w:tcMar>
          </w:tcPr>
          <w:p>
            <w:r>
              <w:rPr>
                <w:b/>
                <w:bCs/>
                <w:color w:val="FFFFFF"/>
              </w:rPr>
              <w:t xml:space="preserve">Examples</w:t>
            </w:r>
          </w:p>
        </w:tc>
      </w:tr>
      <w:tr>
        <w:tc>
          <w:tcPr>
            <w:tcW w:type="dxa" w:w="1600"/>
            <w:tcMar>
              <w:top w:type="dxa" w:w="60"/>
              <w:left w:type="dxa" w:w="100"/>
              <w:bottom w:type="dxa" w:w="60"/>
              <w:right w:type="dxa" w:w="100"/>
            </w:tcMar>
          </w:tcPr>
          <w:p>
            <w:r>
              <w:rPr>
                <w:b w:val="false"/>
                <w:bCs w:val="false"/>
              </w:rPr>
              <w:t xml:space="preserve">dim</w:t>
            </w:r>
          </w:p>
        </w:tc>
        <w:tc>
          <w:tcPr>
            <w:tcW w:type="dxa" w:w="1800"/>
            <w:tcMar>
              <w:top w:type="dxa" w:w="60"/>
              <w:left w:type="dxa" w:w="100"/>
              <w:bottom w:type="dxa" w:w="60"/>
              <w:right w:type="dxa" w:w="100"/>
            </w:tcMar>
          </w:tcPr>
          <w:p>
            <w:r>
              <w:rPr>
                <w:b w:val="false"/>
                <w:bCs w:val="false"/>
              </w:rPr>
              <w:t xml:space="preserve">20</w:t>
            </w:r>
          </w:p>
        </w:tc>
        <w:tc>
          <w:tcPr>
            <w:tcW w:type="dxa" w:w="5840"/>
            <w:tcMar>
              <w:top w:type="dxa" w:w="60"/>
              <w:left w:type="dxa" w:w="100"/>
              <w:bottom w:type="dxa" w:w="60"/>
              <w:right w:type="dxa" w:w="100"/>
            </w:tcMar>
          </w:tcPr>
          <w:p>
            <w:r>
              <w:rPr>
                <w:b w:val="false"/>
                <w:bCs w:val="false"/>
              </w:rPr>
              <w:t xml:space="preserve">usp_refresh_organization, usp_refresh_location_kiosk_details, usp_refresh_menuitem, usp_refresh_modifiergroup_modifier_mapping, usp_grubbrr_install_base</w:t>
            </w:r>
          </w:p>
        </w:tc>
      </w:tr>
      <w:tr>
        <w:tc>
          <w:tcPr>
            <w:tcW w:type="dxa" w:w="1600"/>
            <w:tcMar>
              <w:top w:type="dxa" w:w="60"/>
              <w:left w:type="dxa" w:w="100"/>
              <w:bottom w:type="dxa" w:w="60"/>
              <w:right w:type="dxa" w:w="100"/>
            </w:tcMar>
          </w:tcPr>
          <w:p>
            <w:r>
              <w:rPr>
                <w:b w:val="false"/>
                <w:bCs w:val="false"/>
              </w:rPr>
              <w:t xml:space="preserve">fact</w:t>
            </w:r>
          </w:p>
        </w:tc>
        <w:tc>
          <w:tcPr>
            <w:tcW w:type="dxa" w:w="1800"/>
            <w:tcMar>
              <w:top w:type="dxa" w:w="60"/>
              <w:left w:type="dxa" w:w="100"/>
              <w:bottom w:type="dxa" w:w="60"/>
              <w:right w:type="dxa" w:w="100"/>
            </w:tcMar>
          </w:tcPr>
          <w:p>
            <w:r>
              <w:rPr>
                <w:b w:val="false"/>
                <w:bCs w:val="false"/>
              </w:rPr>
              <w:t xml:space="preserve">36</w:t>
            </w:r>
          </w:p>
        </w:tc>
        <w:tc>
          <w:tcPr>
            <w:tcW w:type="dxa" w:w="5840"/>
            <w:tcMar>
              <w:top w:type="dxa" w:w="60"/>
              <w:left w:type="dxa" w:w="100"/>
              <w:bottom w:type="dxa" w:w="60"/>
              <w:right w:type="dxa" w:w="100"/>
            </w:tcMar>
          </w:tcPr>
          <w:p>
            <w:r>
              <w:rPr>
                <w:b w:val="false"/>
                <w:bCs w:val="false"/>
              </w:rPr>
              <w:t xml:space="preserve">usp_distribute_silver_transaction_entities, usp_distribute_silver_gem_events, usp_silver_transaction_item_to_fact, usp_gsh_devicehealth_to_fact_devicestate, usp_offer_analysis, usp_location_statistics</w:t>
            </w:r>
          </w:p>
        </w:tc>
      </w:tr>
      <w:tr>
        <w:tc>
          <w:tcPr>
            <w:tcW w:type="dxa" w:w="1600"/>
            <w:tcMar>
              <w:top w:type="dxa" w:w="60"/>
              <w:left w:type="dxa" w:w="100"/>
              <w:bottom w:type="dxa" w:w="60"/>
              <w:right w:type="dxa" w:w="100"/>
            </w:tcMar>
          </w:tcPr>
          <w:p>
            <w:r>
              <w:rPr>
                <w:b w:val="false"/>
                <w:bCs w:val="false"/>
              </w:rPr>
              <w:t xml:space="preserve">ml</w:t>
            </w:r>
          </w:p>
        </w:tc>
        <w:tc>
          <w:tcPr>
            <w:tcW w:type="dxa" w:w="1800"/>
            <w:tcMar>
              <w:top w:type="dxa" w:w="60"/>
              <w:left w:type="dxa" w:w="100"/>
              <w:bottom w:type="dxa" w:w="60"/>
              <w:right w:type="dxa" w:w="100"/>
            </w:tcMar>
          </w:tcPr>
          <w:p>
            <w:r>
              <w:rPr>
                <w:b w:val="false"/>
                <w:bCs w:val="false"/>
              </w:rPr>
              <w:t xml:space="preserve">8</w:t>
            </w:r>
          </w:p>
        </w:tc>
        <w:tc>
          <w:tcPr>
            <w:tcW w:type="dxa" w:w="5840"/>
            <w:tcMar>
              <w:top w:type="dxa" w:w="60"/>
              <w:left w:type="dxa" w:w="100"/>
              <w:bottom w:type="dxa" w:w="60"/>
              <w:right w:type="dxa" w:w="100"/>
            </w:tcMar>
          </w:tcPr>
          <w:p>
            <w:r>
              <w:rPr>
                <w:b w:val="false"/>
                <w:bCs w:val="false"/>
              </w:rPr>
              <w:t xml:space="preserve">usp_refresh_menu_entities, usp_refresh_item_modifier_matching, usp_refresh_upsell_analysis, usp_refresh_transactions</w:t>
            </w:r>
          </w:p>
        </w:tc>
      </w:tr>
      <w:tr>
        <w:tc>
          <w:tcPr>
            <w:tcW w:type="dxa" w:w="1600"/>
            <w:tcMar>
              <w:top w:type="dxa" w:w="60"/>
              <w:left w:type="dxa" w:w="100"/>
              <w:bottom w:type="dxa" w:w="60"/>
              <w:right w:type="dxa" w:w="100"/>
            </w:tcMar>
          </w:tcPr>
          <w:p>
            <w:r>
              <w:rPr>
                <w:b w:val="false"/>
                <w:bCs w:val="false"/>
              </w:rPr>
              <w:t xml:space="preserve">helpers</w:t>
            </w:r>
          </w:p>
        </w:tc>
        <w:tc>
          <w:tcPr>
            <w:tcW w:type="dxa" w:w="1800"/>
            <w:tcMar>
              <w:top w:type="dxa" w:w="60"/>
              <w:left w:type="dxa" w:w="100"/>
              <w:bottom w:type="dxa" w:w="60"/>
              <w:right w:type="dxa" w:w="100"/>
            </w:tcMar>
          </w:tcPr>
          <w:p>
            <w:r>
              <w:rPr>
                <w:b w:val="false"/>
                <w:bCs w:val="false"/>
              </w:rPr>
              <w:t xml:space="preserve">—</w:t>
            </w:r>
          </w:p>
        </w:tc>
        <w:tc>
          <w:tcPr>
            <w:tcW w:type="dxa" w:w="5840"/>
            <w:tcMar>
              <w:top w:type="dxa" w:w="60"/>
              <w:left w:type="dxa" w:w="100"/>
              <w:bottom w:type="dxa" w:w="60"/>
              <w:right w:type="dxa" w:w="100"/>
            </w:tcMar>
          </w:tcPr>
          <w:p>
            <w:r>
              <w:rPr>
                <w:b w:val="false"/>
                <w:bCs w:val="false"/>
              </w:rPr>
              <w:t xml:space="preserve">fact.fn_getdata(aty, dc, modid, appli) (event duration lookups), fact.updatewatermark(tablename)</w:t>
            </w:r>
          </w:p>
        </w:tc>
      </w:tr>
    </w:tbl>
    <w:p>
      <w:pPr>
        <w:pStyle w:val="Heading2"/>
        <w:spacing w:after="120" w:before="260"/>
      </w:pPr>
      <w:r>
        <w:t xml:space="preserve">6.2 How dim, fact, and ml procedures differ</w:t>
      </w:r>
    </w:p>
    <w:p>
      <w:pPr>
        <w:spacing w:after="140"/>
      </w:pPr>
      <w:r>
        <w:rPr>
          <w:b w:val="false"/>
          <w:bCs w:val="false"/>
          <w:i w:val="false"/>
          <w:iCs w:val="false"/>
        </w:rPr>
        <w:t xml:space="preserve">All three schema families follow the same broad shape — pull from a source table, transform, land in a target table — but each implements a distinct refresh strategy suited to its data's size, freshness requirements, and role in the model.</w:t>
      </w:r>
    </w:p>
    <w:p>
      <w:pPr>
        <w:pStyle w:val="Heading3"/>
        <w:spacing w:after="100" w:before="200"/>
      </w:pPr>
      <w:r>
        <w:t xml:space="preserve">dim — full snapshot comparison, no partition or watermark scoping</w:t>
      </w:r>
    </w:p>
    <w:p>
      <w:pPr>
        <w:pStyle w:val="ListParagraph"/>
        <w:numPr>
          <w:ilvl w:val="0"/>
          <w:numId w:val="2"/>
        </w:numPr>
        <w:spacing w:after="60"/>
      </w:pPr>
      <w:r>
        <w:t xml:space="preserve">Pattern: build a deduplicated snapshot into a session temp table — CREATE TEMP TABLE tmp_x ON COMMIT DROP AS SELECT DISTINCT ON (...) ... ORDER BY ...modified_on DESC NULLS LAST — then CREATE INDEX + ANALYZE on it, then apply two separate statements: an INSERT ... WHERE NOT EXISTS for net-new rows, and an UPDATE ... FROM tmp WHERE d.key = t.key AND (col IS DISTINCT FROM t.col OR ...) for changed rows only.</w:t>
      </w:r>
    </w:p>
    <w:p>
      <w:pPr>
        <w:pStyle w:val="ListParagraph"/>
        <w:numPr>
          <w:ilvl w:val="0"/>
          <w:numId w:val="2"/>
        </w:numPr>
        <w:spacing w:after="60"/>
      </w:pPr>
      <w:r>
        <w:t xml:space="preserve">Scope: dim procedures read the entire relevant stg.dim_* table on every run — there is no bronze_folderpath or watermark filter. This is workable because dimensions are comparatively small reference/master data (organizations, locations, kiosks, catalog, menu items), and the temp-table + index + ANALYZE step keeps a full comparison fast even on a complete scan.</w:t>
      </w:r>
    </w:p>
    <w:p>
      <w:pPr>
        <w:pStyle w:val="ListParagraph"/>
        <w:numPr>
          <w:ilvl w:val="0"/>
          <w:numId w:val="2"/>
        </w:numPr>
        <w:spacing w:after="60"/>
      </w:pPr>
      <w:r>
        <w:t xml:space="preserve">Why separate INSERT/UPDATE instead of a single ON CONFLICT DO UPDATE: it avoids taking write locks or triggering row rewrites on unchanged rows, and the IS DISTINCT FROM guard on the UPDATE prevents a no-op write from bumping sysupdatetime on rows that didn't actually change.</w:t>
      </w:r>
    </w:p>
    <w:p>
      <w:pPr>
        <w:pStyle w:val="Heading3"/>
        <w:spacing w:after="100" w:before="200"/>
      </w:pPr>
      <w:r>
        <w:t xml:space="preserve">fact — two sub-families</w:t>
      </w:r>
    </w:p>
    <w:p>
      <w:pPr>
        <w:pStyle w:val="ListParagraph"/>
        <w:numPr>
          <w:ilvl w:val="0"/>
          <w:numId w:val="2"/>
        </w:numPr>
        <w:spacing w:after="60"/>
      </w:pPr>
      <w:r>
        <w:t xml:space="preserve">Distribution procedures (usp_distribute_silver_transaction_entities, usp_distribute_silver_gem_events): take an explicit p_partition_path parameter and fan a single wide intake table out into many entity-specific silver tables in one call. Idempotent via DELETE WHERE bronze_folderpath = p_partition_path before INSERT — never TRUNCATE — so parallel ADF ForEach partitions don't collide with each other.</w:t>
      </w:r>
    </w:p>
    <w:p>
      <w:pPr>
        <w:pStyle w:val="ListParagraph"/>
        <w:numPr>
          <w:ilvl w:val="0"/>
          <w:numId w:val="2"/>
        </w:numPr>
        <w:spacing w:after="60"/>
      </w:pPr>
      <w:r>
        <w:t xml:space="preserve">Silver-to-fact procedures (usp_silver_transaction_item_to_fact, usp_gsh_devicehealth_to_fact_devicestate, and similar): take no partition parameter. Instead they read fact.watermarktable for that table/source and pull everything with ts/syscosmosts above COALESCE(ts, seed) minus a buffer (commonly 10, sometimes larger depending on the source's delivery lag), deduplicate with DISTINCT ON (...) ORDER BY syscosmosts DESC NULLS LAST, then INSERT ... ON CONFLICT (...) DO UPDATE SET ... WHERE &lt;col&gt; IS DISTINCT FROM EXCLUDED.&lt;col&gt; so re-delivered, unchanged rows don't cause a write.</w:t>
      </w:r>
    </w:p>
    <w:p>
      <w:pPr>
        <w:pStyle w:val="ListParagraph"/>
        <w:numPr>
          <w:ilvl w:val="0"/>
          <w:numId w:val="2"/>
        </w:numPr>
        <w:spacing w:after="60"/>
      </w:pPr>
      <w:r>
        <w:t xml:space="preserve">Why the split: distribution procedures operate against Bronze-partition-scoped Copy Activity output — parallel and safely replayable per ADF activity run. Silver-to-fact procedures operate against already-landed Silver rows and need one continuous, serialized notion of 'how far have we read' across all partitions, which is exactly what the watermark table gives them.</w:t>
      </w:r>
    </w:p>
    <w:p>
      <w:pPr>
        <w:pStyle w:val="Heading3"/>
        <w:spacing w:after="100" w:before="200"/>
      </w:pPr>
      <w:r>
        <w:t xml:space="preserve">ml — refresh_mode-driven full/incremental switch, plain delete-and-rebuild</w:t>
      </w:r>
    </w:p>
    <w:p>
      <w:pPr>
        <w:pStyle w:val="ListParagraph"/>
        <w:numPr>
          <w:ilvl w:val="0"/>
          <w:numId w:val="2"/>
        </w:numPr>
        <w:spacing w:after="60"/>
      </w:pPr>
      <w:r>
        <w:t xml:space="preserve">Pattern: most ml procedures take IN p_refresh_mode integer DEFAULT 1. Mode 0 means full load — TRUNCATE the entire target and reload all history. Mode 1 (the default) means incremental — find MAX(businessdate) already present in the target, DELETE FROM target WHERE businessdate &gt;= that date (covers a possibly-partial last load), then INSERT the same date window fresh from source.</w:t>
      </w:r>
    </w:p>
    <w:p>
      <w:pPr>
        <w:pStyle w:val="ListParagraph"/>
        <w:numPr>
          <w:ilvl w:val="0"/>
          <w:numId w:val="2"/>
        </w:numPr>
        <w:spacing w:after="60"/>
      </w:pPr>
      <w:r>
        <w:t xml:space="preserve">There is no ON CONFLICT / upsert logic anywhere in the ml schema — target tables are either truncated or date-windowed and rebuilt, never merged row by row. This is deliberate: ML feature tables (upsell_analysis, modifier_impressions, modifier_interactions, transactions, weather) are derived, denormalized aggregates recomputed from dim/fact data rather than systems of record, so rebuilding a window is simpler and cheaper than tracking per-row deltas.</w:t>
      </w:r>
    </w:p>
    <w:p>
      <w:pPr>
        <w:pStyle w:val="ListParagraph"/>
        <w:numPr>
          <w:ilvl w:val="0"/>
          <w:numId w:val="2"/>
        </w:numPr>
        <w:spacing w:after="60"/>
      </w:pPr>
      <w:r>
        <w:t xml:space="preserve">Two procedures — usp_refresh_item_modifiergroup_modifier_mapping and usp_refresh_item_modifier_matching — take IN p_organizationid text instead of p_refresh_mode, and scope their DELETE/INSERT to a single organization (or location) at a time. These are fuzzy-matching tables recomputed per tenant on demand rather than time-windowed on a schedule.</w:t>
      </w:r>
    </w:p>
    <w:p>
      <w:pPr>
        <w:pStyle w:val="Heading3"/>
        <w:spacing w:after="100" w:before="200"/>
      </w:pPr>
      <w:r>
        <w:t xml:space="preserve">Summary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2000"/>
        <w:gridCol w:w="1640"/>
      </w:tblGrid>
      <w:tr>
        <w:trPr>
          <w:tblHeader/>
        </w:trPr>
        <w:tc>
          <w:tcPr>
            <w:tcW w:type="dxa" w:w="1700"/>
            <w:shd w:fill="2E5395" w:val="clear"/>
            <w:tcMar>
              <w:top w:type="dxa" w:w="60"/>
              <w:left w:type="dxa" w:w="100"/>
              <w:bottom w:type="dxa" w:w="60"/>
              <w:right w:type="dxa" w:w="100"/>
            </w:tcMar>
          </w:tcPr>
          <w:p>
            <w:r>
              <w:rPr>
                <w:b/>
                <w:bCs/>
                <w:color w:val="FFFFFF"/>
              </w:rPr>
              <w:t xml:space="preserve">Aspect</w:t>
            </w:r>
          </w:p>
        </w:tc>
        <w:tc>
          <w:tcPr>
            <w:tcW w:type="dxa" w:w="1900"/>
            <w:shd w:fill="2E5395" w:val="clear"/>
            <w:tcMar>
              <w:top w:type="dxa" w:w="60"/>
              <w:left w:type="dxa" w:w="100"/>
              <w:bottom w:type="dxa" w:w="60"/>
              <w:right w:type="dxa" w:w="100"/>
            </w:tcMar>
          </w:tcPr>
          <w:p>
            <w:r>
              <w:rPr>
                <w:b/>
                <w:bCs/>
                <w:color w:val="FFFFFF"/>
              </w:rPr>
              <w:t xml:space="preserve">dim</w:t>
            </w:r>
          </w:p>
        </w:tc>
        <w:tc>
          <w:tcPr>
            <w:tcW w:type="dxa" w:w="2000"/>
            <w:shd w:fill="2E5395" w:val="clear"/>
            <w:tcMar>
              <w:top w:type="dxa" w:w="60"/>
              <w:left w:type="dxa" w:w="100"/>
              <w:bottom w:type="dxa" w:w="60"/>
              <w:right w:type="dxa" w:w="100"/>
            </w:tcMar>
          </w:tcPr>
          <w:p>
            <w:r>
              <w:rPr>
                <w:b/>
                <w:bCs/>
                <w:color w:val="FFFFFF"/>
              </w:rPr>
              <w:t xml:space="preserve">fact — distribution</w:t>
            </w:r>
          </w:p>
        </w:tc>
        <w:tc>
          <w:tcPr>
            <w:tcW w:type="dxa" w:w="2000"/>
            <w:shd w:fill="2E5395" w:val="clear"/>
            <w:tcMar>
              <w:top w:type="dxa" w:w="60"/>
              <w:left w:type="dxa" w:w="100"/>
              <w:bottom w:type="dxa" w:w="60"/>
              <w:right w:type="dxa" w:w="100"/>
            </w:tcMar>
          </w:tcPr>
          <w:p>
            <w:r>
              <w:rPr>
                <w:b/>
                <w:bCs/>
                <w:color w:val="FFFFFF"/>
              </w:rPr>
              <w:t xml:space="preserve">fact — silver-to-fact</w:t>
            </w:r>
          </w:p>
        </w:tc>
        <w:tc>
          <w:tcPr>
            <w:tcW w:type="dxa" w:w="1640"/>
            <w:shd w:fill="2E5395" w:val="clear"/>
            <w:tcMar>
              <w:top w:type="dxa" w:w="60"/>
              <w:left w:type="dxa" w:w="100"/>
              <w:bottom w:type="dxa" w:w="60"/>
              <w:right w:type="dxa" w:w="100"/>
            </w:tcMar>
          </w:tcPr>
          <w:p>
            <w:r>
              <w:rPr>
                <w:b/>
                <w:bCs/>
                <w:color w:val="FFFFFF"/>
              </w:rPr>
              <w:t xml:space="preserve">ml</w:t>
            </w:r>
          </w:p>
        </w:tc>
      </w:tr>
      <w:tr>
        <w:tc>
          <w:tcPr>
            <w:tcW w:type="dxa" w:w="1700"/>
            <w:tcMar>
              <w:top w:type="dxa" w:w="60"/>
              <w:left w:type="dxa" w:w="100"/>
              <w:bottom w:type="dxa" w:w="60"/>
              <w:right w:type="dxa" w:w="100"/>
            </w:tcMar>
          </w:tcPr>
          <w:p>
            <w:r>
              <w:rPr>
                <w:b w:val="false"/>
                <w:bCs w:val="false"/>
              </w:rPr>
              <w:t xml:space="preserve">Scope parameter</w:t>
            </w:r>
          </w:p>
        </w:tc>
        <w:tc>
          <w:tcPr>
            <w:tcW w:type="dxa" w:w="1900"/>
            <w:tcMar>
              <w:top w:type="dxa" w:w="60"/>
              <w:left w:type="dxa" w:w="100"/>
              <w:bottom w:type="dxa" w:w="60"/>
              <w:right w:type="dxa" w:w="100"/>
            </w:tcMar>
          </w:tcPr>
          <w:p>
            <w:r>
              <w:rPr>
                <w:b w:val="false"/>
                <w:bCs w:val="false"/>
              </w:rPr>
              <w:t xml:space="preserve">none (full stg scan)</w:t>
            </w:r>
          </w:p>
        </w:tc>
        <w:tc>
          <w:tcPr>
            <w:tcW w:type="dxa" w:w="2000"/>
            <w:tcMar>
              <w:top w:type="dxa" w:w="60"/>
              <w:left w:type="dxa" w:w="100"/>
              <w:bottom w:type="dxa" w:w="60"/>
              <w:right w:type="dxa" w:w="100"/>
            </w:tcMar>
          </w:tcPr>
          <w:p>
            <w:r>
              <w:rPr>
                <w:b w:val="false"/>
                <w:bCs w:val="false"/>
              </w:rPr>
              <w:t xml:space="preserve">p_partition_path</w:t>
            </w:r>
          </w:p>
        </w:tc>
        <w:tc>
          <w:tcPr>
            <w:tcW w:type="dxa" w:w="2000"/>
            <w:tcMar>
              <w:top w:type="dxa" w:w="60"/>
              <w:left w:type="dxa" w:w="100"/>
              <w:bottom w:type="dxa" w:w="60"/>
              <w:right w:type="dxa" w:w="100"/>
            </w:tcMar>
          </w:tcPr>
          <w:p>
            <w:r>
              <w:rPr>
                <w:b w:val="false"/>
                <w:bCs w:val="false"/>
              </w:rPr>
              <w:t xml:space="preserve">none (watermark-driven)</w:t>
            </w:r>
          </w:p>
        </w:tc>
        <w:tc>
          <w:tcPr>
            <w:tcW w:type="dxa" w:w="1640"/>
            <w:tcMar>
              <w:top w:type="dxa" w:w="60"/>
              <w:left w:type="dxa" w:w="100"/>
              <w:bottom w:type="dxa" w:w="60"/>
              <w:right w:type="dxa" w:w="100"/>
            </w:tcMar>
          </w:tcPr>
          <w:p>
            <w:r>
              <w:rPr>
                <w:b w:val="false"/>
                <w:bCs w:val="false"/>
              </w:rPr>
              <w:t xml:space="preserve">p_refresh_mode or p_organizationid</w:t>
            </w:r>
          </w:p>
        </w:tc>
      </w:tr>
      <w:tr>
        <w:tc>
          <w:tcPr>
            <w:tcW w:type="dxa" w:w="1700"/>
            <w:tcMar>
              <w:top w:type="dxa" w:w="60"/>
              <w:left w:type="dxa" w:w="100"/>
              <w:bottom w:type="dxa" w:w="60"/>
              <w:right w:type="dxa" w:w="100"/>
            </w:tcMar>
          </w:tcPr>
          <w:p>
            <w:r>
              <w:rPr>
                <w:b w:val="false"/>
                <w:bCs w:val="false"/>
              </w:rPr>
              <w:t xml:space="preserve">Change detection</w:t>
            </w:r>
          </w:p>
        </w:tc>
        <w:tc>
          <w:tcPr>
            <w:tcW w:type="dxa" w:w="1900"/>
            <w:tcMar>
              <w:top w:type="dxa" w:w="60"/>
              <w:left w:type="dxa" w:w="100"/>
              <w:bottom w:type="dxa" w:w="60"/>
              <w:right w:type="dxa" w:w="100"/>
            </w:tcMar>
          </w:tcPr>
          <w:p>
            <w:r>
              <w:rPr>
                <w:b w:val="false"/>
                <w:bCs w:val="false"/>
              </w:rPr>
              <w:t xml:space="preserve">temp table + IS DISTINCT FROM</w:t>
            </w:r>
          </w:p>
        </w:tc>
        <w:tc>
          <w:tcPr>
            <w:tcW w:type="dxa" w:w="2000"/>
            <w:tcMar>
              <w:top w:type="dxa" w:w="60"/>
              <w:left w:type="dxa" w:w="100"/>
              <w:bottom w:type="dxa" w:w="60"/>
              <w:right w:type="dxa" w:w="100"/>
            </w:tcMar>
          </w:tcPr>
          <w:p>
            <w:r>
              <w:rPr>
                <w:b w:val="false"/>
                <w:bCs w:val="false"/>
              </w:rPr>
              <w:t xml:space="preserve">none — inserts new partition rows</w:t>
            </w:r>
          </w:p>
        </w:tc>
        <w:tc>
          <w:tcPr>
            <w:tcW w:type="dxa" w:w="2000"/>
            <w:tcMar>
              <w:top w:type="dxa" w:w="60"/>
              <w:left w:type="dxa" w:w="100"/>
              <w:bottom w:type="dxa" w:w="60"/>
              <w:right w:type="dxa" w:w="100"/>
            </w:tcMar>
          </w:tcPr>
          <w:p>
            <w:r>
              <w:rPr>
                <w:b w:val="false"/>
                <w:bCs w:val="false"/>
              </w:rPr>
              <w:t xml:space="preserve">DISTINCT ON + syscosmosts DESC</w:t>
            </w:r>
          </w:p>
        </w:tc>
        <w:tc>
          <w:tcPr>
            <w:tcW w:type="dxa" w:w="1640"/>
            <w:tcMar>
              <w:top w:type="dxa" w:w="60"/>
              <w:left w:type="dxa" w:w="100"/>
              <w:bottom w:type="dxa" w:w="60"/>
              <w:right w:type="dxa" w:w="100"/>
            </w:tcMar>
          </w:tcPr>
          <w:p>
            <w:r>
              <w:rPr>
                <w:b w:val="false"/>
                <w:bCs w:val="false"/>
              </w:rPr>
              <w:t xml:space="preserve">none — date window or org rebuild</w:t>
            </w:r>
          </w:p>
        </w:tc>
      </w:tr>
      <w:tr>
        <w:tc>
          <w:tcPr>
            <w:tcW w:type="dxa" w:w="1700"/>
            <w:tcMar>
              <w:top w:type="dxa" w:w="60"/>
              <w:left w:type="dxa" w:w="100"/>
              <w:bottom w:type="dxa" w:w="60"/>
              <w:right w:type="dxa" w:w="100"/>
            </w:tcMar>
          </w:tcPr>
          <w:p>
            <w:r>
              <w:rPr>
                <w:b w:val="false"/>
                <w:bCs w:val="false"/>
              </w:rPr>
              <w:t xml:space="preserve">Write strategy</w:t>
            </w:r>
          </w:p>
        </w:tc>
        <w:tc>
          <w:tcPr>
            <w:tcW w:type="dxa" w:w="1900"/>
            <w:tcMar>
              <w:top w:type="dxa" w:w="60"/>
              <w:left w:type="dxa" w:w="100"/>
              <w:bottom w:type="dxa" w:w="60"/>
              <w:right w:type="dxa" w:w="100"/>
            </w:tcMar>
          </w:tcPr>
          <w:p>
            <w:r>
              <w:rPr>
                <w:b w:val="false"/>
                <w:bCs w:val="false"/>
              </w:rPr>
              <w:t xml:space="preserve">separate INSERT (new) / UPDATE (changed)</w:t>
            </w:r>
          </w:p>
        </w:tc>
        <w:tc>
          <w:tcPr>
            <w:tcW w:type="dxa" w:w="2000"/>
            <w:tcMar>
              <w:top w:type="dxa" w:w="60"/>
              <w:left w:type="dxa" w:w="100"/>
              <w:bottom w:type="dxa" w:w="60"/>
              <w:right w:type="dxa" w:w="100"/>
            </w:tcMar>
          </w:tcPr>
          <w:p>
            <w:r>
              <w:rPr>
                <w:b w:val="false"/>
                <w:bCs w:val="false"/>
              </w:rPr>
              <w:t xml:space="preserve">INSERT after DELETE WHERE bronze_folderpath = ...</w:t>
            </w:r>
          </w:p>
        </w:tc>
        <w:tc>
          <w:tcPr>
            <w:tcW w:type="dxa" w:w="2000"/>
            <w:tcMar>
              <w:top w:type="dxa" w:w="60"/>
              <w:left w:type="dxa" w:w="100"/>
              <w:bottom w:type="dxa" w:w="60"/>
              <w:right w:type="dxa" w:w="100"/>
            </w:tcMar>
          </w:tcPr>
          <w:p>
            <w:r>
              <w:rPr>
                <w:b w:val="false"/>
                <w:bCs w:val="false"/>
              </w:rPr>
              <w:t xml:space="preserve">INSERT ... ON CONFLICT DO UPDATE ... WHERE IS DISTINCT FROM</w:t>
            </w:r>
          </w:p>
        </w:tc>
        <w:tc>
          <w:tcPr>
            <w:tcW w:type="dxa" w:w="1640"/>
            <w:tcMar>
              <w:top w:type="dxa" w:w="60"/>
              <w:left w:type="dxa" w:w="100"/>
              <w:bottom w:type="dxa" w:w="60"/>
              <w:right w:type="dxa" w:w="100"/>
            </w:tcMar>
          </w:tcPr>
          <w:p>
            <w:r>
              <w:rPr>
                <w:b w:val="false"/>
                <w:bCs w:val="false"/>
              </w:rPr>
              <w:t xml:space="preserve">TRUNCATE, or DELETE WHERE businessdate &gt;= ... then INSERT</w:t>
            </w:r>
          </w:p>
        </w:tc>
      </w:tr>
      <w:tr>
        <w:tc>
          <w:tcPr>
            <w:tcW w:type="dxa" w:w="1700"/>
            <w:tcMar>
              <w:top w:type="dxa" w:w="60"/>
              <w:left w:type="dxa" w:w="100"/>
              <w:bottom w:type="dxa" w:w="60"/>
              <w:right w:type="dxa" w:w="100"/>
            </w:tcMar>
          </w:tcPr>
          <w:p>
            <w:r>
              <w:rPr>
                <w:b w:val="false"/>
                <w:bCs w:val="false"/>
              </w:rPr>
              <w:t xml:space="preserve">Idempotency mechanism</w:t>
            </w:r>
          </w:p>
        </w:tc>
        <w:tc>
          <w:tcPr>
            <w:tcW w:type="dxa" w:w="1900"/>
            <w:tcMar>
              <w:top w:type="dxa" w:w="60"/>
              <w:left w:type="dxa" w:w="100"/>
              <w:bottom w:type="dxa" w:w="60"/>
              <w:right w:type="dxa" w:w="100"/>
            </w:tcMar>
          </w:tcPr>
          <w:p>
            <w:r>
              <w:rPr>
                <w:b w:val="false"/>
                <w:bCs w:val="false"/>
              </w:rPr>
              <w:t xml:space="preserve">natural key + IS DISTINCT FROM</w:t>
            </w:r>
          </w:p>
        </w:tc>
        <w:tc>
          <w:tcPr>
            <w:tcW w:type="dxa" w:w="2000"/>
            <w:tcMar>
              <w:top w:type="dxa" w:w="60"/>
              <w:left w:type="dxa" w:w="100"/>
              <w:bottom w:type="dxa" w:w="60"/>
              <w:right w:type="dxa" w:w="100"/>
            </w:tcMar>
          </w:tcPr>
          <w:p>
            <w:r>
              <w:rPr>
                <w:b w:val="false"/>
                <w:bCs w:val="false"/>
              </w:rPr>
              <w:t xml:space="preserve">bronze_folderpath-scoped DELETE</w:t>
            </w:r>
          </w:p>
        </w:tc>
        <w:tc>
          <w:tcPr>
            <w:tcW w:type="dxa" w:w="2000"/>
            <w:tcMar>
              <w:top w:type="dxa" w:w="60"/>
              <w:left w:type="dxa" w:w="100"/>
              <w:bottom w:type="dxa" w:w="60"/>
              <w:right w:type="dxa" w:w="100"/>
            </w:tcMar>
          </w:tcPr>
          <w:p>
            <w:r>
              <w:rPr>
                <w:b w:val="false"/>
                <w:bCs w:val="false"/>
              </w:rPr>
              <w:t xml:space="preserve">ON CONFLICT + watermark overlap buffer</w:t>
            </w:r>
          </w:p>
        </w:tc>
        <w:tc>
          <w:tcPr>
            <w:tcW w:type="dxa" w:w="1640"/>
            <w:tcMar>
              <w:top w:type="dxa" w:w="60"/>
              <w:left w:type="dxa" w:w="100"/>
              <w:bottom w:type="dxa" w:w="60"/>
              <w:right w:type="dxa" w:w="100"/>
            </w:tcMar>
          </w:tcPr>
          <w:p>
            <w:r>
              <w:rPr>
                <w:b w:val="false"/>
                <w:bCs w:val="false"/>
              </w:rPr>
              <w:t xml:space="preserve">full rebuild of the affected window/org</w:t>
            </w:r>
          </w:p>
        </w:tc>
      </w:tr>
      <w:tr>
        <w:tc>
          <w:tcPr>
            <w:tcW w:type="dxa" w:w="1700"/>
            <w:tcMar>
              <w:top w:type="dxa" w:w="60"/>
              <w:left w:type="dxa" w:w="100"/>
              <w:bottom w:type="dxa" w:w="60"/>
              <w:right w:type="dxa" w:w="100"/>
            </w:tcMar>
          </w:tcPr>
          <w:p>
            <w:r>
              <w:rPr>
                <w:b w:val="false"/>
                <w:bCs w:val="false"/>
              </w:rPr>
              <w:t xml:space="preserve">Typical source</w:t>
            </w:r>
          </w:p>
        </w:tc>
        <w:tc>
          <w:tcPr>
            <w:tcW w:type="dxa" w:w="1900"/>
            <w:tcMar>
              <w:top w:type="dxa" w:w="60"/>
              <w:left w:type="dxa" w:w="100"/>
              <w:bottom w:type="dxa" w:w="60"/>
              <w:right w:type="dxa" w:w="100"/>
            </w:tcMar>
          </w:tcPr>
          <w:p>
            <w:r>
              <w:rPr>
                <w:b w:val="false"/>
                <w:bCs w:val="false"/>
              </w:rPr>
              <w:t xml:space="preserve">stg.dim_* (Copy Activity landed)</w:t>
            </w:r>
          </w:p>
        </w:tc>
        <w:tc>
          <w:tcPr>
            <w:tcW w:type="dxa" w:w="2000"/>
            <w:tcMar>
              <w:top w:type="dxa" w:w="60"/>
              <w:left w:type="dxa" w:w="100"/>
              <w:bottom w:type="dxa" w:w="60"/>
              <w:right w:type="dxa" w:w="100"/>
            </w:tcMar>
          </w:tcPr>
          <w:p>
            <w:r>
              <w:rPr>
                <w:b w:val="false"/>
                <w:bCs w:val="false"/>
              </w:rPr>
              <w:t xml:space="preserve">stg.silver_all_transaction_entities / silver_all_gem_events</w:t>
            </w:r>
          </w:p>
        </w:tc>
        <w:tc>
          <w:tcPr>
            <w:tcW w:type="dxa" w:w="2000"/>
            <w:tcMar>
              <w:top w:type="dxa" w:w="60"/>
              <w:left w:type="dxa" w:w="100"/>
              <w:bottom w:type="dxa" w:w="60"/>
              <w:right w:type="dxa" w:w="100"/>
            </w:tcMar>
          </w:tcPr>
          <w:p>
            <w:r>
              <w:rPr>
                <w:b w:val="false"/>
                <w:bCs w:val="false"/>
              </w:rPr>
              <w:t xml:space="preserve">stg.silver_* entity tables</w:t>
            </w:r>
          </w:p>
        </w:tc>
        <w:tc>
          <w:tcPr>
            <w:tcW w:type="dxa" w:w="1640"/>
            <w:tcMar>
              <w:top w:type="dxa" w:w="60"/>
              <w:left w:type="dxa" w:w="100"/>
              <w:bottom w:type="dxa" w:w="60"/>
              <w:right w:type="dxa" w:w="100"/>
            </w:tcMar>
          </w:tcPr>
          <w:p>
            <w:r>
              <w:rPr>
                <w:b w:val="false"/>
                <w:bCs w:val="false"/>
              </w:rPr>
              <w:t xml:space="preserve">dim.* / fact.* (already-modeled Gold data)</w:t>
            </w:r>
          </w:p>
        </w:tc>
      </w:tr>
    </w:tbl>
    <w:p>
      <w:pPr>
        <w:spacing w:after="140"/>
      </w:pPr>
      <w:r>
        <w:rPr>
          <w:b w:val="false"/>
          <w:bCs w:val="false"/>
          <w:i/>
          <w:iCs/>
        </w:rPr>
        <w:t xml:space="preserve">Standard dim.usp_refresh_* helper pattern recap: build into a temp table → index it → ANALYZE → separate INSERT for new rows and UPDATE for changed rows, which keeps large dimension refreshes fast and lock-light on Citus.</w:t>
      </w:r>
    </w:p>
    <w:p>
      <w:pPr>
        <w:pStyle w:val="Heading1"/>
        <w:spacing w:after="160" w:before="320"/>
      </w:pPr>
      <w:r>
        <w:t xml:space="preserve">7. Fuzzy Matching / ML Support Infrastructure</w:t>
      </w:r>
    </w:p>
    <w:p>
      <w:pPr>
        <w:spacing w:after="140"/>
      </w:pPr>
      <w:r>
        <w:rPr>
          <w:b w:val="false"/>
          <w:bCs w:val="false"/>
          <w:i w:val="false"/>
          <w:iCs w:val="false"/>
        </w:rPr>
        <w:t xml:space="preserve">Built to support Smart Upsell and Smart Menus models:</w:t>
      </w:r>
    </w:p>
    <w:p>
      <w:pPr>
        <w:pStyle w:val="ListParagraph"/>
        <w:numPr>
          <w:ilvl w:val="0"/>
          <w:numId w:val="2"/>
        </w:numPr>
        <w:spacing w:after="60"/>
      </w:pPr>
      <w:r>
        <w:t xml:space="preserve">Ported rapidfuzz.fuzz.token_sort_ratio from Python into native PostgreSQL functions: dim.ml_normalize, dim.token_sort, dim.token_sort_ratio, dim.tsr_presorted.</w:t>
      </w:r>
    </w:p>
    <w:p>
      <w:pPr>
        <w:pStyle w:val="ListParagraph"/>
        <w:numPr>
          <w:ilvl w:val="0"/>
          <w:numId w:val="2"/>
        </w:numPr>
        <w:spacing w:after="60"/>
      </w:pPr>
      <w:r>
        <w:t xml:space="preserve">ml.usp_run_item_modifier_matching sources directly from already-denormalized ml.item_modifiergroup_modifier_mapping and ml.menu_entities, avoiding redundant joins against raw dimension tables.</w:t>
      </w:r>
    </w:p>
    <w:p>
      <w:pPr>
        <w:pStyle w:val="ListParagraph"/>
        <w:numPr>
          <w:ilvl w:val="0"/>
          <w:numId w:val="2"/>
        </w:numPr>
        <w:spacing w:after="60"/>
      </w:pPr>
      <w:r>
        <w:t xml:space="preserve">Grain correction applied: primary key on the mapping table is (organizationid, locationid, modifierid), not just (organizationid, modifierid) — the earlier grain silently collapsed rows across locations.</w:t>
      </w:r>
    </w:p>
    <w:p>
      <w:pPr>
        <w:pStyle w:val="Heading1"/>
        <w:spacing w:after="160" w:before="320"/>
      </w:pPr>
      <w:r>
        <w:t xml:space="preserve">8. Indexing Conventions</w:t>
      </w:r>
    </w:p>
    <w:p>
      <w:pPr>
        <w:spacing w:after="140"/>
      </w:pPr>
      <w:r>
        <w:rPr>
          <w:b w:val="false"/>
          <w:bCs w:val="false"/>
          <w:i w:val="false"/>
          <w:iCs w:val="false"/>
        </w:rPr>
        <w:t xml:space="preserve">Index inventory: 32 (dim), 37 (fact), 16 (ml), 16 (stg) — 101 indexes total, 14 of which are BRIN.</w:t>
      </w:r>
    </w:p>
    <w:p>
      <w:pPr>
        <w:pStyle w:val="ListParagraph"/>
        <w:numPr>
          <w:ilvl w:val="0"/>
          <w:numId w:val="2"/>
        </w:numPr>
        <w:spacing w:after="60"/>
      </w:pPr>
      <w:r>
        <w:t xml:space="preserve">BRIN indexes on syscosmosts (and similar monotonic watermark columns) with pages_per_range = 128 are the standard choice for large, append-mostly fact tables — e.g. ix_deviceevent_syscosmosts_brin, ix_transactionheader_syscosmosts_brin, ix_userbehaviour_syscosmosts_brin, ix_silver_kiosk_events_syscosmosts_brin. BRIN is preferred over B-tree here because these columns are large, monotonically-ish increasing, and scanned in ranges rather than point-looked-up.</w:t>
      </w:r>
    </w:p>
    <w:p>
      <w:pPr>
        <w:spacing w:after="140"/>
      </w:pPr>
      <w:r>
        <w:rPr>
          <w:b/>
          <w:bCs/>
          <w:i w:val="false"/>
          <w:iCs w:val="false"/>
        </w:rPr>
        <w:t xml:space="preserve">Schema audit findings (open items):</w:t>
      </w:r>
    </w:p>
    <w:p>
      <w:pPr>
        <w:pStyle w:val="ListParagraph"/>
        <w:numPr>
          <w:ilvl w:val="0"/>
          <w:numId w:val="2"/>
        </w:numPr>
        <w:spacing w:after="60"/>
      </w:pPr>
      <w:r>
        <w:t xml:space="preserve">Zero index coverage on syscosmosts watermark columns across ~35 tables — BRIN recommended as the fix.</w:t>
      </w:r>
    </w:p>
    <w:p>
      <w:pPr>
        <w:pStyle w:val="ListParagraph"/>
        <w:numPr>
          <w:ilvl w:val="0"/>
          <w:numId w:val="2"/>
        </w:numPr>
        <w:spacing w:after="60"/>
      </w:pPr>
      <w:r>
        <w:t xml:space="preserve">Missing indexes on several modifier fact tables.</w:t>
      </w:r>
    </w:p>
    <w:p>
      <w:pPr>
        <w:pStyle w:val="ListParagraph"/>
        <w:numPr>
          <w:ilvl w:val="0"/>
          <w:numId w:val="2"/>
        </w:numPr>
        <w:spacing w:after="60"/>
      </w:pPr>
      <w:r>
        <w:t xml:space="preserve">Roughly 10 fact tables have no primary key at all.</w:t>
      </w:r>
    </w:p>
    <w:p>
      <w:pPr>
        <w:pStyle w:val="ListParagraph"/>
        <w:numPr>
          <w:ilvl w:val="0"/>
          <w:numId w:val="2"/>
        </w:numPr>
        <w:spacing w:after="60"/>
      </w:pPr>
      <w:r>
        <w:t xml:space="preserve">fact.ordertiming was found missing a unique constraint that its own ON CONFLICT clause depends on — a live bug, not just a performance gap.</w:t>
      </w:r>
    </w:p>
    <w:p>
      <w:pPr>
        <w:pStyle w:val="ListParagraph"/>
        <w:numPr>
          <w:ilvl w:val="0"/>
          <w:numId w:val="2"/>
        </w:numPr>
        <w:spacing w:after="60"/>
      </w:pPr>
      <w:r>
        <w:t xml:space="preserve">Redundant indexes exist across multiple fact/dim tables.</w:t>
      </w:r>
    </w:p>
    <w:p>
      <w:pPr>
        <w:pStyle w:val="ListParagraph"/>
        <w:numPr>
          <w:ilvl w:val="0"/>
          <w:numId w:val="2"/>
        </w:numPr>
        <w:spacing w:after="60"/>
      </w:pPr>
      <w:r>
        <w:t xml:space="preserve">Sequence cache tuning needed in places (see Section 9).</w:t>
      </w:r>
    </w:p>
    <w:p>
      <w:pPr>
        <w:pStyle w:val="ListParagraph"/>
        <w:numPr>
          <w:ilvl w:val="0"/>
          <w:numId w:val="2"/>
        </w:numPr>
        <w:spacing w:after="60"/>
      </w:pPr>
      <w:r>
        <w:t xml:space="preserve">DDL drift identified against gas_db_ddls_merged_20260530.sql — the merged DDL file is not fully in sync with the live schema.</w:t>
      </w:r>
    </w:p>
    <w:p>
      <w:pPr>
        <w:pStyle w:val="Heading1"/>
        <w:spacing w:after="160" w:before="320"/>
      </w:pPr>
      <w:r>
        <w:t xml:space="preserve">9. Sequences &amp; Surrogate Keys</w:t>
      </w:r>
    </w:p>
    <w:p>
      <w:pPr>
        <w:pStyle w:val="ListParagraph"/>
        <w:numPr>
          <w:ilvl w:val="0"/>
          <w:numId w:val="2"/>
        </w:numPr>
        <w:spacing w:after="60"/>
      </w:pPr>
      <w:r>
        <w:t xml:space="preserve">Convention: nextval()-based sequences for surrogate keys (not IDENTITY columns), explicitly linked via ALTER SEQUENCE ... OWNED BY.</w:t>
      </w:r>
    </w:p>
    <w:p>
      <w:pPr>
        <w:pStyle w:val="ListParagraph"/>
        <w:numPr>
          <w:ilvl w:val="0"/>
          <w:numId w:val="2"/>
        </w:numPr>
        <w:spacing w:after="60"/>
      </w:pPr>
      <w:r>
        <w:t xml:space="preserve">A dedicated synchronization script (gas_db_sequence_synchronization.sql) resets sequences to COALESCE(MAX(id), 0) of their owning column and (re)attaches them as column defaults — used to recover sequences after bulk loads, migrations, or IDENTITY-to-sequence conversions. Covers: dim.element, dim.view, dim.frequentcustomer, dim.itemcategory, dim.kiosk, dim.menuitem, dim.occasionsurvey, dim.ordertype, fact.devicestate, fact.ordertiming, fact.transactionheader, fact.userbehaviour.</w:t>
      </w:r>
    </w:p>
    <w:p>
      <w:pPr>
        <w:pStyle w:val="Heading1"/>
        <w:spacing w:after="160" w:before="320"/>
      </w:pPr>
      <w:r>
        <w:t xml:space="preserve">10. Deduplication Infrastructure</w:t>
      </w:r>
    </w:p>
    <w:p>
      <w:pPr>
        <w:spacing w:after="140"/>
      </w:pPr>
      <w:r>
        <w:rPr>
          <w:b w:val="false"/>
          <w:bCs w:val="false"/>
          <w:i w:val="false"/>
          <w:iCs w:val="false"/>
        </w:rPr>
        <w:t xml:space="preserve">Per-location ROW_NUMBER() / ctid-based DELETE stored procedures, with syscosmosts DESC as the tie-breaker, applied against:</w:t>
      </w:r>
    </w:p>
    <w:p>
      <w:pPr>
        <w:pStyle w:val="ListParagraph"/>
        <w:numPr>
          <w:ilvl w:val="0"/>
          <w:numId w:val="2"/>
        </w:numPr>
        <w:spacing w:after="60"/>
      </w:pPr>
      <w:r>
        <w:t xml:space="preserve">fact.occasionsurveydetail</w:t>
      </w:r>
    </w:p>
    <w:p>
      <w:pPr>
        <w:pStyle w:val="ListParagraph"/>
        <w:numPr>
          <w:ilvl w:val="0"/>
          <w:numId w:val="2"/>
        </w:numPr>
        <w:spacing w:after="60"/>
      </w:pPr>
      <w:r>
        <w:t xml:space="preserve">fact.itemssurvey</w:t>
      </w:r>
    </w:p>
    <w:p>
      <w:pPr>
        <w:pStyle w:val="ListParagraph"/>
        <w:numPr>
          <w:ilvl w:val="0"/>
          <w:numId w:val="2"/>
        </w:numPr>
        <w:spacing w:after="60"/>
      </w:pPr>
      <w:r>
        <w:t xml:space="preserve">fact.deviceevent (~176M rows — via usp_dedup_deviceevent_by_location, looping per location with mid-loop COMMITs to avoid long-running transactions on a large table)</w:t>
      </w:r>
    </w:p>
    <w:p>
      <w:pPr>
        <w:pStyle w:val="ListParagraph"/>
        <w:numPr>
          <w:ilvl w:val="0"/>
          <w:numId w:val="2"/>
        </w:numPr>
        <w:spacing w:after="60"/>
      </w:pPr>
      <w:r>
        <w:t xml:space="preserve">fact.userbehaviour (~36M rows — rebuilt as a combined INSERT covering all enrichment joins in one pass)</w:t>
      </w:r>
    </w:p>
    <w:p>
      <w:pPr>
        <w:spacing w:after="140"/>
      </w:pPr>
      <w:r>
        <w:rPr>
          <w:b w:val="false"/>
          <w:bCs w:val="false"/>
          <w:i w:val="false"/>
          <w:iCs w:val="false"/>
        </w:rPr>
        <w:t xml:space="preserve">Supporting tuning work: unique constraints added post-dedup, autovacuum_vacuum_scale_factor = 0.02 on these tables, and VACUUM VERBOSE used to confirm I/O-bound (not CPU-bound) runs.</w:t>
      </w:r>
    </w:p>
    <w:p>
      <w:pPr>
        <w:pStyle w:val="Heading1"/>
        <w:spacing w:after="160" w:before="320"/>
      </w:pPr>
      <w:r>
        <w:t xml:space="preserve">11. Other Data Model Notes</w:t>
      </w:r>
    </w:p>
    <w:p>
      <w:pPr>
        <w:pStyle w:val="ListParagraph"/>
        <w:numPr>
          <w:ilvl w:val="0"/>
          <w:numId w:val="2"/>
        </w:numPr>
        <w:spacing w:after="60"/>
      </w:pPr>
      <w:r>
        <w:t xml:space="preserve">dim.item_modifier_group_modifier_mapping, dim.category_hierarchy, dim.duplicate_items_master, and dim.grubbrr_source_lookup support catalog normalization across POS/kiosk sources.</w:t>
      </w:r>
    </w:p>
    <w:p>
      <w:pPr>
        <w:pStyle w:val="ListParagraph"/>
        <w:numPr>
          <w:ilvl w:val="0"/>
          <w:numId w:val="2"/>
        </w:numPr>
        <w:spacing w:after="60"/>
      </w:pPr>
      <w:r>
        <w:t xml:space="preserve">Several _bkp tables exist (dim.frequentcustomer_bkp, dim.itemcategory_bkp, dim.ordertype_bkp, dim.weather_bkp, fact.recommendations_bkp) — pre-migration backups kept alongside live tables.</w:t>
      </w:r>
    </w:p>
    <w:p>
      <w:pPr>
        <w:pStyle w:val="ListParagraph"/>
        <w:numPr>
          <w:ilvl w:val="0"/>
          <w:numId w:val="2"/>
        </w:numPr>
        <w:spacing w:after="60"/>
      </w:pPr>
      <w:r>
        <w:t xml:space="preserve">fact.watermarktable, fact.pipelinerunstatus, fact.gem_failed_order_job_notifications, and etl.bronze_partition_registry form the operational/observability layer for the pipeline itself, separate from business fact tables.</w:t>
      </w:r>
    </w:p>
    <w:p>
      <w:pPr>
        <w:pStyle w:val="ListParagraph"/>
        <w:numPr>
          <w:ilvl w:val="0"/>
          <w:numId w:val="2"/>
        </w:numPr>
        <w:spacing w:after="60"/>
      </w:pPr>
      <w:r>
        <w:t xml:space="preserve">Two reporting views exist: dim.vw_grubbrrinstallbase / dim.vw_grubbrrinstallbase_all_devices (install-base dashboard) and fact.vw_offer_analysis.</w:t>
      </w:r>
    </w:p>
    <w:p>
      <w:pPr>
        <w:pStyle w:val="Heading1"/>
        <w:spacing w:after="160" w:before="320"/>
      </w:pPr>
      <w:r>
        <w:t xml:space="preserve">12. Open Items / Roadmap</w:t>
      </w:r>
    </w:p>
    <w:p>
      <w:pPr>
        <w:pStyle w:val="ListParagraph"/>
        <w:numPr>
          <w:ilvl w:val="0"/>
          <w:numId w:val="3"/>
        </w:numPr>
        <w:spacing w:after="60"/>
      </w:pPr>
      <w:r>
        <w:t xml:space="preserve">Azure Function for Bronze small-file compaction (NDJSON concatenation) — hosting plan (Consumption vs. Premium) undecided.</w:t>
      </w:r>
    </w:p>
    <w:p>
      <w:pPr>
        <w:pStyle w:val="ListParagraph"/>
        <w:numPr>
          <w:ilvl w:val="0"/>
          <w:numId w:val="3"/>
        </w:numPr>
        <w:spacing w:after="60"/>
      </w:pPr>
      <w:r>
        <w:t xml:space="preserve">BRIN index rollout across the ~35 tables missing syscosmosts coverage.</w:t>
      </w:r>
    </w:p>
    <w:p>
      <w:pPr>
        <w:pStyle w:val="ListParagraph"/>
        <w:numPr>
          <w:ilvl w:val="0"/>
          <w:numId w:val="3"/>
        </w:numPr>
        <w:spacing w:after="60"/>
      </w:pPr>
      <w:r>
        <w:t xml:space="preserve">Add primary keys to the ~10 fact tables currently without one.</w:t>
      </w:r>
    </w:p>
    <w:p>
      <w:pPr>
        <w:pStyle w:val="ListParagraph"/>
        <w:numPr>
          <w:ilvl w:val="0"/>
          <w:numId w:val="3"/>
        </w:numPr>
        <w:spacing w:after="60"/>
      </w:pPr>
      <w:r>
        <w:t xml:space="preserve">Add the missing unique constraint on fact.ordertiming required by its ON CONFLICT clause.</w:t>
      </w:r>
    </w:p>
    <w:p>
      <w:pPr>
        <w:pStyle w:val="ListParagraph"/>
        <w:numPr>
          <w:ilvl w:val="0"/>
          <w:numId w:val="3"/>
        </w:numPr>
        <w:spacing w:after="60"/>
      </w:pPr>
      <w:r>
        <w:t xml:space="preserve">Clean up redundant indexes identified in the schema audit.</w:t>
      </w:r>
    </w:p>
    <w:p>
      <w:pPr>
        <w:pStyle w:val="ListParagraph"/>
        <w:numPr>
          <w:ilvl w:val="0"/>
          <w:numId w:val="3"/>
        </w:numPr>
        <w:spacing w:after="60"/>
      </w:pPr>
      <w:r>
        <w:t xml:space="preserve">Resolve DDL drift against gas_db_ddls_merged_20260530.sql.</w:t>
      </w:r>
    </w:p>
    <w:p>
      <w:pPr>
        <w:pStyle w:val="ListParagraph"/>
        <w:numPr>
          <w:ilvl w:val="0"/>
          <w:numId w:val="3"/>
        </w:numPr>
        <w:spacing w:after="60"/>
      </w:pPr>
      <w:r>
        <w:t xml:space="preserve">Sequence cache tuning for high-throughput surrogate key sequences.</w:t>
      </w:r>
    </w:p>
    <w:p>
      <w:pPr>
        <w:spacing w:after="140"/>
      </w:pPr>
      <w:r>
        <w:rPr>
          <w:b w:val="false"/>
          <w:bCs w:val="false"/>
          <w:i/>
          <w:iCs/>
        </w:rPr>
        <w:t xml:space="preserve">This document reflects the ARM template for df-gas-test-eastus, the merged DDL snapshot (gas_db_ddls_merged_20260530.sql), dim/fact/ml stored procedure files, gas_indexes.sql, and gas_db_sequence_synchronization.sql, cross-referenced with prior engineering work on this warehouse.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2026-07-09T11:38:00.921Z</dcterms:created>
  <dcterms:modified xsi:type="dcterms:W3CDTF">2026-07-09T11:38:00.940Z</dcterms:modified>
</cp:coreProperties>
</file>

<file path=docProps/custom.xml><?xml version="1.0" encoding="utf-8"?>
<Properties xmlns="http://schemas.openxmlformats.org/officeDocument/2006/custom-properties" xmlns:vt="http://schemas.openxmlformats.org/officeDocument/2006/docPropsVTypes"/>
</file>