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Overskrift1"/>
      </w:pPr>
      <w:bookmarkStart w:id="20" w:name="bakgrunn"/>
      <w:r>
        <w:t xml:space="preserve">Bakgrunn</w:t>
      </w:r>
      <w:bookmarkEnd w:id="20"/>
    </w:p>
    <w:p>
      <w:pPr>
        <w:pStyle w:val="FirstParagraph"/>
      </w:pPr>
      <w:r>
        <w:t xml:space="preserve">Bymiljøavtalen som ble inngått i 2016 mellom Trondheim kommune, Sør-Trøndelag fylkeskommune og Staten gjaldt for perioden 2016-2023. Målet med avtalen var at veksten i persontransporten skal tas med kollektivtrafikk, sykling og gåing («nullvekstmålet»). Området avtalen gjaldt for var Trondheim kommune.</w:t>
      </w:r>
    </w:p>
    <w:p>
      <w:pPr>
        <w:pStyle w:val="BodyText"/>
      </w:pPr>
      <w:r>
        <w:t xml:space="preserve">Byindeksen er en av målindikatorene og den estimerer endringen i biltrafikk. Byindeksen er en trafikkindeks for vegtrafikk basert på registreringer fra faste trafikkregistreringspunkter og bomstasjoner fordelt på riksveger, fylkesveger og kommunale veger. Trafikkindeksen skal gi et representativt bilde av trafikkutviklingen i avtaleområdet.</w:t>
      </w:r>
    </w:p>
    <w:p>
      <w:pPr>
        <w:pStyle w:val="BodyText"/>
      </w:pPr>
      <w:r>
        <w:t xml:space="preserve">Byindeksen gjelder for</w:t>
      </w:r>
      <w:r>
        <w:t xml:space="preserve"> </w:t>
      </w:r>
      <w:r>
        <w:t xml:space="preserve">“</w:t>
      </w:r>
      <w:r>
        <w:t xml:space="preserve">lette</w:t>
      </w:r>
      <w:r>
        <w:t xml:space="preserve">”</w:t>
      </w:r>
      <w:r>
        <w:t xml:space="preserve"> </w:t>
      </w:r>
      <w:r>
        <w:t xml:space="preserve">biler. Lette biler er her definert å være målt til kortere enn 5,6 m i Statens vegvesens trafikkregistreringsstasjoner, og i data fra bomstasjonene er det kategorien</w:t>
      </w:r>
      <w:r>
        <w:t xml:space="preserve"> </w:t>
      </w:r>
      <w:r>
        <w:t xml:space="preserve">“</w:t>
      </w:r>
      <w:r>
        <w:t xml:space="preserve">lette kjøretøy</w:t>
      </w:r>
      <w:r>
        <w:t xml:space="preserve">”</w:t>
      </w:r>
      <w:r>
        <w:t xml:space="preserve"> </w:t>
      </w:r>
      <w:r>
        <w:t xml:space="preserve">som benyttes. Lettere næringstransport skal i teorien være er tatt ut av trafikkindeksen da det er unntatt fra nullvekstmålet. Det samme gjelder for gjennomgangstrafikk. Disse to kategoriene trafikk er likevel ikke mulig å skille ut av datamaterialet da det ikke foreligger noe informasjon i registreringene som skiller de fra øvrig trafikk med lette biler.</w:t>
      </w:r>
    </w:p>
    <w:p>
      <w:pPr>
        <w:pStyle w:val="BodyText"/>
      </w:pPr>
      <w:r>
        <w:t xml:space="preserve">(Bymiljøavtalen for Trondheim kommune ble i 2019 erstattet av en byvekstavtale for Trondheimsområdet som gjelder for 2019-2029.)</w:t>
      </w:r>
    </w:p>
    <w:p>
      <w:pPr>
        <w:pStyle w:val="Overskrift2"/>
      </w:pPr>
      <w:bookmarkStart w:id="21" w:name="byindekspunktenes-plassering"/>
      <w:r>
        <w:t xml:space="preserve">Byindekspunktenes plassering</w:t>
      </w:r>
      <w:bookmarkEnd w:id="21"/>
    </w:p>
    <w:p>
      <w:pPr>
        <w:pStyle w:val="FirstParagraph"/>
      </w:pPr>
      <w:r>
        <w:t xml:space="preserve">I Trondheim er det benyttet et utvalg av eksisterende trafikkregistreringsstasjoner og bomstasjoner som til sammen dekker det meste av vegnettet. Kartene nedenfor viser plasseringen av byindekspunktene.</w:t>
      </w:r>
    </w:p>
    <w:p>
      <w:pPr>
        <w:pStyle w:val="BodyText"/>
      </w:pPr>
      <w:r>
        <w:drawing>
          <wp:inline>
            <wp:extent cx="5753100" cy="3287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yindeks_trondheim_pdf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287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yindeks_trondheim_pdf_files/figure-docx/map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Overskrift1"/>
      </w:pPr>
      <w:bookmarkStart w:id="24" w:name="byindeksen-2018"/>
      <w:r>
        <w:t xml:space="preserve">Byindeksen 2018</w:t>
      </w:r>
      <w:bookmarkEnd w:id="24"/>
    </w:p>
    <w:p>
      <w:pPr>
        <w:pStyle w:val="FirstParagraph"/>
      </w:pPr>
      <w:r>
        <w:t xml:space="preserve">Byindeksen for Trondheim ble i 2018 på 0,0 % med et 95 %-konfidensintervall på ± 3,2 %. Tabellen nedenfor viser byindekspunktene og deres indeksverdi for 2018. ÅDT er fra 2017.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28"/>
        <w:gridCol w:w="3998"/>
        <w:gridCol w:w="983"/>
        <w:gridCol w:w="1510"/>
        <w:gridCol w:w="1037"/>
        <w:gridCol w:w="985"/>
      </w:tblGrid>
      <w:tr>
        <w:trPr>
          <w:cantSplit/>
          <w:trHeight w:val="28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D93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Stasjonnr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D93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Navn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D93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Veg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D93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Stasjonstype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D93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ÅDT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D93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Indeks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Brattørbrua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7 000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1602407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SUNDLAND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38 000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Klett - E6, S-snitt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23 400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-3.3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Søndre Ilevollen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9 500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Byåsveien, B-snitt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-3.2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Bjørndalsbrua vest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23 000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Bøckmans veg, B-snitt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-0.3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Thorbjørn Bratts veg,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13 200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-3.2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Kong Øysteins veg ved Eberg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Festningsgata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Haakon VII s gt 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11 800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-2.3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Bratsbergveien,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-4.0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Tillerbrua, K-snitt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68.5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PRINSENS GT LIKE NOR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21 200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Kroppan bru (Nordgående), M-snitt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-4.5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Kroppan bru (Sørgående), M-snitt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Jernbanebrua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6 600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Fv 704 Torgårdsletta. K-snitt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7 500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-10.9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Klett - Rv.707, S-snitt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4.9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1601419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NYE ILSVIKØRA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Være (Gml. E6), N-snitt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9 400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0.0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Nedre Leirfoss (Fossestuvegen), M-snitt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K1827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-5.6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Gamle Oslovei, B-snitt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-2.7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Landbruksvegen,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K4235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3.7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Tempeveien,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K7440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4 300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1.8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Tungasletta,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K7703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-3.1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Bjørndalen (Oslovn.) M-snitt)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9 800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0.6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MARIENBORGTUNNELEN NORD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13 400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ILADALTUNNELEN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11 800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HAVNEGATA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1.6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STRINDHEIMTUNNELEN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19 900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5.1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Rv 706 Leangensletta,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24 300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2.9</w:t>
            </w:r>
          </w:p>
        </w:tc>
      </w:tr>
      <w:tr>
        <w:trPr>
          <w:cantSplit/>
          <w:trHeight w:val="28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Nord for Sluppen bru (Tempevn), M-snitt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" w:before="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2.6</w:t>
            </w:r>
          </w:p>
        </w:tc>
      </w:tr>
    </w:tbl>
    <w:p>
      <w:pPr>
        <w:pStyle w:val="Overskrift1"/>
      </w:pPr>
      <w:bookmarkStart w:id="25" w:name="section"/>
      <w:bookmarkEnd w:id="25"/>
    </w:p>
    <w:p>
      <w:pPr>
        <w:pStyle w:val="FirstParagraph"/>
      </w:pPr>
      <w:r>
        <w:t xml:space="preserve">I figuren nedenfor er punktindeksene illustrert. Den horisontale streken viser byindeksens samlede verdi for 2018.</w:t>
      </w:r>
    </w:p>
    <w:p>
      <w:pPr>
        <w:pStyle w:val="BodyText"/>
      </w:pPr>
      <w:r>
        <w:drawing>
          <wp:inline>
            <wp:extent cx="5753100" cy="3287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yindeks_trondheim_pdf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Blant punktindeksene skiller Tillerbrua på Fv6680 seg ut med sine 68,5 %. Dette skyldes delvis anleggsarbeid på Fv6680 i 2017, samt på Fv704 mellom Trondheim og Klæbu gjennom hele året unntatt desember. Fv704 var helt stengt i 8 uker på sommeren 2017 og 2018. Mye av trafikken gikk derfor via Fv6680 og Tillerbrua. Vi ser en tilsvarende nedgang på Torgårdsletta på Fv704 med -10,9 %. Til sammen fanger de to bomstasjonene her opp den totale trafikken mellom Trondheim og Klæbu.</w:t>
      </w:r>
    </w:p>
    <w:p>
      <w:pPr>
        <w:pStyle w:val="BodyText"/>
      </w:pPr>
      <w:r>
        <w:t xml:space="preserve">De øvrige punktindeksverdiene ligger relativt nært samlet rundt byindeksens samlede verdi på 0,0 %, illustrert med den vertikale, grønne streken. Byindeksen har et konfidensintervall på ± 3,2 %, og dette er illustrert med det lyseblå området.</w:t>
      </w:r>
    </w:p>
    <w:sectPr w:rsidR="002555E6" w:rsidRPr="0006783D" w:rsidSect="001C13CC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FCA"/>
    <w:pPr>
      <w:jc w:val="both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  <w:style w:type="table" w:styleId="Listetabell3uthevingsfarge1">
    <w:name w:val="List Table 3 Accent 1"/>
    <w:aliases w:val="Table"/>
    <w:basedOn w:val="Vanligtabell"/>
    <w:uiPriority w:val="48"/>
    <w:rsid w:val="00916888"/>
    <w:pPr>
      <w:spacing w:after="0"/>
    </w:pPr>
    <w:rPr>
      <w:sz w:val="18"/>
    </w:rPr>
    <w:tblPr>
      <w:tblStyleRowBandSize w:val="1"/>
      <w:tblStyleColBandSize w:val="1"/>
      <w:tblBorders>
        <w:top w:val="single" w:sz="4" w:space="0" w:color="ED9300" w:themeColor="accent1"/>
        <w:left w:val="single" w:sz="4" w:space="0" w:color="ED9300" w:themeColor="accent1"/>
        <w:bottom w:val="single" w:sz="4" w:space="0" w:color="ED9300" w:themeColor="accent1"/>
        <w:right w:val="single" w:sz="4" w:space="0" w:color="ED93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300" w:themeFill="accent1"/>
      </w:tcPr>
    </w:tblStylePr>
    <w:tblStylePr w:type="lastRow">
      <w:rPr>
        <w:b/>
        <w:bCs/>
      </w:rPr>
      <w:tblPr/>
      <w:tcPr>
        <w:tcBorders>
          <w:top w:val="double" w:sz="4" w:space="0" w:color="ED93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300" w:themeColor="accent1"/>
          <w:right w:val="single" w:sz="4" w:space="0" w:color="ED9300" w:themeColor="accent1"/>
        </w:tcBorders>
      </w:tcPr>
    </w:tblStylePr>
    <w:tblStylePr w:type="band1Horz">
      <w:tblPr/>
      <w:tcPr>
        <w:tcBorders>
          <w:top w:val="single" w:sz="4" w:space="0" w:color="ED9300" w:themeColor="accent1"/>
          <w:bottom w:val="single" w:sz="4" w:space="0" w:color="ED93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300" w:themeColor="accent1"/>
          <w:left w:val="nil"/>
        </w:tcBorders>
      </w:tcPr>
    </w:tblStylePr>
    <w:tblStylePr w:type="swCell">
      <w:tblPr/>
      <w:tcPr>
        <w:tcBorders>
          <w:top w:val="double" w:sz="4" w:space="0" w:color="ED9300" w:themeColor="accent1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14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2019-05-08T08:20:35Z</dcterms:created>
  <dcterms:modified xsi:type="dcterms:W3CDTF">2019-05-08T08:20:35Z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