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CB9C" w14:textId="38066623" w:rsidR="000B4C90" w:rsidRPr="000B4C90" w:rsidRDefault="000B4C90" w:rsidP="000B4C90">
      <w:pPr>
        <w:pStyle w:val="Heading1"/>
      </w:pPr>
      <w:r>
        <w:t>RÉSUMÉ ARTICLE</w:t>
      </w:r>
    </w:p>
    <w:p w14:paraId="464C9493" w14:textId="4010C085" w:rsidR="000B4C90" w:rsidRPr="000B4C90" w:rsidRDefault="000B4C90" w:rsidP="000B4C90">
      <w:r w:rsidRPr="000B4C90">
        <w:rPr>
          <w:rStyle w:val="Heading1Char"/>
          <w:lang w:val="fr-FR"/>
        </w:rPr>
        <w:t xml:space="preserve">Résumé détaillé de l'article "Position </w:t>
      </w:r>
      <w:proofErr w:type="spellStart"/>
      <w:r w:rsidRPr="000B4C90">
        <w:rPr>
          <w:rStyle w:val="Heading1Char"/>
          <w:lang w:val="fr-FR"/>
        </w:rPr>
        <w:t>Auctions</w:t>
      </w:r>
      <w:proofErr w:type="spellEnd"/>
      <w:r w:rsidRPr="000B4C90">
        <w:rPr>
          <w:rStyle w:val="Heading1Char"/>
          <w:lang w:val="fr-FR"/>
        </w:rPr>
        <w:t>" de Hal R. Varian</w:t>
      </w:r>
    </w:p>
    <w:p w14:paraId="02ECADF0" w14:textId="77777777" w:rsidR="000B4C90" w:rsidRPr="000B4C90" w:rsidRDefault="000B4C90" w:rsidP="000B4C90"/>
    <w:p w14:paraId="4CD97E31" w14:textId="7BD2388A" w:rsidR="000B4C90" w:rsidRPr="000B4C90" w:rsidRDefault="000B4C90" w:rsidP="000B4C90">
      <w:pPr>
        <w:pStyle w:val="Heading2"/>
      </w:pPr>
      <w:r w:rsidRPr="000B4C90">
        <w:t xml:space="preserve">Contexte et </w:t>
      </w:r>
      <w:r w:rsidRPr="000B4C90">
        <w:t>Importance</w:t>
      </w:r>
    </w:p>
    <w:p w14:paraId="5E935455" w14:textId="3238CA5F" w:rsidR="000B4C90" w:rsidRDefault="000B4C90" w:rsidP="000B4C90">
      <w:r w:rsidRPr="000B4C90">
        <w:t>L'article examine les enchères de position utilisées par des moteurs de recherche comme Google et Yahoo pour vendre des publicités en ligne, un marché qui représentait plus de 11 milliards de dollars en 2005. Ces enchères sont essentielles pour la monétisation des moteurs de recherche, où les annonceurs enchérissent pour des mots-clés et paient lorsque les utilisateurs cliquent sur leurs annonces.</w:t>
      </w:r>
    </w:p>
    <w:p w14:paraId="71ADC73D" w14:textId="77777777" w:rsidR="000B4C90" w:rsidRPr="000B4C90" w:rsidRDefault="000B4C90" w:rsidP="000B4C90"/>
    <w:p w14:paraId="5517376A" w14:textId="7DD130EB" w:rsidR="000B4C90" w:rsidRPr="000B4C90" w:rsidRDefault="000B4C90" w:rsidP="000B4C90">
      <w:pPr>
        <w:pStyle w:val="Heading2"/>
      </w:pPr>
      <w:r w:rsidRPr="000B4C90">
        <w:t>Structure de l'Enchère</w:t>
      </w:r>
    </w:p>
    <w:p w14:paraId="3652CB78" w14:textId="03B3DF80" w:rsidR="000B4C90" w:rsidRDefault="000B4C90" w:rsidP="000B4C90">
      <w:r w:rsidRPr="000B4C90">
        <w:t xml:space="preserve">Les enchères de position sont organisées </w:t>
      </w:r>
      <w:r w:rsidRPr="000B4C90">
        <w:t>de manière</w:t>
      </w:r>
      <w:r w:rsidRPr="000B4C90">
        <w:t xml:space="preserve"> que les annonceurs soumettent des offres pour des mots-clés spécifiques. Lorsque la requête d'un utilisateur correspond à un mot-clé, les annonces sont affichées en fonction des enchères. L'annonce avec l'offre la plus élevée obtient la meilleure position, celle qui est la plus susceptible d'être cliquée. Le montant payé par l'annonceur est déterminé par l'enchère de l'annonceur immédiatement inférieur dans le classement.</w:t>
      </w:r>
    </w:p>
    <w:p w14:paraId="65239C6F" w14:textId="77777777" w:rsidR="000B4C90" w:rsidRPr="000B4C90" w:rsidRDefault="000B4C90" w:rsidP="000B4C90"/>
    <w:p w14:paraId="21547EDB" w14:textId="5008FE7A" w:rsidR="000B4C90" w:rsidRPr="000B4C90" w:rsidRDefault="000B4C90" w:rsidP="000B4C90">
      <w:pPr>
        <w:pStyle w:val="Heading2"/>
      </w:pPr>
      <w:r w:rsidRPr="000B4C90">
        <w:t>Modèle Théorique</w:t>
      </w:r>
    </w:p>
    <w:p w14:paraId="732DEF8D" w14:textId="47B86A44" w:rsidR="000B4C90" w:rsidRDefault="000B4C90" w:rsidP="000B4C90">
      <w:r w:rsidRPr="000B4C90">
        <w:t xml:space="preserve">Varian propose un modèle de théorie des jeux pour analyser les enchères de position. Le problème consiste à assigner des agents (les annonceurs) à des emplacements (les positions sur la page web), où chaque agent a une évaluation spécifique pour chaque </w:t>
      </w:r>
      <w:r w:rsidRPr="000B4C90">
        <w:t>emplacement basé</w:t>
      </w:r>
      <w:r w:rsidRPr="000B4C90">
        <w:t xml:space="preserve"> sur le taux de clic (CTR) attendu et la valeur par clic. Les agents soumettent des enchères et les positions sont attribuées selon les offres, avec le prix payé par chaque agent étant l'offre de l'agent en dessous de lui dans le classement.</w:t>
      </w:r>
    </w:p>
    <w:p w14:paraId="3029AC76" w14:textId="77777777" w:rsidR="000B4C90" w:rsidRDefault="000B4C90" w:rsidP="000B4C90"/>
    <w:p w14:paraId="666D9F5F" w14:textId="26DC7980" w:rsidR="000B4C90" w:rsidRPr="000B4C90" w:rsidRDefault="000B4C90" w:rsidP="000B4C90">
      <w:pPr>
        <w:pStyle w:val="Heading2"/>
      </w:pPr>
      <w:r w:rsidRPr="000B4C90">
        <w:t>Équilibres de Nash</w:t>
      </w:r>
    </w:p>
    <w:p w14:paraId="75119EB5" w14:textId="73D1539C" w:rsidR="000B4C90" w:rsidRDefault="000B4C90" w:rsidP="000B4C90">
      <w:r w:rsidRPr="000B4C90">
        <w:t>L'article explore les conditions d'équilibre de Nash pour ces enchères. Un ensemble de prix est un équilibre de Nash (NE) si chaque agent préfère sa position actuelle à toute autre position possible, compte tenu des prix. Varian démontre que les équilibres peuvent être calculés explicitement grâce à des inégalités linéaires et des programmes linéaires.</w:t>
      </w:r>
    </w:p>
    <w:p w14:paraId="4440AE61" w14:textId="77777777" w:rsidR="000B4C90" w:rsidRPr="000B4C90" w:rsidRDefault="000B4C90" w:rsidP="000B4C90"/>
    <w:p w14:paraId="40028A9A" w14:textId="4F49B8BF" w:rsidR="000B4C90" w:rsidRPr="000B4C90" w:rsidRDefault="000B4C90" w:rsidP="000B4C90">
      <w:pPr>
        <w:pStyle w:val="Heading2"/>
      </w:pPr>
      <w:r w:rsidRPr="000B4C90">
        <w:lastRenderedPageBreak/>
        <w:t>Équilibres de Nash Symétriques (SNE)</w:t>
      </w:r>
    </w:p>
    <w:p w14:paraId="3C8C11BC" w14:textId="77777777" w:rsidR="000B4C90" w:rsidRPr="000B4C90" w:rsidRDefault="000B4C90" w:rsidP="000B4C90">
      <w:r w:rsidRPr="000B4C90">
        <w:t>Les SNE sont un sous-ensemble des NE où les inégalités caractérisant l'équilibre sont symétriques. Ces équilibres sont plus faciles à analyser et peuvent être calculés par des formules récursives explicites. Un SNE est également un équilibre compétitif où chaque agent préfère sa position actuelle aux autres, ce qui soutient le problème classique d'assignation.</w:t>
      </w:r>
    </w:p>
    <w:p w14:paraId="64912054" w14:textId="77777777" w:rsidR="000B4C90" w:rsidRPr="000B4C90" w:rsidRDefault="000B4C90" w:rsidP="000B4C90"/>
    <w:p w14:paraId="2E9217D9" w14:textId="5B594F04" w:rsidR="000B4C90" w:rsidRPr="000B4C90" w:rsidRDefault="000B4C90" w:rsidP="000B4C90">
      <w:pPr>
        <w:pStyle w:val="Heading2"/>
      </w:pPr>
      <w:r w:rsidRPr="000B4C90">
        <w:t>Analyse Empirique</w:t>
      </w:r>
    </w:p>
    <w:p w14:paraId="35A9B7CC" w14:textId="77777777" w:rsidR="000B4C90" w:rsidRPr="000B4C90" w:rsidRDefault="000B4C90" w:rsidP="000B4C90">
      <w:r w:rsidRPr="000B4C90">
        <w:t>Varian utilise des données empiriques pour tester les prédictions de son modèle théorique. Il trouve que les prix observés dans les enchères de Google correspondent bien aux équilibres de Nash prévus par son modèle, validant ainsi son approche théorique.</w:t>
      </w:r>
    </w:p>
    <w:p w14:paraId="4AFCF064" w14:textId="77777777" w:rsidR="000B4C90" w:rsidRPr="000B4C90" w:rsidRDefault="000B4C90" w:rsidP="000B4C90"/>
    <w:p w14:paraId="649EF9A7" w14:textId="0C393522" w:rsidR="000B4C90" w:rsidRPr="000B4C90" w:rsidRDefault="000B4C90" w:rsidP="000B4C90">
      <w:pPr>
        <w:pStyle w:val="Heading2"/>
      </w:pPr>
      <w:r w:rsidRPr="000B4C90">
        <w:t>Propriétés et Implications</w:t>
      </w:r>
    </w:p>
    <w:p w14:paraId="2AC7F7DB" w14:textId="77777777" w:rsidR="000B4C90" w:rsidRDefault="000B4C90" w:rsidP="000B4C90">
      <w:r w:rsidRPr="000B4C90">
        <w:t>L'article discute plusieurs propriétés des enchères de position :</w:t>
      </w:r>
    </w:p>
    <w:p w14:paraId="505853EB" w14:textId="19F947E2" w:rsidR="000B4C90" w:rsidRDefault="000B4C90" w:rsidP="000B4C90">
      <w:pPr>
        <w:pStyle w:val="ListParagraph"/>
        <w:numPr>
          <w:ilvl w:val="0"/>
          <w:numId w:val="7"/>
        </w:numPr>
      </w:pPr>
      <w:r w:rsidRPr="000B4C90">
        <w:rPr>
          <w:b/>
          <w:bCs/>
        </w:rPr>
        <w:t>Surplus Non Négatif</w:t>
      </w:r>
      <w:r w:rsidRPr="000B4C90">
        <w:t xml:space="preserve"> : En équilibre, les bénéfices attendus pour chaque agent sont positifs.</w:t>
      </w:r>
    </w:p>
    <w:p w14:paraId="35C69B2C" w14:textId="77777777" w:rsidR="000B4C90" w:rsidRDefault="000B4C90" w:rsidP="000B4C90">
      <w:pPr>
        <w:pStyle w:val="ListParagraph"/>
        <w:numPr>
          <w:ilvl w:val="0"/>
          <w:numId w:val="7"/>
        </w:numPr>
      </w:pPr>
      <w:r w:rsidRPr="000B4C90">
        <w:rPr>
          <w:b/>
          <w:bCs/>
        </w:rPr>
        <w:t>Valeurs Monotones</w:t>
      </w:r>
      <w:r w:rsidRPr="000B4C90">
        <w:t xml:space="preserve"> : Les agents avec des valeurs plus élevées obtiennent des meilleures positions.</w:t>
      </w:r>
    </w:p>
    <w:p w14:paraId="452CAA46" w14:textId="77777777" w:rsidR="000B4C90" w:rsidRDefault="000B4C90" w:rsidP="000B4C90">
      <w:pPr>
        <w:pStyle w:val="ListParagraph"/>
        <w:numPr>
          <w:ilvl w:val="0"/>
          <w:numId w:val="7"/>
        </w:numPr>
      </w:pPr>
      <w:r w:rsidRPr="000B4C90">
        <w:rPr>
          <w:b/>
          <w:bCs/>
        </w:rPr>
        <w:t>Prix Monotones</w:t>
      </w:r>
      <w:r w:rsidRPr="000B4C90">
        <w:t xml:space="preserve"> : Les prix payés par les agents sont décroissants avec les positions.</w:t>
      </w:r>
    </w:p>
    <w:p w14:paraId="622B38A6" w14:textId="11A4BCC1" w:rsidR="000B4C90" w:rsidRPr="000B4C90" w:rsidRDefault="000B4C90" w:rsidP="000B4C90">
      <w:pPr>
        <w:pStyle w:val="ListParagraph"/>
        <w:numPr>
          <w:ilvl w:val="0"/>
          <w:numId w:val="7"/>
        </w:numPr>
      </w:pPr>
      <w:r w:rsidRPr="000B4C90">
        <w:rPr>
          <w:b/>
          <w:bCs/>
        </w:rPr>
        <w:t>Efficacité Allouée</w:t>
      </w:r>
      <w:r w:rsidRPr="000B4C90">
        <w:t xml:space="preserve"> : L'allocation des positions est efficace, maximisant les profits des annonceurs.</w:t>
      </w:r>
    </w:p>
    <w:p w14:paraId="2F2925C7" w14:textId="77777777" w:rsidR="000B4C90" w:rsidRPr="000B4C90" w:rsidRDefault="000B4C90" w:rsidP="000B4C90">
      <w:r w:rsidRPr="000B4C90">
        <w:t>Varian démontre également que les enchères de position sont neutres en termes de revenus et que les stratégies de soumission d'enchères optimales peuvent être dérivées de son modèle.</w:t>
      </w:r>
    </w:p>
    <w:p w14:paraId="589B053B" w14:textId="77777777" w:rsidR="000B4C90" w:rsidRPr="000B4C90" w:rsidRDefault="000B4C90" w:rsidP="000B4C90"/>
    <w:p w14:paraId="4E247C47" w14:textId="77E9E36B" w:rsidR="000B4C90" w:rsidRPr="000B4C90" w:rsidRDefault="000B4C90" w:rsidP="000B4C90">
      <w:pPr>
        <w:pStyle w:val="Heading2"/>
      </w:pPr>
      <w:r w:rsidRPr="000B4C90">
        <w:t>Conclusion</w:t>
      </w:r>
    </w:p>
    <w:p w14:paraId="3470EBE5" w14:textId="2E6EB978" w:rsidR="001540AB" w:rsidRPr="00610F97" w:rsidRDefault="000B4C90" w:rsidP="000B4C90">
      <w:r w:rsidRPr="000B4C90">
        <w:t>L'analyse de Varian montre que les enchères de position sont non seulement mathématiquement élégantes mais aussi empiriquement validées. Son modèle fournit un cadre solide pour comprendre le fonctionnement des enchères publicitaires en ligne et leurs implications économiques. L'étude renforce l'idée que les mécanismes d'enchères basés sur les positions sont efficaces et robustes, s'alignant bien avec les principes de la théorie des jeux et les modèles de correspondance à deux côtés.</w:t>
      </w:r>
    </w:p>
    <w:sectPr w:rsidR="001540AB" w:rsidRPr="00610F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9A04" w14:textId="77777777" w:rsidR="00F23510" w:rsidRDefault="00F23510" w:rsidP="000B4C90">
      <w:r>
        <w:separator/>
      </w:r>
    </w:p>
  </w:endnote>
  <w:endnote w:type="continuationSeparator" w:id="0">
    <w:p w14:paraId="5CAD45AA" w14:textId="77777777" w:rsidR="00F23510" w:rsidRDefault="00F23510" w:rsidP="000B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450"/>
    </w:tblGrid>
    <w:tr w:rsidR="008174D7" w14:paraId="586B0CED" w14:textId="77777777" w:rsidTr="00EB0066">
      <w:tc>
        <w:tcPr>
          <w:tcW w:w="450" w:type="dxa"/>
        </w:tcPr>
        <w:p w14:paraId="791C941D" w14:textId="77777777" w:rsidR="008174D7" w:rsidRDefault="008174D7" w:rsidP="000B4C90">
          <w:pPr>
            <w:pStyle w:val="Header"/>
          </w:pPr>
        </w:p>
      </w:tc>
    </w:tr>
  </w:tbl>
  <w:p w14:paraId="1DDBCB9F" w14:textId="77777777" w:rsidR="008174D7" w:rsidRDefault="00000000" w:rsidP="000B4C90">
    <w:pPr>
      <w:pStyle w:val="Footer"/>
    </w:pPr>
    <w:sdt>
      <w:sdtPr>
        <w:id w:val="544032218"/>
        <w:docPartObj>
          <w:docPartGallery w:val="Page Numbers (Bottom of Page)"/>
          <w:docPartUnique/>
        </w:docPartObj>
      </w:sdtPr>
      <w:sdtContent>
        <w:r w:rsidR="008174D7">
          <w:rPr>
            <w:noProof/>
          </w:rPr>
          <w:drawing>
            <wp:anchor distT="0" distB="0" distL="114300" distR="114300" simplePos="0" relativeHeight="251659264" behindDoc="0" locked="0" layoutInCell="1" allowOverlap="1" wp14:anchorId="141F5F57" wp14:editId="12995883">
              <wp:simplePos x="0" y="0"/>
              <wp:positionH relativeFrom="column">
                <wp:posOffset>4927600</wp:posOffset>
              </wp:positionH>
              <wp:positionV relativeFrom="paragraph">
                <wp:posOffset>-95885</wp:posOffset>
              </wp:positionV>
              <wp:extent cx="1441450" cy="426720"/>
              <wp:effectExtent l="0" t="0" r="6350" b="0"/>
              <wp:wrapSquare wrapText="bothSides"/>
              <wp:docPr id="1664774872" name="Image 166477487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4872" name="Image 2"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4D7">
          <w:fldChar w:fldCharType="begin"/>
        </w:r>
        <w:r w:rsidR="008174D7">
          <w:instrText>PAGE   \* MERGEFORMAT</w:instrText>
        </w:r>
        <w:r w:rsidR="008174D7">
          <w:fldChar w:fldCharType="separate"/>
        </w:r>
        <w:r w:rsidR="008174D7">
          <w:t>1</w:t>
        </w:r>
        <w:r w:rsidR="008174D7">
          <w:fldChar w:fldCharType="end"/>
        </w:r>
      </w:sdtContent>
    </w:sdt>
    <w:r w:rsidR="008174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8F08" w14:textId="77777777" w:rsidR="00F23510" w:rsidRDefault="00F23510" w:rsidP="000B4C90">
      <w:r>
        <w:separator/>
      </w:r>
    </w:p>
  </w:footnote>
  <w:footnote w:type="continuationSeparator" w:id="0">
    <w:p w14:paraId="629D395C" w14:textId="77777777" w:rsidR="00F23510" w:rsidRDefault="00F23510" w:rsidP="000B4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766A21" w14:paraId="2489378D" w14:textId="77777777" w:rsidTr="00EB0066">
      <w:trPr>
        <w:trHeight w:val="300"/>
      </w:trPr>
      <w:tc>
        <w:tcPr>
          <w:tcW w:w="3020" w:type="dxa"/>
        </w:tcPr>
        <w:p w14:paraId="61D524FA" w14:textId="39E6C03C" w:rsidR="00766A21" w:rsidRDefault="00766A21" w:rsidP="000B4C90">
          <w:pPr>
            <w:pStyle w:val="Header"/>
          </w:pPr>
        </w:p>
      </w:tc>
      <w:tc>
        <w:tcPr>
          <w:tcW w:w="3020" w:type="dxa"/>
        </w:tcPr>
        <w:p w14:paraId="48F884E1" w14:textId="77777777" w:rsidR="00766A21" w:rsidRDefault="00766A21" w:rsidP="000B4C90">
          <w:pPr>
            <w:pStyle w:val="Header"/>
          </w:pPr>
        </w:p>
      </w:tc>
      <w:tc>
        <w:tcPr>
          <w:tcW w:w="3020" w:type="dxa"/>
        </w:tcPr>
        <w:p w14:paraId="010E8176" w14:textId="77777777" w:rsidR="00766A21" w:rsidRDefault="00766A21" w:rsidP="000B4C90">
          <w:pPr>
            <w:pStyle w:val="Header"/>
          </w:pPr>
        </w:p>
      </w:tc>
    </w:tr>
  </w:tbl>
  <w:p w14:paraId="3F24F218" w14:textId="73B71A4F" w:rsidR="00766A21" w:rsidRPr="00D00E08" w:rsidRDefault="00766A21" w:rsidP="000B4C90">
    <w:pPr>
      <w:pStyle w:val="Footer"/>
    </w:pPr>
    <w:r w:rsidRPr="00D00E08">
      <w:t>Rapport d</w:t>
    </w:r>
    <w:r>
      <w:t xml:space="preserve">’article </w:t>
    </w:r>
    <w:sdt>
      <w:sdtPr>
        <w:id w:val="1541777463"/>
        <w:docPartObj>
          <w:docPartGallery w:val="Page Numbers (Bottom of Page)"/>
          <w:docPartUnique/>
        </w:docPartObj>
      </w:sdtPr>
      <w:sdtContent>
        <w:r w:rsidRPr="007F54CF">
          <w:t xml:space="preserve">                                                                                                             </w:t>
        </w:r>
        <w:r>
          <w:tab/>
        </w:r>
        <w:r w:rsidR="000B4C90">
          <w:t>WILHELM Arno</w:t>
        </w:r>
      </w:sdtContent>
    </w:sdt>
  </w:p>
  <w:p w14:paraId="076847D8" w14:textId="6FD799BE" w:rsidR="00766A21" w:rsidRDefault="00766A21" w:rsidP="000B4C90">
    <w:pPr>
      <w:pStyle w:val="Header"/>
    </w:pPr>
    <w:r w:rsidRPr="00D00E08">
      <w:t xml:space="preserve">FI3 </w:t>
    </w:r>
    <w:r>
      <w:t>–</w:t>
    </w:r>
    <w:r w:rsidRPr="00D00E08">
      <w:t xml:space="preserve"> </w:t>
    </w:r>
    <w:r>
      <w:t>ISOC</w:t>
    </w:r>
    <w:r w:rsidR="00A87211">
      <w:t>631</w:t>
    </w:r>
    <w:r w:rsidRPr="00D00E08">
      <w:t xml:space="preserve"> A</w:t>
    </w:r>
    <w:r>
      <w:t>nnée 2023 – 2024</w:t>
    </w:r>
  </w:p>
  <w:p w14:paraId="4698DF6B" w14:textId="77777777" w:rsidR="00766A21" w:rsidRDefault="00766A21" w:rsidP="000B4C90">
    <w:pPr>
      <w:pStyle w:val="Header"/>
    </w:pPr>
    <w:r>
      <w:t>Polytech Annecy-Chambéry – Université Savoie Mont-Blanc</w:t>
    </w:r>
  </w:p>
  <w:p w14:paraId="599C5D6B" w14:textId="77777777" w:rsidR="00DE4699" w:rsidRPr="00C9553F" w:rsidRDefault="00DE4699" w:rsidP="000B4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5B86"/>
    <w:multiLevelType w:val="hybridMultilevel"/>
    <w:tmpl w:val="AE7C3ED8"/>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CCF45D5"/>
    <w:multiLevelType w:val="hybridMultilevel"/>
    <w:tmpl w:val="8E6E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4BC3"/>
    <w:multiLevelType w:val="hybridMultilevel"/>
    <w:tmpl w:val="AEB86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1A432F"/>
    <w:multiLevelType w:val="hybridMultilevel"/>
    <w:tmpl w:val="42A64DBC"/>
    <w:lvl w:ilvl="0" w:tplc="5A6AF7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21B87"/>
    <w:multiLevelType w:val="hybridMultilevel"/>
    <w:tmpl w:val="73784DE6"/>
    <w:lvl w:ilvl="0" w:tplc="5A6AF75C">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18405D6"/>
    <w:multiLevelType w:val="hybridMultilevel"/>
    <w:tmpl w:val="AF083706"/>
    <w:lvl w:ilvl="0" w:tplc="B4C09B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74B48"/>
    <w:multiLevelType w:val="hybridMultilevel"/>
    <w:tmpl w:val="2EDAEE1A"/>
    <w:lvl w:ilvl="0" w:tplc="D88CF4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647ACD"/>
    <w:multiLevelType w:val="hybridMultilevel"/>
    <w:tmpl w:val="C220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588696">
    <w:abstractNumId w:val="2"/>
  </w:num>
  <w:num w:numId="2" w16cid:durableId="581911755">
    <w:abstractNumId w:val="6"/>
  </w:num>
  <w:num w:numId="3" w16cid:durableId="375203995">
    <w:abstractNumId w:val="7"/>
  </w:num>
  <w:num w:numId="4" w16cid:durableId="1068041440">
    <w:abstractNumId w:val="3"/>
  </w:num>
  <w:num w:numId="5" w16cid:durableId="1417551685">
    <w:abstractNumId w:val="4"/>
  </w:num>
  <w:num w:numId="6" w16cid:durableId="1756392900">
    <w:abstractNumId w:val="0"/>
  </w:num>
  <w:num w:numId="7" w16cid:durableId="730884287">
    <w:abstractNumId w:val="1"/>
  </w:num>
  <w:num w:numId="8" w16cid:durableId="22113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70"/>
    <w:rsid w:val="00084CE9"/>
    <w:rsid w:val="000A67AB"/>
    <w:rsid w:val="000B4C90"/>
    <w:rsid w:val="000C7A24"/>
    <w:rsid w:val="00104E42"/>
    <w:rsid w:val="00136209"/>
    <w:rsid w:val="001540AB"/>
    <w:rsid w:val="00166600"/>
    <w:rsid w:val="001870A4"/>
    <w:rsid w:val="001D699F"/>
    <w:rsid w:val="00206CC7"/>
    <w:rsid w:val="00227E55"/>
    <w:rsid w:val="00240EBC"/>
    <w:rsid w:val="002E5E89"/>
    <w:rsid w:val="00302A03"/>
    <w:rsid w:val="0031468E"/>
    <w:rsid w:val="00325FC2"/>
    <w:rsid w:val="003322DB"/>
    <w:rsid w:val="003911F8"/>
    <w:rsid w:val="004444A4"/>
    <w:rsid w:val="004916C3"/>
    <w:rsid w:val="004972AA"/>
    <w:rsid w:val="004B6C02"/>
    <w:rsid w:val="004D70F7"/>
    <w:rsid w:val="004E2071"/>
    <w:rsid w:val="004E2A7D"/>
    <w:rsid w:val="005A1172"/>
    <w:rsid w:val="005C1FD7"/>
    <w:rsid w:val="006012CB"/>
    <w:rsid w:val="00603C36"/>
    <w:rsid w:val="00610F97"/>
    <w:rsid w:val="006116FF"/>
    <w:rsid w:val="00612F7F"/>
    <w:rsid w:val="00623A74"/>
    <w:rsid w:val="00644728"/>
    <w:rsid w:val="006900A6"/>
    <w:rsid w:val="0069348D"/>
    <w:rsid w:val="006B2CE6"/>
    <w:rsid w:val="006F7F74"/>
    <w:rsid w:val="007019B5"/>
    <w:rsid w:val="00766A21"/>
    <w:rsid w:val="007B6F22"/>
    <w:rsid w:val="007F39E2"/>
    <w:rsid w:val="008174D7"/>
    <w:rsid w:val="008D0DDF"/>
    <w:rsid w:val="0093656D"/>
    <w:rsid w:val="00962489"/>
    <w:rsid w:val="00A02A4B"/>
    <w:rsid w:val="00A37C51"/>
    <w:rsid w:val="00A61B46"/>
    <w:rsid w:val="00A87211"/>
    <w:rsid w:val="00AC48D0"/>
    <w:rsid w:val="00AF68D2"/>
    <w:rsid w:val="00B273D7"/>
    <w:rsid w:val="00B36E29"/>
    <w:rsid w:val="00BA2270"/>
    <w:rsid w:val="00C14340"/>
    <w:rsid w:val="00CB792F"/>
    <w:rsid w:val="00CE5EDE"/>
    <w:rsid w:val="00CE6A90"/>
    <w:rsid w:val="00D934C1"/>
    <w:rsid w:val="00DC6128"/>
    <w:rsid w:val="00DD4501"/>
    <w:rsid w:val="00DE4699"/>
    <w:rsid w:val="00E463EE"/>
    <w:rsid w:val="00E851EA"/>
    <w:rsid w:val="00E87C23"/>
    <w:rsid w:val="00EA5797"/>
    <w:rsid w:val="00EE7DD4"/>
    <w:rsid w:val="00F23510"/>
    <w:rsid w:val="00F24BD5"/>
    <w:rsid w:val="00F874ED"/>
    <w:rsid w:val="00FD397A"/>
    <w:rsid w:val="00FE42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FD772"/>
  <w15:chartTrackingRefBased/>
  <w15:docId w15:val="{9AD4E377-C0F3-4806-9258-253C8C5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C90"/>
    <w:pPr>
      <w:spacing w:line="276" w:lineRule="auto"/>
      <w:jc w:val="both"/>
    </w:pPr>
    <w:rPr>
      <w:sz w:val="22"/>
      <w:szCs w:val="22"/>
    </w:rPr>
  </w:style>
  <w:style w:type="paragraph" w:styleId="Heading1">
    <w:name w:val="heading 1"/>
    <w:basedOn w:val="Normal"/>
    <w:next w:val="Normal"/>
    <w:link w:val="Heading1Char"/>
    <w:uiPriority w:val="9"/>
    <w:qFormat/>
    <w:rsid w:val="000B4C90"/>
    <w:pPr>
      <w:keepNext/>
      <w:keepLines/>
      <w:shd w:val="clear" w:color="auto" w:fill="FFFFFF"/>
      <w:spacing w:before="360" w:after="80"/>
      <w:jc w:val="center"/>
      <w:outlineLvl w:val="0"/>
    </w:pPr>
    <w:rPr>
      <w:b/>
      <w:bCs/>
      <w:color w:val="0A2F41" w:themeColor="accent1" w:themeShade="80"/>
      <w:sz w:val="28"/>
      <w:szCs w:val="28"/>
      <w:lang w:val="en-US"/>
    </w:rPr>
  </w:style>
  <w:style w:type="paragraph" w:styleId="Heading2">
    <w:name w:val="heading 2"/>
    <w:basedOn w:val="Normal"/>
    <w:next w:val="Normal"/>
    <w:link w:val="Heading2Char"/>
    <w:uiPriority w:val="9"/>
    <w:unhideWhenUsed/>
    <w:qFormat/>
    <w:rsid w:val="000B4C90"/>
    <w:pPr>
      <w:keepNext/>
      <w:keepLines/>
      <w:spacing w:before="160" w:after="80"/>
      <w:outlineLvl w:val="1"/>
    </w:pPr>
    <w:rPr>
      <w:rFonts w:asciiTheme="majorHAnsi" w:eastAsiaTheme="majorEastAsia" w:hAnsiTheme="majorHAnsi" w:cstheme="majorBidi"/>
      <w:b/>
      <w:bCs/>
      <w:color w:val="0F4761" w:themeColor="accent1" w:themeShade="BF"/>
      <w:sz w:val="24"/>
      <w:szCs w:val="24"/>
    </w:rPr>
  </w:style>
  <w:style w:type="paragraph" w:styleId="Heading3">
    <w:name w:val="heading 3"/>
    <w:basedOn w:val="Normal"/>
    <w:next w:val="Normal"/>
    <w:link w:val="Heading3Char"/>
    <w:uiPriority w:val="9"/>
    <w:unhideWhenUsed/>
    <w:qFormat/>
    <w:rsid w:val="00BA2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90"/>
    <w:rPr>
      <w:b/>
      <w:bCs/>
      <w:color w:val="0A2F41" w:themeColor="accent1" w:themeShade="80"/>
      <w:sz w:val="28"/>
      <w:szCs w:val="28"/>
      <w:shd w:val="clear" w:color="auto" w:fill="FFFFFF"/>
      <w:lang w:val="en-US"/>
    </w:rPr>
  </w:style>
  <w:style w:type="character" w:customStyle="1" w:styleId="Heading2Char">
    <w:name w:val="Heading 2 Char"/>
    <w:basedOn w:val="DefaultParagraphFont"/>
    <w:link w:val="Heading2"/>
    <w:uiPriority w:val="9"/>
    <w:rsid w:val="000B4C90"/>
    <w:rPr>
      <w:rFonts w:asciiTheme="majorHAnsi" w:eastAsiaTheme="majorEastAsia" w:hAnsiTheme="majorHAnsi" w:cstheme="majorBidi"/>
      <w:b/>
      <w:bCs/>
      <w:color w:val="0F4761" w:themeColor="accent1" w:themeShade="BF"/>
    </w:rPr>
  </w:style>
  <w:style w:type="character" w:customStyle="1" w:styleId="Heading3Char">
    <w:name w:val="Heading 3 Char"/>
    <w:basedOn w:val="DefaultParagraphFont"/>
    <w:link w:val="Heading3"/>
    <w:uiPriority w:val="9"/>
    <w:rsid w:val="00BA2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70"/>
    <w:rPr>
      <w:rFonts w:eastAsiaTheme="majorEastAsia" w:cstheme="majorBidi"/>
      <w:color w:val="272727" w:themeColor="text1" w:themeTint="D8"/>
    </w:rPr>
  </w:style>
  <w:style w:type="paragraph" w:styleId="Title">
    <w:name w:val="Title"/>
    <w:basedOn w:val="Normal"/>
    <w:next w:val="Normal"/>
    <w:link w:val="TitleChar"/>
    <w:uiPriority w:val="10"/>
    <w:qFormat/>
    <w:rsid w:val="00BA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70"/>
    <w:pPr>
      <w:spacing w:before="160"/>
      <w:jc w:val="center"/>
    </w:pPr>
    <w:rPr>
      <w:i/>
      <w:iCs/>
      <w:color w:val="404040" w:themeColor="text1" w:themeTint="BF"/>
    </w:rPr>
  </w:style>
  <w:style w:type="character" w:customStyle="1" w:styleId="QuoteChar">
    <w:name w:val="Quote Char"/>
    <w:basedOn w:val="DefaultParagraphFont"/>
    <w:link w:val="Quote"/>
    <w:uiPriority w:val="29"/>
    <w:rsid w:val="00BA2270"/>
    <w:rPr>
      <w:i/>
      <w:iCs/>
      <w:color w:val="404040" w:themeColor="text1" w:themeTint="BF"/>
    </w:rPr>
  </w:style>
  <w:style w:type="paragraph" w:styleId="ListParagraph">
    <w:name w:val="List Paragraph"/>
    <w:basedOn w:val="Normal"/>
    <w:uiPriority w:val="34"/>
    <w:qFormat/>
    <w:rsid w:val="00BA2270"/>
    <w:pPr>
      <w:ind w:left="720"/>
      <w:contextualSpacing/>
    </w:pPr>
  </w:style>
  <w:style w:type="character" w:styleId="IntenseEmphasis">
    <w:name w:val="Intense Emphasis"/>
    <w:basedOn w:val="DefaultParagraphFont"/>
    <w:uiPriority w:val="21"/>
    <w:qFormat/>
    <w:rsid w:val="00BA2270"/>
    <w:rPr>
      <w:i/>
      <w:iCs/>
      <w:color w:val="0F4761" w:themeColor="accent1" w:themeShade="BF"/>
    </w:rPr>
  </w:style>
  <w:style w:type="paragraph" w:styleId="IntenseQuote">
    <w:name w:val="Intense Quote"/>
    <w:basedOn w:val="Normal"/>
    <w:next w:val="Normal"/>
    <w:link w:val="IntenseQuoteChar"/>
    <w:uiPriority w:val="30"/>
    <w:qFormat/>
    <w:rsid w:val="00BA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70"/>
    <w:rPr>
      <w:i/>
      <w:iCs/>
      <w:color w:val="0F4761" w:themeColor="accent1" w:themeShade="BF"/>
    </w:rPr>
  </w:style>
  <w:style w:type="character" w:styleId="IntenseReference">
    <w:name w:val="Intense Reference"/>
    <w:basedOn w:val="DefaultParagraphFont"/>
    <w:uiPriority w:val="32"/>
    <w:qFormat/>
    <w:rsid w:val="00BA2270"/>
    <w:rPr>
      <w:b/>
      <w:bCs/>
      <w:smallCaps/>
      <w:color w:val="0F4761" w:themeColor="accent1" w:themeShade="BF"/>
      <w:spacing w:val="5"/>
    </w:rPr>
  </w:style>
  <w:style w:type="paragraph" w:styleId="NormalWeb">
    <w:name w:val="Normal (Web)"/>
    <w:basedOn w:val="Normal"/>
    <w:uiPriority w:val="99"/>
    <w:semiHidden/>
    <w:unhideWhenUsed/>
    <w:rsid w:val="004E2A7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Header">
    <w:name w:val="header"/>
    <w:basedOn w:val="Normal"/>
    <w:link w:val="HeaderChar"/>
    <w:uiPriority w:val="99"/>
    <w:unhideWhenUsed/>
    <w:rsid w:val="00766A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6A21"/>
  </w:style>
  <w:style w:type="paragraph" w:styleId="Footer">
    <w:name w:val="footer"/>
    <w:basedOn w:val="Normal"/>
    <w:link w:val="FooterChar"/>
    <w:uiPriority w:val="99"/>
    <w:unhideWhenUsed/>
    <w:rsid w:val="00766A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7849">
      <w:bodyDiv w:val="1"/>
      <w:marLeft w:val="0"/>
      <w:marRight w:val="0"/>
      <w:marTop w:val="0"/>
      <w:marBottom w:val="0"/>
      <w:divBdr>
        <w:top w:val="none" w:sz="0" w:space="0" w:color="auto"/>
        <w:left w:val="none" w:sz="0" w:space="0" w:color="auto"/>
        <w:bottom w:val="none" w:sz="0" w:space="0" w:color="auto"/>
        <w:right w:val="none" w:sz="0" w:space="0" w:color="auto"/>
      </w:divBdr>
    </w:div>
    <w:div w:id="492600475">
      <w:bodyDiv w:val="1"/>
      <w:marLeft w:val="0"/>
      <w:marRight w:val="0"/>
      <w:marTop w:val="0"/>
      <w:marBottom w:val="0"/>
      <w:divBdr>
        <w:top w:val="none" w:sz="0" w:space="0" w:color="auto"/>
        <w:left w:val="none" w:sz="0" w:space="0" w:color="auto"/>
        <w:bottom w:val="none" w:sz="0" w:space="0" w:color="auto"/>
        <w:right w:val="none" w:sz="0" w:space="0" w:color="auto"/>
      </w:divBdr>
    </w:div>
    <w:div w:id="955602311">
      <w:bodyDiv w:val="1"/>
      <w:marLeft w:val="0"/>
      <w:marRight w:val="0"/>
      <w:marTop w:val="0"/>
      <w:marBottom w:val="0"/>
      <w:divBdr>
        <w:top w:val="none" w:sz="0" w:space="0" w:color="auto"/>
        <w:left w:val="none" w:sz="0" w:space="0" w:color="auto"/>
        <w:bottom w:val="none" w:sz="0" w:space="0" w:color="auto"/>
        <w:right w:val="none" w:sz="0" w:space="0" w:color="auto"/>
      </w:divBdr>
    </w:div>
    <w:div w:id="1284733697">
      <w:bodyDiv w:val="1"/>
      <w:marLeft w:val="0"/>
      <w:marRight w:val="0"/>
      <w:marTop w:val="0"/>
      <w:marBottom w:val="0"/>
      <w:divBdr>
        <w:top w:val="none" w:sz="0" w:space="0" w:color="auto"/>
        <w:left w:val="none" w:sz="0" w:space="0" w:color="auto"/>
        <w:bottom w:val="none" w:sz="0" w:space="0" w:color="auto"/>
        <w:right w:val="none" w:sz="0" w:space="0" w:color="auto"/>
      </w:divBdr>
      <w:divsChild>
        <w:div w:id="4385714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3784">
              <w:marLeft w:val="0"/>
              <w:marRight w:val="0"/>
              <w:marTop w:val="0"/>
              <w:marBottom w:val="0"/>
              <w:divBdr>
                <w:top w:val="single" w:sz="2" w:space="0" w:color="E3E3E3"/>
                <w:left w:val="single" w:sz="2" w:space="0" w:color="E3E3E3"/>
                <w:bottom w:val="single" w:sz="2" w:space="0" w:color="E3E3E3"/>
                <w:right w:val="single" w:sz="2" w:space="0" w:color="E3E3E3"/>
              </w:divBdr>
              <w:divsChild>
                <w:div w:id="342975411">
                  <w:marLeft w:val="0"/>
                  <w:marRight w:val="0"/>
                  <w:marTop w:val="0"/>
                  <w:marBottom w:val="0"/>
                  <w:divBdr>
                    <w:top w:val="single" w:sz="2" w:space="2" w:color="E3E3E3"/>
                    <w:left w:val="single" w:sz="2" w:space="0" w:color="E3E3E3"/>
                    <w:bottom w:val="single" w:sz="2" w:space="0" w:color="E3E3E3"/>
                    <w:right w:val="single" w:sz="2" w:space="0" w:color="E3E3E3"/>
                  </w:divBdr>
                  <w:divsChild>
                    <w:div w:id="35350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0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558</Words>
  <Characters>3182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Maxens SOLDAN</dc:creator>
  <cp:keywords/>
  <dc:description/>
  <cp:lastModifiedBy>Arno Wilhelm</cp:lastModifiedBy>
  <cp:revision>3</cp:revision>
  <dcterms:created xsi:type="dcterms:W3CDTF">2024-05-22T22:34:00Z</dcterms:created>
  <dcterms:modified xsi:type="dcterms:W3CDTF">2024-05-22T22:44:00Z</dcterms:modified>
</cp:coreProperties>
</file>