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47D2" w14:textId="192E591C" w:rsidR="00DC0261" w:rsidRPr="00DC0261" w:rsidRDefault="00DC0261" w:rsidP="00DC0261">
      <w:pPr>
        <w:pStyle w:val="Heading1"/>
      </w:pPr>
      <w:r w:rsidRPr="00DC0261">
        <w:t>Synthèse Thématique des Enchères de Publicité en Ligne</w:t>
      </w:r>
    </w:p>
    <w:p w14:paraId="00C00F0C" w14:textId="77777777" w:rsidR="00DC0261" w:rsidRPr="00DC0261" w:rsidRDefault="00DC0261" w:rsidP="00DC0261">
      <w:pPr>
        <w:rPr>
          <w:lang w:val="fr-FR"/>
        </w:rPr>
      </w:pPr>
    </w:p>
    <w:p w14:paraId="148DE8AB" w14:textId="67ADF504" w:rsidR="00DC0261" w:rsidRPr="00DC0261" w:rsidRDefault="00DC0261" w:rsidP="00DC0261">
      <w:pPr>
        <w:pStyle w:val="Heading2"/>
      </w:pPr>
      <w:r w:rsidRPr="00DC0261">
        <w:t>Modèles Théoriques et Équilibres</w:t>
      </w:r>
    </w:p>
    <w:p w14:paraId="27160558" w14:textId="285D0B79" w:rsidR="00DC0261" w:rsidRPr="00DC0261" w:rsidRDefault="00DC0261" w:rsidP="00DC0261">
      <w:pPr>
        <w:rPr>
          <w:b/>
          <w:bCs/>
          <w:lang w:val="fr-FR"/>
        </w:rPr>
      </w:pPr>
      <w:r w:rsidRPr="00DC0261">
        <w:rPr>
          <w:lang w:val="fr-FR"/>
        </w:rPr>
        <w:t xml:space="preserve">Les enchères de position utilisées par les moteurs de recherche pour vendre des publicités en ligne ont été largement analysées à l'aide de modèles théoriques. Hal R. Varian (2007) développe un modèle de théorie des jeux pour analyser ces enchères, mettant en avant les équilibres de Nash symétriques (SNE). Varian démontre que les SNE assurent plusieurs propriétés désirables : </w:t>
      </w:r>
    </w:p>
    <w:p w14:paraId="7A935DC6" w14:textId="77777777" w:rsidR="00DC0261" w:rsidRDefault="00DC0261" w:rsidP="00DC0261">
      <w:pPr>
        <w:pStyle w:val="ListParagraph"/>
        <w:numPr>
          <w:ilvl w:val="0"/>
          <w:numId w:val="2"/>
        </w:numPr>
        <w:rPr>
          <w:lang w:val="fr-FR"/>
        </w:rPr>
      </w:pPr>
      <w:r w:rsidRPr="00DC0261">
        <w:rPr>
          <w:b/>
          <w:bCs/>
          <w:lang w:val="fr-FR"/>
        </w:rPr>
        <w:t>Positivité du Surplus</w:t>
      </w:r>
      <w:r w:rsidRPr="00DC0261">
        <w:rPr>
          <w:lang w:val="fr-FR"/>
        </w:rPr>
        <w:t xml:space="preserve"> </w:t>
      </w:r>
      <w:r w:rsidRPr="00DC0261">
        <w:rPr>
          <w:lang w:val="fr-FR"/>
        </w:rPr>
        <w:t>: Les enchères génèrent un surplus positif, ce qui signifie que les annonceurs paient des montants qui sont au moins aussi élevés que leurs valeurs déclarées pour les positions publicitaires.</w:t>
      </w:r>
    </w:p>
    <w:p w14:paraId="0F054F6B" w14:textId="180E5D24" w:rsidR="00DC0261" w:rsidRPr="00DC0261" w:rsidRDefault="00DC0261" w:rsidP="00DC0261">
      <w:pPr>
        <w:pStyle w:val="ListParagraph"/>
        <w:numPr>
          <w:ilvl w:val="0"/>
          <w:numId w:val="2"/>
        </w:numPr>
        <w:rPr>
          <w:lang w:val="fr-FR"/>
        </w:rPr>
      </w:pPr>
      <w:r w:rsidRPr="00DC0261">
        <w:rPr>
          <w:b/>
          <w:bCs/>
          <w:lang w:val="fr-FR"/>
        </w:rPr>
        <w:t>Monotonie des Valeurs et des Prix</w:t>
      </w:r>
      <w:r w:rsidRPr="00DC0261">
        <w:rPr>
          <w:lang w:val="fr-FR"/>
        </w:rPr>
        <w:t xml:space="preserve"> : Les valeurs et les prix des enchères sont monotones, c'est-à-dire qu'une position plus élevée dans les résultats de recherche conduit généralement à un prix plus élevé payé par l'annonceur.</w:t>
      </w:r>
    </w:p>
    <w:p w14:paraId="62D059E5" w14:textId="4952B42E" w:rsidR="00DC0261" w:rsidRPr="00DC0261" w:rsidRDefault="00DC0261" w:rsidP="00DC0261">
      <w:pPr>
        <w:rPr>
          <w:lang w:val="fr-FR"/>
        </w:rPr>
      </w:pPr>
      <w:r w:rsidRPr="00DC0261">
        <w:rPr>
          <w:lang w:val="fr-FR"/>
        </w:rPr>
        <w:t xml:space="preserve">Ces modèles montrent également que les enchères sont robustes et peuvent être appliquées efficacement en utilisant des données réelles, garantissant ainsi une allocation efficace des ressources publicitaires et maximisant les revenus des moteurs de </w:t>
      </w:r>
      <w:r w:rsidRPr="00DC0261">
        <w:rPr>
          <w:lang w:val="fr-FR"/>
        </w:rPr>
        <w:t>recherche.</w:t>
      </w:r>
    </w:p>
    <w:p w14:paraId="437335E1" w14:textId="77777777" w:rsidR="00DC0261" w:rsidRDefault="00DC0261" w:rsidP="00DC0261">
      <w:pPr>
        <w:rPr>
          <w:lang w:val="fr-FR"/>
        </w:rPr>
      </w:pPr>
    </w:p>
    <w:p w14:paraId="6E1592C3" w14:textId="72385B11" w:rsidR="00DC0261" w:rsidRPr="00DC0261" w:rsidRDefault="00DC0261" w:rsidP="00DC0261">
      <w:pPr>
        <w:rPr>
          <w:lang w:val="fr-FR"/>
        </w:rPr>
      </w:pPr>
      <w:r w:rsidRPr="00DC0261">
        <w:rPr>
          <w:rStyle w:val="Heading2Char"/>
        </w:rPr>
        <w:t>Optimisation des Campagnes et Modèles Économiques</w:t>
      </w:r>
    </w:p>
    <w:p w14:paraId="4CAC243F" w14:textId="68713E07" w:rsidR="00DC0261" w:rsidRPr="00DC0261" w:rsidRDefault="00DC0261" w:rsidP="00DC0261">
      <w:pPr>
        <w:rPr>
          <w:lang w:val="fr-FR"/>
        </w:rPr>
      </w:pPr>
      <w:r w:rsidRPr="00DC0261">
        <w:rPr>
          <w:lang w:val="fr-FR"/>
        </w:rPr>
        <w:t xml:space="preserve">L'optimisation des campagnes publicitaires en ligne est cruciale pour maximiser le retour sur investissement (ROI). Une approche économique inspirée de la gestion de portefeuille de Markowitz a été proposée pour la gestion des AdWords. Cette méthode vise à optimiser le coût par clic (CPC) en intégrant des données de tendances issues de Twitter pour enrichir les portefeuilles de mots-clés. Les résultats montrent une amélioration significative du ROI tout en minimisant les coûts, ce qui permet aux annonceurs de mieux cibler leurs dépenses </w:t>
      </w:r>
      <w:r w:rsidRPr="00DC0261">
        <w:rPr>
          <w:lang w:val="fr-FR"/>
        </w:rPr>
        <w:t>publicitaires.</w:t>
      </w:r>
    </w:p>
    <w:p w14:paraId="02F763D3" w14:textId="77777777" w:rsidR="00DC0261" w:rsidRPr="00DC0261" w:rsidRDefault="00DC0261" w:rsidP="00DC0261">
      <w:pPr>
        <w:rPr>
          <w:lang w:val="fr-FR"/>
        </w:rPr>
      </w:pPr>
    </w:p>
    <w:p w14:paraId="67BD4E72" w14:textId="5E99AAA6" w:rsidR="00DC0261" w:rsidRPr="00DC0261" w:rsidRDefault="00DC0261" w:rsidP="00DC0261">
      <w:pPr>
        <w:rPr>
          <w:lang w:val="fr-FR"/>
        </w:rPr>
      </w:pPr>
      <w:r w:rsidRPr="00DC0261">
        <w:rPr>
          <w:lang w:val="fr-FR"/>
        </w:rPr>
        <w:t xml:space="preserve">En outre, un autre aspect essentiel de l'optimisation est la stabilisation des dynamiques des enchères. Des perturbations aléatoires peuvent être utilisées pour éviter les cycles chaotiques et assurer une répartition équitable des prix, garantissant ainsi une certaine prévisibilité et stabilité dans les enchères. Cela permet aux annonceurs de planifier leurs </w:t>
      </w:r>
      <w:r w:rsidRPr="00DC0261">
        <w:rPr>
          <w:lang w:val="fr-FR"/>
        </w:rPr>
        <w:lastRenderedPageBreak/>
        <w:t xml:space="preserve">budgets plus efficacement et de réduire les risques associés aux fluctuations imprévisibles des </w:t>
      </w:r>
      <w:r w:rsidRPr="00DC0261">
        <w:rPr>
          <w:lang w:val="fr-FR"/>
        </w:rPr>
        <w:t>prix.</w:t>
      </w:r>
    </w:p>
    <w:p w14:paraId="64775F7A" w14:textId="77777777" w:rsidR="00DC0261" w:rsidRPr="00DC0261" w:rsidRDefault="00DC0261" w:rsidP="00DC0261">
      <w:pPr>
        <w:rPr>
          <w:lang w:val="fr-FR"/>
        </w:rPr>
      </w:pPr>
    </w:p>
    <w:p w14:paraId="5296CA06" w14:textId="2360540F" w:rsidR="00DC0261" w:rsidRPr="00DC0261" w:rsidRDefault="00DC0261" w:rsidP="00DC0261">
      <w:pPr>
        <w:pStyle w:val="Heading2"/>
      </w:pPr>
      <w:r w:rsidRPr="00DC0261">
        <w:t>Algorithmes Avancés pour l'Attribution des Requêtes</w:t>
      </w:r>
    </w:p>
    <w:p w14:paraId="7DD127EF" w14:textId="77777777" w:rsidR="00DC0261" w:rsidRPr="00DC0261" w:rsidRDefault="00DC0261" w:rsidP="00DC0261">
      <w:pPr>
        <w:rPr>
          <w:lang w:val="fr-FR"/>
        </w:rPr>
      </w:pPr>
      <w:r w:rsidRPr="00DC0261">
        <w:rPr>
          <w:lang w:val="fr-FR"/>
        </w:rPr>
        <w:t xml:space="preserve">Le problème des AdWords consiste à maximiser les revenus par l'attribution des requêtes d'utilisateurs aux annonceurs de manière optimale. Des algorithmes avancés ont été développés pour cette fin, y compris des approches déterministes et aléatoires. Ces algorithmes visent à atteindre un ratio compétitif optimal de </w:t>
      </w:r>
      <w:proofErr w:type="gramStart"/>
      <w:r w:rsidRPr="00DC0261">
        <w:rPr>
          <w:lang w:val="fr-FR"/>
        </w:rPr>
        <w:t>\(</w:t>
      </w:r>
      <w:proofErr w:type="gramEnd"/>
      <w:r w:rsidRPr="00DC0261">
        <w:rPr>
          <w:lang w:val="fr-FR"/>
        </w:rPr>
        <w:t>1 - \frac{1}{e}\), qui est supérieur au ratio de \( \frac{1}{2} \) obtenu par les algorithmes gloutons standards .</w:t>
      </w:r>
    </w:p>
    <w:p w14:paraId="5BF60145" w14:textId="77777777" w:rsidR="00DC0261" w:rsidRPr="00DC0261" w:rsidRDefault="00DC0261" w:rsidP="00DC0261">
      <w:pPr>
        <w:rPr>
          <w:lang w:val="fr-FR"/>
        </w:rPr>
      </w:pPr>
    </w:p>
    <w:p w14:paraId="079BA13E" w14:textId="77777777" w:rsidR="00DC0261" w:rsidRPr="00DC0261" w:rsidRDefault="00DC0261" w:rsidP="00DC0261">
      <w:pPr>
        <w:rPr>
          <w:lang w:val="fr-FR"/>
        </w:rPr>
      </w:pPr>
      <w:r w:rsidRPr="00DC0261">
        <w:rPr>
          <w:lang w:val="fr-FR"/>
        </w:rPr>
        <w:t>Ces généralisations montrent que les nouveaux algorithmes sont robustes et efficaces dans diverses conditions, telles que :</w:t>
      </w:r>
    </w:p>
    <w:p w14:paraId="6004FD77" w14:textId="77777777" w:rsidR="00DC0261" w:rsidRDefault="00DC0261" w:rsidP="00DC0261">
      <w:pPr>
        <w:pStyle w:val="ListParagraph"/>
        <w:numPr>
          <w:ilvl w:val="0"/>
          <w:numId w:val="3"/>
        </w:numPr>
        <w:rPr>
          <w:lang w:val="fr-FR"/>
        </w:rPr>
      </w:pPr>
      <w:r w:rsidRPr="00DC0261">
        <w:rPr>
          <w:b/>
          <w:bCs/>
          <w:lang w:val="fr-FR"/>
        </w:rPr>
        <w:t>Budgets Journaliers Variés</w:t>
      </w:r>
      <w:r w:rsidRPr="00DC0261">
        <w:rPr>
          <w:lang w:val="fr-FR"/>
        </w:rPr>
        <w:t xml:space="preserve"> </w:t>
      </w:r>
      <w:r w:rsidRPr="00DC0261">
        <w:rPr>
          <w:lang w:val="fr-FR"/>
        </w:rPr>
        <w:t>: Les algorithmes peuvent gérer des différences dans les budgets journaliers des annonceurs, assurant une répartition équitable des requêtes.</w:t>
      </w:r>
    </w:p>
    <w:p w14:paraId="31C9F7D3" w14:textId="5B1342FE" w:rsidR="00DC0261" w:rsidRPr="00DC0261" w:rsidRDefault="00DC0261" w:rsidP="00DC0261">
      <w:pPr>
        <w:pStyle w:val="ListParagraph"/>
        <w:numPr>
          <w:ilvl w:val="0"/>
          <w:numId w:val="3"/>
        </w:numPr>
        <w:rPr>
          <w:lang w:val="fr-FR"/>
        </w:rPr>
      </w:pPr>
      <w:r w:rsidRPr="00DC0261">
        <w:rPr>
          <w:b/>
          <w:bCs/>
          <w:lang w:val="fr-FR"/>
        </w:rPr>
        <w:t>Entrée Séquentielle des Annonceurs</w:t>
      </w:r>
      <w:r w:rsidRPr="00DC0261">
        <w:rPr>
          <w:lang w:val="fr-FR"/>
        </w:rPr>
        <w:t xml:space="preserve"> : Les algorithmes peuvent également s'adapter à des annonceurs qui entrent dans le système à différents moments, garantissant ainsi que les revenus maximisés ne sont pas compromis par des variations temporelles.</w:t>
      </w:r>
    </w:p>
    <w:p w14:paraId="2C351586" w14:textId="77777777" w:rsidR="00DC0261" w:rsidRPr="00DC0261" w:rsidRDefault="00DC0261" w:rsidP="00DC0261">
      <w:pPr>
        <w:rPr>
          <w:lang w:val="fr-FR"/>
        </w:rPr>
      </w:pPr>
    </w:p>
    <w:p w14:paraId="0B876E2E" w14:textId="37B4E020" w:rsidR="00DC0261" w:rsidRPr="00DC0261" w:rsidRDefault="00DC0261" w:rsidP="00DC0261">
      <w:pPr>
        <w:pStyle w:val="Heading2"/>
      </w:pPr>
      <w:r w:rsidRPr="00DC0261">
        <w:t>Enchères Véridiques et Incitations</w:t>
      </w:r>
    </w:p>
    <w:p w14:paraId="659A8C89" w14:textId="77777777" w:rsidR="00DC0261" w:rsidRPr="00DC0261" w:rsidRDefault="00DC0261" w:rsidP="00DC0261">
      <w:pPr>
        <w:rPr>
          <w:lang w:val="fr-FR"/>
        </w:rPr>
      </w:pPr>
      <w:r w:rsidRPr="00DC0261">
        <w:rPr>
          <w:lang w:val="fr-FR"/>
        </w:rPr>
        <w:t>Pour assurer l'équité et l'efficacité des marchés de publicités en ligne, des mécanismes d'enchères véridiques ont été proposés. Ces mécanismes incitent les annonceurs à révéler leurs véritables valeurs, maximisant ainsi les revenus des moteurs de recherche tout en garantissant une allocation efficace des mots-clés. Diverses structures d'enchères ont été explorées pour maintenir cette véridicité et l'équité du marché, telles que :</w:t>
      </w:r>
    </w:p>
    <w:p w14:paraId="6E5EE5BF" w14:textId="55AA8FCA" w:rsidR="00DC0261" w:rsidRDefault="00DC0261" w:rsidP="00DC0261">
      <w:pPr>
        <w:pStyle w:val="ListParagraph"/>
        <w:numPr>
          <w:ilvl w:val="0"/>
          <w:numId w:val="4"/>
        </w:numPr>
        <w:rPr>
          <w:lang w:val="fr-FR"/>
        </w:rPr>
      </w:pPr>
      <w:r w:rsidRPr="00DC0261">
        <w:rPr>
          <w:b/>
          <w:bCs/>
          <w:lang w:val="fr-FR"/>
        </w:rPr>
        <w:t xml:space="preserve">Enchères </w:t>
      </w:r>
      <w:proofErr w:type="spellStart"/>
      <w:r w:rsidRPr="00DC0261">
        <w:rPr>
          <w:b/>
          <w:bCs/>
          <w:lang w:val="fr-FR"/>
        </w:rPr>
        <w:t>Vickrey</w:t>
      </w:r>
      <w:proofErr w:type="spellEnd"/>
      <w:r w:rsidRPr="00DC0261">
        <w:rPr>
          <w:b/>
          <w:bCs/>
          <w:lang w:val="fr-FR"/>
        </w:rPr>
        <w:t>-Clarke-Groves (VCG)</w:t>
      </w:r>
      <w:r w:rsidRPr="00DC0261">
        <w:rPr>
          <w:lang w:val="fr-FR"/>
        </w:rPr>
        <w:t xml:space="preserve"> : Ces enchères assurent que les annonceurs paient le coût social marginal, ce qui les incite à déclarer leurs vraies </w:t>
      </w:r>
      <w:r w:rsidRPr="00DC0261">
        <w:rPr>
          <w:lang w:val="fr-FR"/>
        </w:rPr>
        <w:t>valeurs.</w:t>
      </w:r>
    </w:p>
    <w:p w14:paraId="42EA86F8" w14:textId="0B5B12AD" w:rsidR="00DC0261" w:rsidRPr="00DC0261" w:rsidRDefault="00DC0261" w:rsidP="00DC0261">
      <w:pPr>
        <w:pStyle w:val="ListParagraph"/>
        <w:numPr>
          <w:ilvl w:val="0"/>
          <w:numId w:val="4"/>
        </w:numPr>
        <w:rPr>
          <w:lang w:val="fr-FR"/>
        </w:rPr>
      </w:pPr>
      <w:r w:rsidRPr="00DC0261">
        <w:rPr>
          <w:b/>
          <w:bCs/>
          <w:lang w:val="fr-FR"/>
        </w:rPr>
        <w:t>Enchères Généralisées au Deuxième Prix (GSP)</w:t>
      </w:r>
      <w:r w:rsidRPr="00DC0261">
        <w:rPr>
          <w:lang w:val="fr-FR"/>
        </w:rPr>
        <w:t xml:space="preserve"> : Adaptées aux enchères en ligne, ces structures permettent de gérer des volumes élevés de transactions tout en maintenant la transparence et l'efficacité.</w:t>
      </w:r>
    </w:p>
    <w:p w14:paraId="3A489E27" w14:textId="77777777" w:rsidR="00DC0261" w:rsidRPr="00DC0261" w:rsidRDefault="00DC0261" w:rsidP="00DC0261">
      <w:pPr>
        <w:rPr>
          <w:lang w:val="fr-FR"/>
        </w:rPr>
      </w:pPr>
    </w:p>
    <w:p w14:paraId="0EE811A4" w14:textId="77777777" w:rsidR="00DC0261" w:rsidRPr="00DC0261" w:rsidRDefault="00DC0261" w:rsidP="00DC0261">
      <w:pPr>
        <w:rPr>
          <w:lang w:val="fr-FR"/>
        </w:rPr>
      </w:pPr>
      <w:r w:rsidRPr="00DC0261">
        <w:rPr>
          <w:lang w:val="fr-FR"/>
        </w:rPr>
        <w:lastRenderedPageBreak/>
        <w:t>Ces mécanismes sont essentiels pour éviter les manipulations du marché et garantir que les enchères reflètent réellement les valeurs et les priorités des annonceurs.</w:t>
      </w:r>
    </w:p>
    <w:p w14:paraId="77F98163" w14:textId="77777777" w:rsidR="00DC0261" w:rsidRPr="00DC0261" w:rsidRDefault="00DC0261" w:rsidP="00DC0261">
      <w:pPr>
        <w:rPr>
          <w:lang w:val="fr-FR"/>
        </w:rPr>
      </w:pPr>
    </w:p>
    <w:p w14:paraId="39E5B7BD" w14:textId="3FE8259A" w:rsidR="00DC0261" w:rsidRPr="00DC0261" w:rsidRDefault="00DC0261" w:rsidP="00DC0261">
      <w:pPr>
        <w:pStyle w:val="Heading2"/>
      </w:pPr>
      <w:r w:rsidRPr="00DC0261">
        <w:t>Conclusion</w:t>
      </w:r>
    </w:p>
    <w:p w14:paraId="689E34FF" w14:textId="3CC6A268" w:rsidR="006D3A59" w:rsidRPr="00DC0261" w:rsidRDefault="00DC0261" w:rsidP="00DC0261">
      <w:pPr>
        <w:rPr>
          <w:rFonts w:hint="eastAsia"/>
          <w:lang w:val="fr-FR"/>
        </w:rPr>
      </w:pPr>
      <w:r w:rsidRPr="00DC0261">
        <w:rPr>
          <w:lang w:val="fr-FR"/>
        </w:rPr>
        <w:t>Ces études couvrent une large gamme de méthodes et de modèles pour optimiser les enchères de publicité en ligne, allant de l'analyse théorique des équilibres aux algorithmes avancés pour l'attribution des requêtes et les mécanismes d'enchères véridiques. En intégrant des données externes et des perturbations aléatoires, les modèles peuvent mieux répondre aux dynamiques complexes du marché, assurant une optimisation continue des campagnes publicitaires. Les résultats montrent que, bien que complexes, ces enchères peuvent être gérées de manière efficace pour maximiser les revenus tout en assurant l'équité et la transparence.</w:t>
      </w:r>
    </w:p>
    <w:sectPr w:rsidR="006D3A59" w:rsidRPr="00DC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248"/>
    <w:multiLevelType w:val="hybridMultilevel"/>
    <w:tmpl w:val="0280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758D"/>
    <w:multiLevelType w:val="hybridMultilevel"/>
    <w:tmpl w:val="149268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8546F"/>
    <w:multiLevelType w:val="hybridMultilevel"/>
    <w:tmpl w:val="B804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478EB"/>
    <w:multiLevelType w:val="hybridMultilevel"/>
    <w:tmpl w:val="2CE0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596670">
    <w:abstractNumId w:val="1"/>
  </w:num>
  <w:num w:numId="2" w16cid:durableId="433476378">
    <w:abstractNumId w:val="2"/>
  </w:num>
  <w:num w:numId="3" w16cid:durableId="1113598307">
    <w:abstractNumId w:val="3"/>
  </w:num>
  <w:num w:numId="4" w16cid:durableId="161713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61"/>
    <w:rsid w:val="00402C37"/>
    <w:rsid w:val="004916C3"/>
    <w:rsid w:val="006D3A59"/>
    <w:rsid w:val="00DC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388CC1"/>
  <w15:chartTrackingRefBased/>
  <w15:docId w15:val="{95A5601E-E618-AB48-9E11-79BF3F05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DC0261"/>
    <w:pPr>
      <w:jc w:val="center"/>
      <w:outlineLvl w:val="0"/>
    </w:pPr>
    <w:rPr>
      <w:sz w:val="32"/>
      <w:szCs w:val="32"/>
    </w:rPr>
  </w:style>
  <w:style w:type="paragraph" w:styleId="Heading2">
    <w:name w:val="heading 2"/>
    <w:basedOn w:val="Normal"/>
    <w:next w:val="Normal"/>
    <w:link w:val="Heading2Char"/>
    <w:uiPriority w:val="9"/>
    <w:unhideWhenUsed/>
    <w:qFormat/>
    <w:rsid w:val="00DC0261"/>
    <w:pPr>
      <w:keepNext/>
      <w:keepLines/>
      <w:spacing w:before="160" w:after="80"/>
      <w:outlineLvl w:val="1"/>
    </w:pPr>
    <w:rPr>
      <w:rFonts w:asciiTheme="majorHAnsi" w:eastAsiaTheme="majorEastAsia" w:hAnsiTheme="majorHAnsi" w:cstheme="majorBidi"/>
      <w:b/>
      <w:bCs/>
      <w:color w:val="0F4761" w:themeColor="accent1" w:themeShade="BF"/>
      <w:sz w:val="28"/>
      <w:szCs w:val="28"/>
      <w:lang w:val="fr-FR"/>
    </w:rPr>
  </w:style>
  <w:style w:type="paragraph" w:styleId="Heading3">
    <w:name w:val="heading 3"/>
    <w:basedOn w:val="Normal"/>
    <w:next w:val="Normal"/>
    <w:link w:val="Heading3Char"/>
    <w:uiPriority w:val="9"/>
    <w:semiHidden/>
    <w:unhideWhenUsed/>
    <w:qFormat/>
    <w:rsid w:val="00DC0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61"/>
    <w:rPr>
      <w:rFonts w:asciiTheme="majorHAnsi" w:eastAsiaTheme="majorEastAsia" w:hAnsiTheme="majorHAnsi" w:cstheme="majorBidi"/>
      <w:b/>
      <w:bCs/>
      <w:color w:val="0F4761" w:themeColor="accent1" w:themeShade="BF"/>
      <w:sz w:val="32"/>
      <w:szCs w:val="32"/>
      <w:lang w:val="fr-FR"/>
    </w:rPr>
  </w:style>
  <w:style w:type="character" w:customStyle="1" w:styleId="Heading2Char">
    <w:name w:val="Heading 2 Char"/>
    <w:basedOn w:val="DefaultParagraphFont"/>
    <w:link w:val="Heading2"/>
    <w:uiPriority w:val="9"/>
    <w:rsid w:val="00DC0261"/>
    <w:rPr>
      <w:rFonts w:asciiTheme="majorHAnsi" w:eastAsiaTheme="majorEastAsia" w:hAnsiTheme="majorHAnsi" w:cstheme="majorBidi"/>
      <w:b/>
      <w:bCs/>
      <w:color w:val="0F4761" w:themeColor="accent1" w:themeShade="BF"/>
      <w:sz w:val="28"/>
      <w:szCs w:val="28"/>
      <w:lang w:val="fr-FR"/>
    </w:rPr>
  </w:style>
  <w:style w:type="character" w:customStyle="1" w:styleId="Heading3Char">
    <w:name w:val="Heading 3 Char"/>
    <w:basedOn w:val="DefaultParagraphFont"/>
    <w:link w:val="Heading3"/>
    <w:uiPriority w:val="9"/>
    <w:semiHidden/>
    <w:rsid w:val="00DC0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261"/>
    <w:rPr>
      <w:rFonts w:eastAsiaTheme="majorEastAsia" w:cstheme="majorBidi"/>
      <w:color w:val="272727" w:themeColor="text1" w:themeTint="D8"/>
    </w:rPr>
  </w:style>
  <w:style w:type="paragraph" w:styleId="Title">
    <w:name w:val="Title"/>
    <w:basedOn w:val="Normal"/>
    <w:next w:val="Normal"/>
    <w:link w:val="TitleChar"/>
    <w:uiPriority w:val="10"/>
    <w:qFormat/>
    <w:rsid w:val="00DC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261"/>
    <w:pPr>
      <w:spacing w:before="160"/>
      <w:jc w:val="center"/>
    </w:pPr>
    <w:rPr>
      <w:i/>
      <w:iCs/>
      <w:color w:val="404040" w:themeColor="text1" w:themeTint="BF"/>
    </w:rPr>
  </w:style>
  <w:style w:type="character" w:customStyle="1" w:styleId="QuoteChar">
    <w:name w:val="Quote Char"/>
    <w:basedOn w:val="DefaultParagraphFont"/>
    <w:link w:val="Quote"/>
    <w:uiPriority w:val="29"/>
    <w:rsid w:val="00DC0261"/>
    <w:rPr>
      <w:i/>
      <w:iCs/>
      <w:color w:val="404040" w:themeColor="text1" w:themeTint="BF"/>
    </w:rPr>
  </w:style>
  <w:style w:type="paragraph" w:styleId="ListParagraph">
    <w:name w:val="List Paragraph"/>
    <w:basedOn w:val="Normal"/>
    <w:uiPriority w:val="34"/>
    <w:qFormat/>
    <w:rsid w:val="00DC0261"/>
    <w:pPr>
      <w:ind w:left="720"/>
      <w:contextualSpacing/>
    </w:pPr>
  </w:style>
  <w:style w:type="character" w:styleId="IntenseEmphasis">
    <w:name w:val="Intense Emphasis"/>
    <w:basedOn w:val="DefaultParagraphFont"/>
    <w:uiPriority w:val="21"/>
    <w:qFormat/>
    <w:rsid w:val="00DC0261"/>
    <w:rPr>
      <w:i/>
      <w:iCs/>
      <w:color w:val="0F4761" w:themeColor="accent1" w:themeShade="BF"/>
    </w:rPr>
  </w:style>
  <w:style w:type="paragraph" w:styleId="IntenseQuote">
    <w:name w:val="Intense Quote"/>
    <w:basedOn w:val="Normal"/>
    <w:next w:val="Normal"/>
    <w:link w:val="IntenseQuoteChar"/>
    <w:uiPriority w:val="30"/>
    <w:qFormat/>
    <w:rsid w:val="00DC0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261"/>
    <w:rPr>
      <w:i/>
      <w:iCs/>
      <w:color w:val="0F4761" w:themeColor="accent1" w:themeShade="BF"/>
    </w:rPr>
  </w:style>
  <w:style w:type="character" w:styleId="IntenseReference">
    <w:name w:val="Intense Reference"/>
    <w:basedOn w:val="DefaultParagraphFont"/>
    <w:uiPriority w:val="32"/>
    <w:qFormat/>
    <w:rsid w:val="00DC0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Wilhelm</dc:creator>
  <cp:keywords/>
  <dc:description/>
  <cp:lastModifiedBy>Arno Wilhelm</cp:lastModifiedBy>
  <cp:revision>1</cp:revision>
  <dcterms:created xsi:type="dcterms:W3CDTF">2024-05-22T23:08:00Z</dcterms:created>
  <dcterms:modified xsi:type="dcterms:W3CDTF">2024-05-22T23:12:00Z</dcterms:modified>
</cp:coreProperties>
</file>