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rPr>
          <w:color w:val="000000"/>
        </w:rPr>
        <w:t xml:space="preserve">Highlights</w:t>
      </w:r>
    </w:p>
    <w:p>
      <w:pPr>
        <w:pStyle w:val="Compact"/>
        <w:numPr>
          <w:ilvl w:val="0"/>
          <w:numId w:val="1001"/>
        </w:numPr>
      </w:pPr>
      <w:r>
        <w:rPr>
          <w:color w:val="000000"/>
        </w:rPr>
        <w:t xml:space="preserve">k-SEC: cubic-equivariant reciprocal-space encoder for crystal property regression.</w:t>
      </w:r>
    </w:p>
    <w:p>
      <w:pPr>
        <w:pStyle w:val="Compact"/>
        <w:numPr>
          <w:ilvl w:val="0"/>
          <w:numId w:val="1001"/>
        </w:numPr>
      </w:pPr>
      <w:r>
        <w:rPr>
          <w:color w:val="000000"/>
        </w:rPr>
        <w:t xml:space="preserve">DBVF: end-to-end-learnable bond-valence module embedded in a neural network.</w:t>
      </w:r>
    </w:p>
    <w:p>
      <w:pPr>
        <w:pStyle w:val="Compact"/>
        <w:numPr>
          <w:ilvl w:val="0"/>
          <w:numId w:val="1001"/>
        </w:numPr>
      </w:pPr>
      <w:r>
        <w:rPr>
          <w:color w:val="000000"/>
        </w:rPr>
        <w:t xml:space="preserve">OBELiX neural-method MAE: 1.047 standalone, 0.980 stacked (n = 281, 5-fold CV).</w:t>
      </w:r>
    </w:p>
    <w:p>
      <w:pPr>
        <w:pStyle w:val="Compact"/>
        <w:numPr>
          <w:ilvl w:val="0"/>
          <w:numId w:val="1001"/>
        </w:numPr>
      </w:pPr>
      <w:r>
        <w:rPr>
          <w:color w:val="000000"/>
        </w:rPr>
        <w:t xml:space="preserve">DBVF features alone do not help LightGBM — the gain is architectural, not tabular.</w:t>
      </w:r>
    </w:p>
    <w:p>
      <w:pPr>
        <w:pStyle w:val="Compact"/>
        <w:numPr>
          <w:ilvl w:val="0"/>
          <w:numId w:val="1001"/>
        </w:numPr>
      </w:pPr>
      <w:r>
        <w:rPr>
          <w:color w:val="000000"/>
        </w:rPr>
        <w:t xml:space="preserve">Unsupervised top-15 screen of 18,574 MP crystals recovers known fast-Li families.</w:t>
      </w:r>
    </w:p>
    <w:bookmarkEnd w:id="9"/>
    <w:sectPr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0000"/>
    </w:rPr>
  </w:style>
  <w:style w:type="character" w:customStyle="1" w:styleId="DataTypeTok">
    <w:name w:val="DataTypeTok"/>
    <w:basedOn w:val="VerbatimChar"/>
    <w:rPr>
      <w:color w:val="000000"/>
    </w:rPr>
  </w:style>
  <w:style w:type="character" w:customStyle="1" w:styleId="DecValTok">
    <w:name w:val="DecValTok"/>
    <w:basedOn w:val="VerbatimChar"/>
    <w:rPr>
      <w:color w:val="000000"/>
    </w:rPr>
  </w:style>
  <w:style w:type="character" w:customStyle="1" w:styleId="BaseNTok">
    <w:name w:val="BaseNTok"/>
    <w:basedOn w:val="VerbatimChar"/>
    <w:rPr>
      <w:color w:val="000000"/>
    </w:rPr>
  </w:style>
  <w:style w:type="character" w:customStyle="1" w:styleId="FloatTok">
    <w:name w:val="FloatTok"/>
    <w:basedOn w:val="VerbatimChar"/>
    <w:rPr>
      <w:color w:val="000000"/>
    </w:rPr>
  </w:style>
  <w:style w:type="character" w:customStyle="1" w:styleId="ConstantTok">
    <w:name w:val="ConstantTok"/>
    <w:basedOn w:val="VerbatimChar"/>
    <w:rPr>
      <w:color w:val="000000"/>
    </w:rPr>
  </w:style>
  <w:style w:type="character" w:customStyle="1" w:styleId="CharTok">
    <w:name w:val="CharTok"/>
    <w:basedOn w:val="VerbatimChar"/>
    <w:rPr>
      <w:color w:val="000000"/>
    </w:rPr>
  </w:style>
  <w:style w:type="character" w:customStyle="1" w:styleId="SpecialCharTok">
    <w:name w:val="SpecialCharTok"/>
    <w:basedOn w:val="VerbatimChar"/>
    <w:rPr>
      <w:color w:val="000000"/>
    </w:rPr>
  </w:style>
  <w:style w:type="character" w:customStyle="1" w:styleId="StringTok">
    <w:name w:val="StringTok"/>
    <w:basedOn w:val="VerbatimChar"/>
    <w:rPr>
      <w:color w:val="000000"/>
    </w:rPr>
  </w:style>
  <w:style w:type="character" w:customStyle="1" w:styleId="VerbatimStringTok">
    <w:name w:val="VerbatimStringTok"/>
    <w:basedOn w:val="VerbatimChar"/>
    <w:rPr>
      <w:color w:val="000000"/>
    </w:rPr>
  </w:style>
  <w:style w:type="character" w:customStyle="1" w:styleId="SpecialStringTok">
    <w:name w:val="SpecialStringTok"/>
    <w:basedOn w:val="VerbatimChar"/>
    <w:rPr>
      <w:color w:val="000000"/>
    </w:rPr>
  </w:style>
  <w:style w:type="character" w:customStyle="1" w:styleId="ImportTok">
    <w:name w:val="ImportTok"/>
    <w:basedOn w:val="VerbatimChar"/>
    <w:rPr>
      <w:b/>
      <w:color w:val="000000"/>
    </w:rPr>
  </w:style>
  <w:style w:type="character" w:customStyle="1" w:styleId="CommentTok">
    <w:name w:val="CommentTok"/>
    <w:basedOn w:val="VerbatimChar"/>
    <w:rPr>
      <w:i/>
      <w:color w:val="000000"/>
    </w:rPr>
  </w:style>
  <w:style w:type="character" w:customStyle="1" w:styleId="DocumentationTok">
    <w:name w:val="DocumentationTok"/>
    <w:basedOn w:val="VerbatimChar"/>
    <w:rPr>
      <w:i/>
      <w:color w:val="000000"/>
    </w:rPr>
  </w:style>
  <w:style w:type="character" w:customStyle="1" w:styleId="AnnotationTok">
    <w:name w:val="AnnotationTok"/>
    <w:basedOn w:val="VerbatimChar"/>
    <w:rPr>
      <w:b/>
      <w:i/>
      <w:color w:val="000000"/>
    </w:rPr>
  </w:style>
  <w:style w:type="character" w:customStyle="1" w:styleId="CommentVarTok">
    <w:name w:val="CommentVarTok"/>
    <w:basedOn w:val="VerbatimChar"/>
    <w:rPr>
      <w:b/>
      <w:i/>
      <w:color w:val="000000"/>
    </w:rPr>
  </w:style>
  <w:style w:type="character" w:customStyle="1" w:styleId="OtherTok">
    <w:name w:val="OtherTok"/>
    <w:basedOn w:val="VerbatimChar"/>
    <w:rPr>
      <w:color w:val="000000"/>
    </w:rPr>
  </w:style>
  <w:style w:type="character" w:customStyle="1" w:styleId="FunctionTok">
    <w:name w:val="FunctionTok"/>
    <w:basedOn w:val="VerbatimChar"/>
    <w:rPr>
      <w:color w:val="000000"/>
    </w:rPr>
  </w:style>
  <w:style w:type="character" w:customStyle="1" w:styleId="VariableTok">
    <w:name w:val="VariableTok"/>
    <w:basedOn w:val="VerbatimChar"/>
    <w:rPr>
      <w:color w:val="000000"/>
    </w:rPr>
  </w:style>
  <w:style w:type="character" w:customStyle="1" w:styleId="ControlFlowTok">
    <w:name w:val="ControlFlowTok"/>
    <w:basedOn w:val="VerbatimChar"/>
    <w:rPr>
      <w:b/>
      <w:color w:val="000000"/>
    </w:rPr>
  </w:style>
  <w:style w:type="character" w:customStyle="1" w:styleId="OperatorTok">
    <w:name w:val="OperatorTok"/>
    <w:basedOn w:val="VerbatimChar"/>
    <w:rPr>
      <w:color w:val="000000"/>
    </w:rPr>
  </w:style>
  <w:style w:type="character" w:customStyle="1" w:styleId="BuiltInTok">
    <w:name w:val="BuiltInTok"/>
    <w:basedOn w:val="VerbatimChar"/>
    <w:rPr>
      <w:color w:val="000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000000"/>
    </w:rPr>
  </w:style>
  <w:style w:type="character" w:customStyle="1" w:styleId="AttributeTok">
    <w:name w:val="AttributeTok"/>
    <w:basedOn w:val="VerbatimChar"/>
    <w:rPr>
      <w:color w:val="000000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000000"/>
    </w:rPr>
  </w:style>
  <w:style w:type="character" w:customStyle="1" w:styleId="WarningTok">
    <w:name w:val="WarningTok"/>
    <w:basedOn w:val="VerbatimChar"/>
    <w:rPr>
      <w:b/>
      <w:i/>
      <w:color w:val="00000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2026-04-28T05:18:40Z</dcterms:created>
  <dcterms:modified xsi:type="dcterms:W3CDTF">2026-04-28T05:18:40Z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