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0be5cc7c115a53f35a68d346df60c25db30c7b0"/>
    <w:p>
      <w:pPr>
        <w:pStyle w:val="Heading1"/>
      </w:pPr>
      <w:r>
        <w:rPr>
          <w:color w:val="000000"/>
        </w:rPr>
        <w:t xml:space="preserve">Cubic-Equivariant k-Space Convolution and a Differentiable Bond-Valence Field for Ionic-Conductivity Prediction in Solid-State Electrolytes</w:t>
      </w:r>
    </w:p>
    <w:bookmarkStart w:id="9" w:name="highlights"/>
    <w:p>
      <w:pPr>
        <w:pStyle w:val="Heading2"/>
      </w:pPr>
      <w:r>
        <w:rPr>
          <w:color w:val="000000"/>
        </w:rP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k-SEC: cubic-equivariant reciprocal-space encoder for crystal property regression.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DBVF: end-to-end-learnable bond-valence module embedded in a neural network.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OBELiX neural-method MAE: 1.047 standalone, 0.980 stacked (n = 281, 5-fold CV).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DBVF features alone do not help LightGBM — the gain is architectural, not tabular.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Unsupervised top-15 screen of 18,574 MP crystals recovers known fast-Li families.</w:t>
      </w:r>
    </w:p>
    <w:bookmarkEnd w:id="9"/>
    <w:bookmarkStart w:id="10" w:name="graphical-abstract"/>
    <w:p>
      <w:pPr>
        <w:pStyle w:val="Heading2"/>
      </w:pPr>
      <w:r>
        <w:rPr>
          <w:color w:val="000000"/>
        </w:rPr>
        <w:t xml:space="preserve">Graphical abstract</w:t>
      </w:r>
    </w:p>
    <w:p>
      <w:pPr>
        <w:pStyle w:val="FirstParagraph"/>
      </w:pPr>
      <w:r>
        <w:rPr>
          <w:color w:val="000000"/>
        </w:rPr>
        <w:t xml:space="preserve">A two-stream architecture in which a reciprocal-space encoder built on</w:t>
      </w:r>
      <w:r>
        <w:rPr>
          <w:color w:val="000000"/>
        </w:rPr>
        <w:t xml:space="preserve"> </w:t>
      </w:r>
      <w:r>
        <w:rPr>
          <w:color w:val="000000"/>
        </w:rPr>
        <w:t xml:space="preserve">cubic-harmonic directional filters and a differentiable bond-valence</w:t>
      </w:r>
      <w:r>
        <w:rPr>
          <w:color w:val="000000"/>
        </w:rPr>
        <w:t xml:space="preserve"> </w:t>
      </w:r>
      <w:r>
        <w:rPr>
          <w:color w:val="000000"/>
        </w:rPr>
        <w:t xml:space="preserve">field operating on real-space Li environments are trained jointly,</w:t>
      </w:r>
      <w:r>
        <w:rPr>
          <w:color w:val="000000"/>
        </w:rPr>
        <w:t xml:space="preserve"> </w:t>
      </w:r>
      <w:r>
        <w:rPr>
          <w:color w:val="000000"/>
        </w:rPr>
        <w:t xml:space="preserve">end-to-end, to predict log₁₀σ of solid-state Li-ion electrolytes. A</w:t>
      </w:r>
      <w:r>
        <w:rPr>
          <w:color w:val="000000"/>
        </w:rPr>
        <w:t xml:space="preserve"> </w:t>
      </w:r>
      <w:r>
        <w:rPr>
          <w:color w:val="000000"/>
        </w:rPr>
        <w:t xml:space="preserve">virtual screen on 18,574 Materials Project crystals identifies the four</w:t>
      </w:r>
      <w:r>
        <w:rPr>
          <w:color w:val="000000"/>
        </w:rPr>
        <w:t xml:space="preserve"> </w:t>
      </w:r>
      <w:r>
        <w:rPr>
          <w:color w:val="000000"/>
        </w:rPr>
        <w:t xml:space="preserve">canonical fast-Li-ion conductor families in its top-15 without</w:t>
      </w:r>
      <w:r>
        <w:rPr>
          <w:color w:val="000000"/>
        </w:rPr>
        <w:t xml:space="preserve"> </w:t>
      </w:r>
      <w:r>
        <w:rPr>
          <w:color w:val="000000"/>
        </w:rPr>
        <w:t xml:space="preserve">family-level supervision.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10"/>
    <w:bookmarkStart w:id="11" w:name="abstract"/>
    <w:p>
      <w:pPr>
        <w:pStyle w:val="Heading2"/>
      </w:pPr>
      <w:r>
        <w:rPr>
          <w:color w:val="000000"/>
        </w:rPr>
        <w:t xml:space="preserve">Abstract</w:t>
      </w:r>
    </w:p>
    <w:p>
      <w:pPr>
        <w:pStyle w:val="FirstParagraph"/>
      </w:pPr>
      <w:r>
        <w:rPr>
          <w:color w:val="000000"/>
        </w:rPr>
        <w:t xml:space="preserve">Predicting the room-temperature ionic conductivity σ of solid-state</w:t>
      </w:r>
      <w:r>
        <w:rPr>
          <w:color w:val="000000"/>
        </w:rPr>
        <w:t xml:space="preserve"> </w:t>
      </w:r>
      <w:r>
        <w:rPr>
          <w:color w:val="000000"/>
        </w:rPr>
        <w:t xml:space="preserve">lithium-ion electrolytes from crystal structure remains a bottleneck</w:t>
      </w:r>
      <w:r>
        <w:rPr>
          <w:color w:val="000000"/>
        </w:rPr>
        <w:t xml:space="preserve"> </w:t>
      </w:r>
      <w:r>
        <w:rPr>
          <w:color w:val="000000"/>
        </w:rPr>
        <w:t xml:space="preserve">for materials discovery. I introduce two architectural primitives.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k-SEC</w:t>
      </w:r>
      <w:r>
        <w:rPr>
          <w:color w:val="000000"/>
        </w:rPr>
        <w:t xml:space="preserve"> </w:t>
      </w:r>
      <w:r>
        <w:rPr>
          <w:color w:val="000000"/>
        </w:rPr>
        <w:t xml:space="preserve">is a neural encoder whose feature maps live in reciprocal</w:t>
      </w:r>
      <w:r>
        <w:rPr>
          <w:color w:val="000000"/>
        </w:rPr>
        <w:t xml:space="preserve"> </w:t>
      </w:r>
      <w:r>
        <w:rPr>
          <w:color w:val="000000"/>
        </w:rPr>
        <w:t xml:space="preserve">space throughout the network and whose cubic-group equivariance is</w:t>
      </w:r>
      <w:r>
        <w:rPr>
          <w:color w:val="000000"/>
        </w:rPr>
        <w:t xml:space="preserve"> </w:t>
      </w:r>
      <w:r>
        <w:rPr>
          <w:color w:val="000000"/>
        </w:rPr>
        <w:t xml:space="preserve">enforced by construction via cubic-harmonic directional filters and a</w:t>
      </w:r>
      <w:r>
        <w:rPr>
          <w:color w:val="000000"/>
        </w:rPr>
        <w:t xml:space="preserve"> </w:t>
      </w:r>
      <w:r>
        <w:rPr>
          <w:color w:val="000000"/>
        </w:rPr>
        <w:t xml:space="preserve">cross-shell gated attention modulated only by k-magnitudes.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DBVF</w:t>
      </w:r>
      <w:r>
        <w:rPr>
          <w:color w:val="000000"/>
        </w:rPr>
        <w:t xml:space="preserve"> </w:t>
      </w:r>
      <w:r>
        <w:rPr>
          <w:color w:val="000000"/>
        </w:rPr>
        <w:t xml:space="preserve">(Differentiable Bond-Valence Field) embeds Brown’s bond-</w:t>
      </w:r>
      <w:r>
        <w:rPr>
          <w:color w:val="000000"/>
        </w:rPr>
        <w:t xml:space="preserve"> </w:t>
      </w:r>
      <w:r>
        <w:rPr>
          <w:color w:val="000000"/>
        </w:rPr>
        <w:t xml:space="preserve">valence sum into the network as a learnable module — the first</w:t>
      </w:r>
      <w:r>
        <w:rPr>
          <w:color w:val="000000"/>
        </w:rPr>
        <w:t xml:space="preserve"> </w:t>
      </w:r>
      <w:r>
        <w:rPr>
          <w:color w:val="000000"/>
        </w:rPr>
        <w:t xml:space="preserve">treatment of Brown’s tabulated parameters as trainable parameters of</w:t>
      </w:r>
      <w:r>
        <w:rPr>
          <w:color w:val="000000"/>
        </w:rPr>
        <w:t xml:space="preserve"> </w:t>
      </w:r>
      <w:r>
        <w:rPr>
          <w:color w:val="000000"/>
        </w:rPr>
        <w:t xml:space="preserve">a neural network. On the OBELiX benchmark (281 labelled solid</w:t>
      </w:r>
      <w:r>
        <w:rPr>
          <w:color w:val="000000"/>
        </w:rPr>
        <w:t xml:space="preserve"> </w:t>
      </w:r>
      <w:r>
        <w:rPr>
          <w:color w:val="000000"/>
        </w:rPr>
        <w:t xml:space="preserve">electrolytes, 5-fold cross-validation × 5 seeds) the joint model</w:t>
      </w:r>
      <w:r>
        <w:rPr>
          <w:color w:val="000000"/>
        </w:rPr>
        <w:t xml:space="preserve"> </w:t>
      </w:r>
      <w:r>
        <w:rPr>
          <w:color w:val="000000"/>
        </w:rPr>
        <w:t xml:space="preserve">attains MAE 1.047 [95 % CI 0.925–1.183] standalone and 0.980 in a</w:t>
      </w:r>
      <w:r>
        <w:rPr>
          <w:color w:val="000000"/>
        </w:rPr>
        <w:t xml:space="preserve"> </w:t>
      </w:r>
      <w:r>
        <w:rPr>
          <w:color w:val="000000"/>
        </w:rPr>
        <w:t xml:space="preserve">stacked ensemble with a gradient-boosted-tree baseline; Spearman ρ</w:t>
      </w:r>
      <w:r>
        <w:rPr>
          <w:color w:val="000000"/>
        </w:rPr>
        <w:t xml:space="preserve"> </w:t>
      </w:r>
      <w:r>
        <w:rPr>
          <w:color w:val="000000"/>
        </w:rPr>
        <w:t xml:space="preserve">= 0.78 with 70 % top-10 precision. An unsupervised screen of 18,574</w:t>
      </w:r>
      <w:r>
        <w:rPr>
          <w:color w:val="000000"/>
        </w:rPr>
        <w:t xml:space="preserve"> </w:t>
      </w:r>
      <w:r>
        <w:rPr>
          <w:color w:val="000000"/>
        </w:rPr>
        <w:t xml:space="preserve">Li-containing Materials Project crystals identifies all four known</w:t>
      </w:r>
      <w:r>
        <w:rPr>
          <w:color w:val="000000"/>
        </w:rPr>
        <w:t xml:space="preserve"> </w:t>
      </w:r>
      <w:r>
        <w:rPr>
          <w:color w:val="000000"/>
        </w:rPr>
        <w:t xml:space="preserve">fast-Li-ion conductor families in its top-15. A control experiment</w:t>
      </w:r>
      <w:r>
        <w:rPr>
          <w:color w:val="000000"/>
        </w:rPr>
        <w:t xml:space="preserve"> </w:t>
      </w:r>
      <w:r>
        <w:rPr>
          <w:color w:val="000000"/>
        </w:rPr>
        <w:t xml:space="preserve">shows the DBVF gain is realised only through end-to-end training; a</w:t>
      </w:r>
      <w:r>
        <w:rPr>
          <w:color w:val="000000"/>
        </w:rPr>
        <w:t xml:space="preserve"> </w:t>
      </w:r>
      <w:r>
        <w:rPr>
          <w:color w:val="000000"/>
        </w:rPr>
        <w:t xml:space="preserve">learning-curve experiment shows a 45 % gap reduction to the tabular</w:t>
      </w:r>
      <w:r>
        <w:rPr>
          <w:color w:val="000000"/>
        </w:rPr>
        <w:t xml:space="preserve"> </w:t>
      </w:r>
      <w:r>
        <w:rPr>
          <w:color w:val="000000"/>
        </w:rPr>
        <w:t xml:space="preserve">baseline as training samples grow from 90 to 135 per fold, before</w:t>
      </w:r>
      <w:r>
        <w:rPr>
          <w:color w:val="000000"/>
        </w:rPr>
        <w:t xml:space="preserve"> </w:t>
      </w:r>
      <w:r>
        <w:rPr>
          <w:color w:val="000000"/>
        </w:rPr>
        <w:t xml:space="preserve">plateauing at OBELiX scale.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11"/>
    <w:bookmarkStart w:id="12" w:name="introduction"/>
    <w:p>
      <w:pPr>
        <w:pStyle w:val="Heading2"/>
      </w:pPr>
      <w:r>
        <w:rPr>
          <w:color w:val="000000"/>
        </w:rPr>
        <w:t xml:space="preserve">1. Introduction</w:t>
      </w:r>
    </w:p>
    <w:p>
      <w:pPr>
        <w:pStyle w:val="FirstParagraph"/>
      </w:pPr>
      <w:r>
        <w:rPr>
          <w:color w:val="000000"/>
        </w:rPr>
        <w:t xml:space="preserve">Solid-state electrolytes (SSEs) are the central enabling component of</w:t>
      </w:r>
      <w:r>
        <w:rPr>
          <w:color w:val="000000"/>
        </w:rPr>
        <w:t xml:space="preserve"> </w:t>
      </w:r>
      <w:r>
        <w:rPr>
          <w:color w:val="000000"/>
        </w:rPr>
        <w:t xml:space="preserve">high-energy-density solid-state Li-ion batteries. The room-temperature</w:t>
      </w:r>
      <w:r>
        <w:rPr>
          <w:color w:val="000000"/>
        </w:rPr>
        <w:t xml:space="preserve"> </w:t>
      </w:r>
      <w:r>
        <w:rPr>
          <w:color w:val="000000"/>
        </w:rPr>
        <w:t xml:space="preserve">ionic conductivity σ at 298 K is the figure-of-merit that distinguishes</w:t>
      </w:r>
      <w:r>
        <w:rPr>
          <w:color w:val="000000"/>
        </w:rPr>
        <w:t xml:space="preserve"> </w:t>
      </w:r>
      <w:r>
        <w:rPr>
          <w:color w:val="000000"/>
        </w:rPr>
        <w:t xml:space="preserve">device-relevant materials from the rest of the design space. Direct DFT</w:t>
      </w:r>
      <w:r>
        <w:rPr>
          <w:color w:val="000000"/>
        </w:rPr>
        <w:t xml:space="preserve"> </w:t>
      </w:r>
      <w:r>
        <w:rPr>
          <w:color w:val="000000"/>
        </w:rPr>
        <w:t xml:space="preserve">treatment of σ — through nudged-elastic-band calculations of Li migration</w:t>
      </w:r>
      <w:r>
        <w:rPr>
          <w:color w:val="000000"/>
        </w:rPr>
        <w:t xml:space="preserve"> </w:t>
      </w:r>
      <w:r>
        <w:rPr>
          <w:color w:val="000000"/>
        </w:rPr>
        <w:t xml:space="preserve">barriers or molecular dynamics of Li diffusion — is computationally</w:t>
      </w:r>
      <w:r>
        <w:rPr>
          <w:color w:val="000000"/>
        </w:rPr>
        <w:t xml:space="preserve"> </w:t>
      </w:r>
      <w:r>
        <w:rPr>
          <w:color w:val="000000"/>
        </w:rPr>
        <w:t xml:space="preserve">prohibitive at the screening scale of 10⁴–10⁵ candidate compositions.</w:t>
      </w:r>
      <w:r>
        <w:rPr>
          <w:color w:val="000000"/>
        </w:rPr>
        <w:t xml:space="preserve"> </w:t>
      </w:r>
      <w:r>
        <w:rPr>
          <w:color w:val="000000"/>
        </w:rPr>
        <w:t xml:space="preserve">A predictive σ-from-structure model would therefore be transformative.</w:t>
      </w:r>
    </w:p>
    <w:p>
      <w:pPr>
        <w:pStyle w:val="BodyText"/>
      </w:pPr>
      <w:r>
        <w:rPr>
          <w:color w:val="000000"/>
        </w:rPr>
        <w:t xml:space="preserve">The published landscape divides into three regimes.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Tabular</w:t>
      </w:r>
      <w:r>
        <w:rPr>
          <w:color w:val="000000"/>
        </w:rPr>
        <w:t xml:space="preserve"> </w:t>
      </w:r>
      <w:r>
        <w:rPr>
          <w:color w:val="000000"/>
        </w:rPr>
        <w:t xml:space="preserve">models</w:t>
      </w:r>
      <w:r>
        <w:rPr>
          <w:color w:val="000000"/>
        </w:rPr>
        <w:t xml:space="preserve"> </w:t>
      </w:r>
      <w:r>
        <w:rPr>
          <w:color w:val="000000"/>
        </w:rPr>
        <w:t xml:space="preserve">operate on elemental and structural descriptors (Magpie, Matminer,</w:t>
      </w:r>
      <w:r>
        <w:rPr>
          <w:color w:val="000000"/>
        </w:rPr>
        <w:t xml:space="preserve"> </w:t>
      </w:r>
      <w:r>
        <w:rPr>
          <w:color w:val="000000"/>
        </w:rPr>
        <w:t xml:space="preserve">Roost) and dominate at small n on most materials-property benchmarks</w:t>
      </w:r>
      <w:r>
        <w:rPr>
          <w:color w:val="000000"/>
        </w:rPr>
        <w:t xml:space="preserve"> </w:t>
      </w:r>
      <w:r>
        <w:rPr>
          <w:color w:val="000000"/>
        </w:rPr>
        <w:t xml:space="preserve">[1-3].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Real-space neural</w:t>
      </w:r>
      <w:r>
        <w:rPr>
          <w:color w:val="000000"/>
        </w:rPr>
        <w:t xml:space="preserve"> </w:t>
      </w:r>
      <w:r>
        <w:rPr>
          <w:color w:val="000000"/>
        </w:rPr>
        <w:t xml:space="preserve">models — CGCNN [4], ALIGNN [5], MEGNet [6],</w:t>
      </w:r>
      <w:r>
        <w:rPr>
          <w:color w:val="000000"/>
        </w:rPr>
        <w:t xml:space="preserve"> </w:t>
      </w:r>
      <w:r>
        <w:rPr>
          <w:color w:val="000000"/>
        </w:rPr>
        <w:t xml:space="preserve">M3GNet [7] — encode crystals as atom-centred message-passing</w:t>
      </w:r>
      <w:r>
        <w:rPr>
          <w:color w:val="000000"/>
        </w:rPr>
        <w:t xml:space="preserve"> </w:t>
      </w:r>
      <w:r>
        <w:rPr>
          <w:color w:val="000000"/>
        </w:rPr>
        <w:t xml:space="preserve">graphs and inherit periodicity only via distance cutoffs and data</w:t>
      </w:r>
      <w:r>
        <w:rPr>
          <w:color w:val="000000"/>
        </w:rPr>
        <w:t xml:space="preserve"> </w:t>
      </w:r>
      <w:r>
        <w:rPr>
          <w:color w:val="000000"/>
        </w:rPr>
        <w:t xml:space="preserve">augmentation.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Equivariant potentials</w:t>
      </w:r>
      <w:r>
        <w:rPr>
          <w:color w:val="000000"/>
        </w:rPr>
        <w:t xml:space="preserve"> </w:t>
      </w:r>
      <w:r>
        <w:rPr>
          <w:color w:val="000000"/>
        </w:rPr>
        <w:t xml:space="preserve">— NequIP [8], MACE</w:t>
      </w:r>
      <w:r>
        <w:rPr>
          <w:color w:val="000000"/>
        </w:rPr>
        <w:t xml:space="preserve"> </w:t>
      </w:r>
      <w:r>
        <w:rPr>
          <w:color w:val="000000"/>
        </w:rPr>
        <w:t xml:space="preserve">[9], CHGNet [10] — pretrain on DFT energies, forces</w:t>
      </w:r>
      <w:r>
        <w:rPr>
          <w:color w:val="000000"/>
        </w:rPr>
        <w:t xml:space="preserve"> </w:t>
      </w:r>
      <w:r>
        <w:rPr>
          <w:color w:val="000000"/>
        </w:rPr>
        <w:t xml:space="preserve">and stresses and provide foundation features through single-point</w:t>
      </w:r>
      <w:r>
        <w:rPr>
          <w:color w:val="000000"/>
        </w:rPr>
        <w:t xml:space="preserve"> </w:t>
      </w:r>
      <w:r>
        <w:rPr>
          <w:color w:val="000000"/>
        </w:rPr>
        <w:t xml:space="preserve">evaluations.</w:t>
      </w:r>
    </w:p>
    <w:p>
      <w:pPr>
        <w:pStyle w:val="BodyText"/>
      </w:pPr>
      <w:r>
        <w:rPr>
          <w:color w:val="000000"/>
        </w:rPr>
        <w:t xml:space="preserve">For a property as sensitive to the periodic Li sub-lattice and to local</w:t>
      </w:r>
      <w:r>
        <w:rPr>
          <w:color w:val="000000"/>
        </w:rPr>
        <w:t xml:space="preserve"> </w:t>
      </w:r>
      <w:r>
        <w:rPr>
          <w:color w:val="000000"/>
        </w:rPr>
        <w:t xml:space="preserve">anion coordination as σ, two limitations of the current literature are</w:t>
      </w:r>
      <w:r>
        <w:rPr>
          <w:color w:val="000000"/>
        </w:rPr>
        <w:t xml:space="preserve"> </w:t>
      </w:r>
      <w:r>
        <w:rPr>
          <w:color w:val="000000"/>
        </w:rPr>
        <w:t xml:space="preserve">salient. First, no published architecture builds a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primary</w:t>
      </w:r>
      <w:r>
        <w:rPr>
          <w:color w:val="000000"/>
        </w:rPr>
        <w:t xml:space="preserve"> </w:t>
      </w:r>
      <w:r>
        <w:rPr>
          <w:color w:val="000000"/>
        </w:rPr>
        <w:t xml:space="preserve">representation in reciprocal space while enforcing space-group</w:t>
      </w:r>
      <w:r>
        <w:rPr>
          <w:color w:val="000000"/>
        </w:rPr>
        <w:t xml:space="preserve"> </w:t>
      </w:r>
      <w:r>
        <w:rPr>
          <w:color w:val="000000"/>
        </w:rPr>
        <w:t xml:space="preserve">equivariance by construction; ReGNet [11] is the closest</w:t>
      </w:r>
      <w:r>
        <w:rPr>
          <w:color w:val="000000"/>
        </w:rPr>
        <w:t xml:space="preserve"> </w:t>
      </w:r>
      <w:r>
        <w:rPr>
          <w:color w:val="000000"/>
        </w:rPr>
        <w:t xml:space="preserve">relative but uses a single FFT–filter–IFFT block as an auxiliary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decoration</w:t>
      </w:r>
      <w:r>
        <w:rPr>
          <w:color w:val="000000"/>
        </w:rPr>
        <w:t xml:space="preserve"> </w:t>
      </w:r>
      <w:r>
        <w:rPr>
          <w:color w:val="000000"/>
        </w:rPr>
        <w:t xml:space="preserve">on a real-space GNN, with no Brillouin-zone symmetry</w:t>
      </w:r>
      <w:r>
        <w:rPr>
          <w:color w:val="000000"/>
        </w:rPr>
        <w:t xml:space="preserve"> </w:t>
      </w:r>
      <w:r>
        <w:rPr>
          <w:color w:val="000000"/>
        </w:rPr>
        <w:t xml:space="preserve">enforcement. Second, the most physically interpretable handle on Li</w:t>
      </w:r>
      <w:r>
        <w:rPr>
          <w:color w:val="000000"/>
        </w:rPr>
        <w:t xml:space="preserve"> </w:t>
      </w:r>
      <w:r>
        <w:rPr>
          <w:color w:val="000000"/>
        </w:rPr>
        <w:t xml:space="preserve">mobility — Brown’s bond-valence sum [12] — has been used only as</w:t>
      </w:r>
      <w:r>
        <w:rPr>
          <w:color w:val="000000"/>
        </w:rPr>
        <w:t xml:space="preserve"> </w:t>
      </w:r>
      <w:r>
        <w:rPr>
          <w:color w:val="000000"/>
        </w:rPr>
        <w:t xml:space="preserve">a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post-hoc</w:t>
      </w:r>
      <w:r>
        <w:rPr>
          <w:color w:val="000000"/>
        </w:rPr>
        <w:t xml:space="preserve"> </w:t>
      </w:r>
      <w:r>
        <w:rPr>
          <w:color w:val="000000"/>
        </w:rPr>
        <w:t xml:space="preserve">filter or as a tabulated descriptor, never as a learnable</w:t>
      </w:r>
      <w:r>
        <w:rPr>
          <w:color w:val="000000"/>
        </w:rPr>
        <w:t xml:space="preserve"> </w:t>
      </w:r>
      <w:r>
        <w:rPr>
          <w:color w:val="000000"/>
        </w:rPr>
        <w:t xml:space="preserve">sub-module that participates in end-to-end gradient flow.</w:t>
      </w:r>
    </w:p>
    <w:p>
      <w:pPr>
        <w:pStyle w:val="BodyText"/>
      </w:pPr>
      <w:r>
        <w:rPr>
          <w:color w:val="000000"/>
        </w:rPr>
        <w:t xml:space="preserve">I introduce two architectural primitives to address both gaps.</w:t>
      </w:r>
    </w:p>
    <w:p>
      <w:pPr>
        <w:pStyle w:val="BodyText"/>
      </w:pPr>
      <w:r>
        <w:rPr>
          <w:b/>
          <w:bCs/>
          <w:color w:val="000000"/>
        </w:rPr>
        <w:t xml:space="preserve">(i) k-SEC</w:t>
      </w:r>
      <w:r>
        <w:rPr>
          <w:color w:val="000000"/>
        </w:rPr>
        <w:t xml:space="preserve"> </w:t>
      </w:r>
      <w:r>
        <w:rPr>
          <w:color w:val="000000"/>
        </w:rPr>
        <w:t xml:space="preserve">(k-space equivariant convolution). The encoder builds</w:t>
      </w:r>
      <w:r>
        <w:rPr>
          <w:color w:val="000000"/>
        </w:rPr>
        <w:t xml:space="preserve"> </w:t>
      </w:r>
      <w:r>
        <w:rPr>
          <w:color w:val="000000"/>
        </w:rPr>
        <w:t xml:space="preserve">atomic structure factors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F(k)</w:t>
      </w:r>
      <w:r>
        <w:rPr>
          <w:color w:val="000000"/>
        </w:rPr>
        <w:t xml:space="preserve"> </w:t>
      </w:r>
      <w:r>
        <w:rPr>
          <w:color w:val="000000"/>
        </w:rPr>
        <w:t xml:space="preserve">on a cubic-symmetrised wavevector grid;</w:t>
      </w:r>
      <w:r>
        <w:rPr>
          <w:color w:val="000000"/>
        </w:rPr>
        <w:t xml:space="preserve"> </w:t>
      </w:r>
      <w:r>
        <w:rPr>
          <w:color w:val="000000"/>
        </w:rPr>
        <w:t xml:space="preserve">all feature maps live in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ℂ^(K × D)</w:t>
      </w:r>
      <w:r>
        <w:rPr>
          <w:color w:val="000000"/>
        </w:rPr>
        <w:t xml:space="preserve"> </w:t>
      </w:r>
      <w:r>
        <w:rPr>
          <w:color w:val="000000"/>
        </w:rPr>
        <w:t xml:space="preserve">throughout the network. Two novel</w:t>
      </w:r>
      <w:r>
        <w:rPr>
          <w:color w:val="000000"/>
        </w:rPr>
        <w:t xml:space="preserve"> </w:t>
      </w:r>
      <w:r>
        <w:rPr>
          <w:color w:val="000000"/>
        </w:rPr>
        <w:t xml:space="preserve">components ensure that cubic-group equivariance is enforced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by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 xml:space="preserve">construction</w:t>
      </w:r>
      <w:r>
        <w:rPr>
          <w:color w:val="000000"/>
        </w:rPr>
        <w:t xml:space="preserve"> </w:t>
      </w:r>
      <w:r>
        <w:rPr>
          <w:color w:val="000000"/>
        </w:rPr>
        <w:t xml:space="preserve">rather than learned approximately: (a)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cubic-harmonic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directional filters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W(|k|, K₀, K₄ₐ, K₄ᵦ, K₆ₐ, K₆ᵦ)</w:t>
      </w:r>
      <w:r>
        <w:rPr>
          <w:color w:val="000000"/>
        </w:rPr>
        <w:t xml:space="preserve"> </w:t>
      </w:r>
      <w:r>
        <w:rPr>
          <w:color w:val="000000"/>
        </w:rPr>
        <w:t xml:space="preserve">whose argument is</w:t>
      </w:r>
      <w:r>
        <w:rPr>
          <w:color w:val="000000"/>
        </w:rPr>
        <w:t xml:space="preserve"> </w:t>
      </w:r>
      <w:r>
        <w:rPr>
          <w:color w:val="000000"/>
        </w:rPr>
        <w:t xml:space="preserve">a 6-d encoding of k that is invariant under O_h rotations, and (b)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cross-shell gated attention</w:t>
      </w:r>
      <w:r>
        <w:rPr>
          <w:color w:val="000000"/>
        </w:rPr>
        <w:t xml:space="preserve">, a full K×K attention modulated by a</w:t>
      </w:r>
      <w:r>
        <w:rPr>
          <w:color w:val="000000"/>
        </w:rPr>
        <w:t xml:space="preserve"> </w:t>
      </w:r>
      <w:r>
        <w:rPr>
          <w:color w:val="000000"/>
        </w:rPr>
        <w:t xml:space="preserve">gate that depends only on the magnitudes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(|k_i|, |k_j|, Δ|k|)</w:t>
      </w:r>
      <w:r>
        <w:rPr>
          <w:color w:val="000000"/>
        </w:rPr>
        <w:t xml:space="preserve">, hence</w:t>
      </w:r>
      <w:r>
        <w:rPr>
          <w:color w:val="000000"/>
        </w:rPr>
        <w:t xml:space="preserve"> </w:t>
      </w:r>
      <w:r>
        <w:rPr>
          <w:color w:val="000000"/>
        </w:rPr>
        <w:t xml:space="preserve">preserving cubic-equivariance while permitting umklapp-style cross-shell</w:t>
      </w:r>
      <w:r>
        <w:rPr>
          <w:color w:val="000000"/>
        </w:rPr>
        <w:t xml:space="preserve"> </w:t>
      </w:r>
      <w:r>
        <w:rPr>
          <w:color w:val="000000"/>
        </w:rPr>
        <w:t xml:space="preserve">coupling.</w:t>
      </w:r>
    </w:p>
    <w:p>
      <w:pPr>
        <w:pStyle w:val="BodyText"/>
      </w:pPr>
      <w:r>
        <w:rPr>
          <w:b/>
          <w:bCs/>
          <w:color w:val="000000"/>
        </w:rPr>
        <w:t xml:space="preserve">(ii) DBVF</w:t>
      </w:r>
      <w:r>
        <w:rPr>
          <w:color w:val="000000"/>
        </w:rPr>
        <w:t xml:space="preserve"> </w:t>
      </w:r>
      <w:r>
        <w:rPr>
          <w:color w:val="000000"/>
        </w:rPr>
        <w:t xml:space="preserve">(Differentiable Bond-Valence Field). For each Li site I</w:t>
      </w:r>
      <w:r>
        <w:rPr>
          <w:color w:val="000000"/>
        </w:rPr>
        <w:t xml:space="preserve"> </w:t>
      </w:r>
      <w:r>
        <w:rPr>
          <w:color w:val="000000"/>
        </w:rPr>
        <w:t xml:space="preserve">compute the bond-valence sum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V(r_Li) = Σ_anion exp((r₀ − d)/b)</w:t>
      </w:r>
      <w:r>
        <w:rPr>
          <w:color w:val="000000"/>
        </w:rPr>
        <w:t xml:space="preserve"> </w:t>
      </w:r>
      <w:r>
        <w:rPr>
          <w:color w:val="000000"/>
        </w:rPr>
        <w:t xml:space="preserve">with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 </w:t>
      </w:r>
      <w:r>
        <w:rPr>
          <w:color w:val="000000"/>
        </w:rPr>
        <w:t xml:space="preserve">instantiated as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learnable</w:t>
      </w:r>
      <w:r>
        <w:rPr>
          <w:color w:val="000000"/>
        </w:rPr>
        <w:t xml:space="preserve"> </w:t>
      </w:r>
      <w:r>
        <w:rPr>
          <w:color w:val="000000"/>
        </w:rPr>
        <w:t xml:space="preserve">per-anion parameters, and pool</w:t>
      </w:r>
      <w:r>
        <w:rPr>
          <w:color w:val="000000"/>
        </w:rPr>
        <w:t xml:space="preserve"> </w:t>
      </w:r>
      <w:r>
        <w:rPr>
          <w:color w:val="000000"/>
        </w:rPr>
        <w:t xml:space="preserve">the resulting per-site distribution into an 8-d crystal-level descriptor</w:t>
      </w:r>
      <w:r>
        <w:rPr>
          <w:color w:val="000000"/>
        </w:rPr>
        <w:t xml:space="preserve"> </w:t>
      </w:r>
      <w:r>
        <w:rPr>
          <w:color w:val="000000"/>
        </w:rPr>
        <w:t xml:space="preserve">that is consumed by the readout. To my knowledge no prior model has</w:t>
      </w:r>
      <w:r>
        <w:rPr>
          <w:color w:val="000000"/>
        </w:rPr>
        <w:t xml:space="preserve"> </w:t>
      </w:r>
      <w:r>
        <w:rPr>
          <w:color w:val="000000"/>
        </w:rPr>
        <w:t xml:space="preserve">end-to-end-learned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 </w:t>
      </w:r>
      <w:r>
        <w:rPr>
          <w:color w:val="000000"/>
        </w:rPr>
        <w:t xml:space="preserve">inside a neural network; the closest</w:t>
      </w:r>
      <w:r>
        <w:rPr>
          <w:color w:val="000000"/>
        </w:rPr>
        <w:t xml:space="preserve"> </w:t>
      </w:r>
      <w:r>
        <w:rPr>
          <w:color w:val="000000"/>
        </w:rPr>
        <w:t xml:space="preserve">work [13,14] uses Brown-table values as fixed inputs to</w:t>
      </w:r>
      <w:r>
        <w:rPr>
          <w:color w:val="000000"/>
        </w:rPr>
        <w:t xml:space="preserve"> </w:t>
      </w:r>
      <w:r>
        <w:rPr>
          <w:color w:val="000000"/>
        </w:rPr>
        <w:t xml:space="preserve">KMC pipelines.</w:t>
      </w:r>
    </w:p>
    <w:p>
      <w:pPr>
        <w:pStyle w:val="BodyText"/>
      </w:pPr>
      <w:r>
        <w:rPr>
          <w:color w:val="000000"/>
        </w:rPr>
        <w:t xml:space="preserve">On the OBELiX benchmark — a curated set of solid-state Li-ion</w:t>
      </w:r>
      <w:r>
        <w:rPr>
          <w:color w:val="000000"/>
        </w:rPr>
        <w:t xml:space="preserve"> </w:t>
      </w:r>
      <w:r>
        <w:rPr>
          <w:color w:val="000000"/>
        </w:rPr>
        <w:t xml:space="preserve">electrolytes [15] — the joint k-SEC + DBVF model attains MAE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1.047</w:t>
      </w:r>
      <w:r>
        <w:rPr>
          <w:color w:val="000000"/>
        </w:rPr>
        <w:t xml:space="preserve"> </w:t>
      </w:r>
      <w:r>
        <w:rPr>
          <w:color w:val="000000"/>
        </w:rPr>
        <w:t xml:space="preserve">standalone and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0.980</w:t>
      </w:r>
      <w:r>
        <w:rPr>
          <w:color w:val="000000"/>
        </w:rPr>
        <w:t xml:space="preserve"> </w:t>
      </w:r>
      <w:r>
        <w:rPr>
          <w:color w:val="000000"/>
        </w:rPr>
        <w:t xml:space="preserve">in a stacked ensemble with a</w:t>
      </w:r>
      <w:r>
        <w:rPr>
          <w:color w:val="000000"/>
        </w:rPr>
        <w:t xml:space="preserve"> </w:t>
      </w:r>
      <w:r>
        <w:rPr>
          <w:color w:val="000000"/>
        </w:rPr>
        <w:t xml:space="preserve">tabular-feature LightGBM. To my knowledge this is the best MAE</w:t>
      </w:r>
      <w:r>
        <w:rPr>
          <w:color w:val="000000"/>
        </w:rPr>
        <w:t xml:space="preserve"> </w:t>
      </w:r>
      <w:r>
        <w:rPr>
          <w:color w:val="000000"/>
        </w:rPr>
        <w:t xml:space="preserve">reported by a neural model on the OBELiX 281-sample filter, although</w:t>
      </w:r>
      <w:r>
        <w:rPr>
          <w:color w:val="000000"/>
        </w:rPr>
        <w:t xml:space="preserve"> </w:t>
      </w:r>
      <w:r>
        <w:rPr>
          <w:color w:val="000000"/>
        </w:rPr>
        <w:t xml:space="preserve">direct comparison to published numbers is complicated by varying</w:t>
      </w:r>
      <w:r>
        <w:rPr>
          <w:color w:val="000000"/>
        </w:rPr>
        <w:t xml:space="preserve"> </w:t>
      </w:r>
      <w:r>
        <w:rPr>
          <w:color w:val="000000"/>
        </w:rPr>
        <w:t xml:space="preserve">sample filters; for an apples-to-apples comparison I re-evaluate</w:t>
      </w:r>
      <w:r>
        <w:rPr>
          <w:color w:val="000000"/>
        </w:rPr>
        <w:t xml:space="preserve"> </w:t>
      </w:r>
      <w:r>
        <w:rPr>
          <w:color w:val="000000"/>
        </w:rPr>
        <w:t xml:space="preserve">CGCNN-lite and a prior dual-graph baseline on the same filter</w:t>
      </w:r>
      <w:r>
        <w:rPr>
          <w:color w:val="000000"/>
        </w:rPr>
        <w:t xml:space="preserve"> </w:t>
      </w:r>
      <w:r>
        <w:rPr>
          <w:color w:val="000000"/>
        </w:rPr>
        <w:t xml:space="preserve">and report a 25–33 % MAE reduction (Section 4.1). I also include a</w:t>
      </w:r>
      <w:r>
        <w:rPr>
          <w:color w:val="000000"/>
        </w:rPr>
        <w:t xml:space="preserve"> </w:t>
      </w:r>
      <w:r>
        <w:rPr>
          <w:color w:val="000000"/>
        </w:rPr>
        <w:t xml:space="preserve">controlled-comparison test that disentangles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architectural</w:t>
      </w:r>
      <w:r>
        <w:rPr>
          <w:color w:val="000000"/>
        </w:rPr>
        <w:t xml:space="preserve"> </w:t>
      </w:r>
      <w:r>
        <w:rPr>
          <w:color w:val="000000"/>
        </w:rPr>
        <w:t xml:space="preserve">novelty from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feature</w:t>
      </w:r>
      <w:r>
        <w:rPr>
          <w:color w:val="000000"/>
        </w:rPr>
        <w:t xml:space="preserve"> </w:t>
      </w:r>
      <w:r>
        <w:rPr>
          <w:color w:val="000000"/>
        </w:rPr>
        <w:t xml:space="preserve">novelty: extracting DBVF features</w:t>
      </w:r>
      <w:r>
        <w:rPr>
          <w:color w:val="000000"/>
        </w:rPr>
        <w:t xml:space="preserve"> </w:t>
      </w:r>
      <w:r>
        <w:rPr>
          <w:color w:val="000000"/>
        </w:rPr>
        <w:t xml:space="preserve">from a trained model and feeding them to LightGBM does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not</w:t>
      </w:r>
      <w:r>
        <w:rPr>
          <w:color w:val="000000"/>
        </w:rPr>
        <w:t xml:space="preserve"> </w:t>
      </w:r>
      <w:r>
        <w:rPr>
          <w:color w:val="000000"/>
        </w:rPr>
        <w:t xml:space="preserve">improve the</w:t>
      </w:r>
      <w:r>
        <w:rPr>
          <w:color w:val="000000"/>
        </w:rPr>
        <w:t xml:space="preserve"> </w:t>
      </w:r>
      <w:r>
        <w:rPr>
          <w:color w:val="000000"/>
        </w:rPr>
        <w:t xml:space="preserve">tree (and slightly worsens it), supporting the interpretation that DBVF</w:t>
      </w:r>
      <w:r>
        <w:rPr>
          <w:color w:val="000000"/>
        </w:rPr>
        <w:t xml:space="preserve"> </w:t>
      </w:r>
      <w:r>
        <w:rPr>
          <w:color w:val="000000"/>
        </w:rPr>
        <w:t xml:space="preserve">contributes through end-to-end training-time gradient flow rather than</w:t>
      </w:r>
      <w:r>
        <w:rPr>
          <w:color w:val="000000"/>
        </w:rPr>
        <w:t xml:space="preserve"> </w:t>
      </w:r>
      <w:r>
        <w:rPr>
          <w:color w:val="000000"/>
        </w:rPr>
        <w:t xml:space="preserve">as a static descriptor.</w:t>
      </w:r>
    </w:p>
    <w:p>
      <w:pPr>
        <w:pStyle w:val="BodyText"/>
      </w:pPr>
      <w:r>
        <w:rPr>
          <w:color w:val="000000"/>
        </w:rPr>
        <w:t xml:space="preserve">Three honest limitations frame the contribution. (1) The OBELiX</w:t>
      </w:r>
      <w:r>
        <w:rPr>
          <w:color w:val="000000"/>
        </w:rPr>
        <w:t xml:space="preserve"> </w:t>
      </w:r>
      <w:r>
        <w:rPr>
          <w:color w:val="000000"/>
        </w:rPr>
        <w:t xml:space="preserve">benchmark is small (n = 281 after physical-σ filtering), and a</w:t>
      </w:r>
      <w:r>
        <w:rPr>
          <w:color w:val="000000"/>
        </w:rPr>
        <w:t xml:space="preserve"> </w:t>
      </w:r>
      <w:r>
        <w:rPr>
          <w:color w:val="000000"/>
        </w:rPr>
        <w:t xml:space="preserve">gradient-boosted tree on hand-crafted Magpie + lattice + geometric</w:t>
      </w:r>
      <w:r>
        <w:rPr>
          <w:color w:val="000000"/>
        </w:rPr>
        <w:t xml:space="preserve"> </w:t>
      </w:r>
      <w:r>
        <w:rPr>
          <w:color w:val="000000"/>
        </w:rPr>
        <w:t xml:space="preserve">features attains MAE 0.924 — a strong baseline that the standalone</w:t>
      </w:r>
      <w:r>
        <w:rPr>
          <w:color w:val="000000"/>
        </w:rPr>
        <w:t xml:space="preserve"> </w:t>
      </w:r>
      <w:r>
        <w:rPr>
          <w:color w:val="000000"/>
        </w:rPr>
        <w:t xml:space="preserve">neural model does not surpass. (2) Increasing the k-grid resolution</w:t>
      </w:r>
      <w:r>
        <w:rPr>
          <w:color w:val="000000"/>
        </w:rPr>
        <w:t xml:space="preserve"> </w:t>
      </w:r>
      <w:r>
        <w:rPr>
          <w:color w:val="000000"/>
        </w:rPr>
        <w:t xml:space="preserve">beyond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n_max = 2</w:t>
      </w:r>
      <w:r>
        <w:rPr>
          <w:color w:val="000000"/>
        </w:rPr>
        <w:t xml:space="preserve"> </w:t>
      </w:r>
      <w:r>
        <w:rPr>
          <w:color w:val="000000"/>
        </w:rPr>
        <w:t xml:space="preserve">exhausts consumer-GPU memory because cross-shell</w:t>
      </w:r>
      <w:r>
        <w:rPr>
          <w:color w:val="000000"/>
        </w:rPr>
        <w:t xml:space="preserve"> </w:t>
      </w:r>
      <w:r>
        <w:rPr>
          <w:color w:val="000000"/>
        </w:rPr>
        <w:t xml:space="preserve">attention is O(K²); this is an architectural limit at the current</w:t>
      </w:r>
      <w:r>
        <w:rPr>
          <w:color w:val="000000"/>
        </w:rPr>
        <w:t xml:space="preserve"> </w:t>
      </w:r>
      <w:r>
        <w:rPr>
          <w:color w:val="000000"/>
        </w:rPr>
        <w:t xml:space="preserve">implementation stage. (3) Transfer of the Li-pretrained k-SEC encoder to</w:t>
      </w:r>
      <w:r>
        <w:rPr>
          <w:color w:val="000000"/>
        </w:rPr>
        <w:t xml:space="preserve"> </w:t>
      </w:r>
      <w:r>
        <w:rPr>
          <w:color w:val="000000"/>
        </w:rPr>
        <w:t xml:space="preserve">the elasticity-target Matbench task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log_gvrh</w:t>
      </w:r>
      <w:r>
        <w:rPr>
          <w:color w:val="000000"/>
        </w:rPr>
        <w:t xml:space="preserve"> </w:t>
      </w:r>
      <w:r>
        <w:rPr>
          <w:color w:val="000000"/>
        </w:rPr>
        <w:t xml:space="preserve">underperforms published</w:t>
      </w:r>
      <w:r>
        <w:rPr>
          <w:color w:val="000000"/>
        </w:rPr>
        <w:t xml:space="preserve"> </w:t>
      </w:r>
      <w:r>
        <w:rPr>
          <w:color w:val="000000"/>
        </w:rPr>
        <w:t xml:space="preserve">real-space encoders, indicating that the encoder’s pretraining is</w:t>
      </w:r>
      <w:r>
        <w:rPr>
          <w:color w:val="000000"/>
        </w:rPr>
        <w:t xml:space="preserve"> </w:t>
      </w:r>
      <w:r>
        <w:rPr>
          <w:color w:val="000000"/>
        </w:rPr>
        <w:t xml:space="preserve">domain-specialised rather than universally transferable.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12"/>
    <w:bookmarkStart w:id="18" w:name="related-work"/>
    <w:p>
      <w:pPr>
        <w:pStyle w:val="Heading2"/>
      </w:pPr>
      <w:r>
        <w:rPr>
          <w:color w:val="000000"/>
        </w:rPr>
        <w:t xml:space="preserve">2. Related work</w:t>
      </w:r>
    </w:p>
    <w:bookmarkStart w:id="13" w:name="X031147fbabfdecca2edd9011e8e5a4c9a0153d0"/>
    <w:p>
      <w:pPr>
        <w:pStyle w:val="Heading3"/>
      </w:pPr>
      <w:r>
        <w:rPr>
          <w:color w:val="000000"/>
        </w:rPr>
        <w:t xml:space="preserve">2.1 Real-space crystal-property neural networks</w:t>
      </w:r>
    </w:p>
    <w:p>
      <w:pPr>
        <w:pStyle w:val="FirstParagraph"/>
      </w:pPr>
      <w:r>
        <w:rPr>
          <w:color w:val="000000"/>
        </w:rPr>
        <w:t xml:space="preserve">CGCNN [4] established atom-graph convolution; ALIGNN [5] added angle terms; MEGNet [6] introduced global state</w:t>
      </w:r>
      <w:r>
        <w:rPr>
          <w:color w:val="000000"/>
        </w:rPr>
        <w:t xml:space="preserve"> </w:t>
      </w:r>
      <w:r>
        <w:rPr>
          <w:color w:val="000000"/>
        </w:rPr>
        <w:t xml:space="preserve">inputs; M3GNet [7] folded three-body terms into a unified</w:t>
      </w:r>
      <w:r>
        <w:rPr>
          <w:color w:val="000000"/>
        </w:rPr>
        <w:t xml:space="preserve"> </w:t>
      </w:r>
      <w:r>
        <w:rPr>
          <w:color w:val="000000"/>
        </w:rPr>
        <w:t xml:space="preserve">potential. All operate in real space and treat periodicity through</w:t>
      </w:r>
      <w:r>
        <w:rPr>
          <w:color w:val="000000"/>
        </w:rPr>
        <w:t xml:space="preserve"> </w:t>
      </w:r>
      <w:r>
        <w:rPr>
          <w:color w:val="000000"/>
        </w:rPr>
        <w:t xml:space="preserve">distance-cutoff graphs.</w:t>
      </w:r>
    </w:p>
    <w:bookmarkEnd w:id="13"/>
    <w:bookmarkStart w:id="14" w:name="reciprocal-space-neural-representations"/>
    <w:p>
      <w:pPr>
        <w:pStyle w:val="Heading3"/>
      </w:pPr>
      <w:r>
        <w:rPr>
          <w:color w:val="000000"/>
        </w:rPr>
        <w:t xml:space="preserve">2.2 Reciprocal-space neural representations</w:t>
      </w:r>
    </w:p>
    <w:p>
      <w:pPr>
        <w:pStyle w:val="FirstParagraph"/>
      </w:pPr>
      <w:r>
        <w:rPr>
          <w:color w:val="000000"/>
        </w:rPr>
        <w:t xml:space="preserve">Fourier neural operators [16] popularised spectral architectures</w:t>
      </w:r>
      <w:r>
        <w:rPr>
          <w:color w:val="000000"/>
        </w:rPr>
        <w:t xml:space="preserve"> </w:t>
      </w:r>
      <w:r>
        <w:rPr>
          <w:color w:val="000000"/>
        </w:rPr>
        <w:t xml:space="preserve">for PDE surrogates. ReGNet [11] is the closest published relative</w:t>
      </w:r>
      <w:r>
        <w:rPr>
          <w:color w:val="000000"/>
        </w:rPr>
        <w:t xml:space="preserve"> </w:t>
      </w:r>
      <w:r>
        <w:rPr>
          <w:color w:val="000000"/>
        </w:rPr>
        <w:t xml:space="preserve">to k-SEC: it uses a single FFT block as auxiliary input alongside a</w:t>
      </w:r>
      <w:r>
        <w:rPr>
          <w:color w:val="000000"/>
        </w:rPr>
        <w:t xml:space="preserve"> </w:t>
      </w:r>
      <w:r>
        <w:rPr>
          <w:color w:val="000000"/>
        </w:rPr>
        <w:t xml:space="preserve">real-space GNN. My work differs in three respects: (i) the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primary</w:t>
      </w:r>
      <w:r>
        <w:rPr>
          <w:color w:val="000000"/>
        </w:rPr>
        <w:t xml:space="preserve"> </w:t>
      </w:r>
      <w:r>
        <w:rPr>
          <w:color w:val="000000"/>
        </w:rPr>
        <w:t xml:space="preserve">representation lives in k-space throughout the network; (ii)</w:t>
      </w:r>
      <w:r>
        <w:rPr>
          <w:color w:val="000000"/>
        </w:rPr>
        <w:t xml:space="preserve"> </w:t>
      </w:r>
      <w:r>
        <w:rPr>
          <w:color w:val="000000"/>
        </w:rPr>
        <w:t xml:space="preserve">cubic-group equivariance is enforced through the cubic-harmonic basis,</w:t>
      </w:r>
      <w:r>
        <w:rPr>
          <w:color w:val="000000"/>
        </w:rPr>
        <w:t xml:space="preserve"> </w:t>
      </w:r>
      <w:r>
        <w:rPr>
          <w:color w:val="000000"/>
        </w:rPr>
        <w:t xml:space="preserve">not learned implicitly; (iii) cross-shell gated attention permits</w:t>
      </w:r>
      <w:r>
        <w:rPr>
          <w:color w:val="000000"/>
        </w:rPr>
        <w:t xml:space="preserve"> </w:t>
      </w:r>
      <w:r>
        <w:rPr>
          <w:color w:val="000000"/>
        </w:rPr>
        <w:t xml:space="preserve">umklapp-style cross-shell coupling without breaking equivariance.</w:t>
      </w:r>
    </w:p>
    <w:bookmarkEnd w:id="14"/>
    <w:bookmarkStart w:id="15" w:name="Xeb6485952afac9b7a786c4eb55e071db3039697"/>
    <w:p>
      <w:pPr>
        <w:pStyle w:val="Heading3"/>
      </w:pPr>
      <w:r>
        <w:rPr>
          <w:color w:val="000000"/>
        </w:rPr>
        <w:t xml:space="preserve">2.3 Equivariant potentials and foundation features</w:t>
      </w:r>
    </w:p>
    <w:p>
      <w:pPr>
        <w:pStyle w:val="FirstParagraph"/>
      </w:pPr>
      <w:r>
        <w:rPr>
          <w:color w:val="000000"/>
        </w:rPr>
        <w:t xml:space="preserve">NequIP [8], MACE [9], MACE-MP-0 [17]</w:t>
      </w:r>
      <w:r>
        <w:rPr>
          <w:color w:val="000000"/>
        </w:rPr>
        <w:t xml:space="preserve"> </w:t>
      </w:r>
      <w:r>
        <w:rPr>
          <w:color w:val="000000"/>
        </w:rPr>
        <w:t xml:space="preserve">and CHGNet [10] provide SE(3)-equivariant potentials whose</w:t>
      </w:r>
      <w:r>
        <w:rPr>
          <w:color w:val="000000"/>
        </w:rPr>
        <w:t xml:space="preserve"> </w:t>
      </w:r>
      <w:r>
        <w:rPr>
          <w:color w:val="000000"/>
        </w:rPr>
        <w:t xml:space="preserve">single-point evaluations have been used as input features for downstream</w:t>
      </w:r>
      <w:r>
        <w:rPr>
          <w:color w:val="000000"/>
        </w:rPr>
        <w:t xml:space="preserve"> </w:t>
      </w:r>
      <w:r>
        <w:rPr>
          <w:color w:val="000000"/>
        </w:rPr>
        <w:t xml:space="preserve">property prediction. I compare against MACE-MP-0 features as a strong</w:t>
      </w:r>
      <w:r>
        <w:rPr>
          <w:color w:val="000000"/>
        </w:rPr>
        <w:t xml:space="preserve"> </w:t>
      </w:r>
      <w:r>
        <w:rPr>
          <w:color w:val="000000"/>
        </w:rPr>
        <w:t xml:space="preserve">foundation-model baseline (Section 4.5) and find that DBVF — a</w:t>
      </w:r>
      <w:r>
        <w:rPr>
          <w:color w:val="000000"/>
        </w:rPr>
        <w:t xml:space="preserve"> </w:t>
      </w:r>
      <w:r>
        <w:rPr>
          <w:color w:val="000000"/>
        </w:rPr>
        <w:t xml:space="preserve">σ-targeted, end-to-end-learnable physics module — slightly outperforms</w:t>
      </w:r>
      <w:r>
        <w:rPr>
          <w:color w:val="000000"/>
        </w:rPr>
        <w:t xml:space="preserve"> </w:t>
      </w:r>
      <w:r>
        <w:rPr>
          <w:color w:val="000000"/>
        </w:rPr>
        <w:t xml:space="preserve">MACE features at this benchmark.</w:t>
      </w:r>
    </w:p>
    <w:bookmarkEnd w:id="15"/>
    <w:bookmarkStart w:id="16" w:name="Xad32c1c1e9cd6a33d124d088c5fc6b314ac6a2f"/>
    <w:p>
      <w:pPr>
        <w:pStyle w:val="Heading3"/>
      </w:pPr>
      <w:r>
        <w:rPr>
          <w:color w:val="000000"/>
        </w:rPr>
        <w:t xml:space="preserve">2.4 Ionic-conductivity-specific machine learning</w:t>
      </w:r>
    </w:p>
    <w:p>
      <w:pPr>
        <w:pStyle w:val="FirstParagraph"/>
      </w:pPr>
      <w:r>
        <w:rPr>
          <w:color w:val="000000"/>
        </w:rPr>
        <w:t xml:space="preserve">Hargreaves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et al.</w:t>
      </w:r>
      <w:r>
        <w:rPr>
          <w:color w:val="000000"/>
        </w:rPr>
        <w:t xml:space="preserve"> </w:t>
      </w:r>
      <w:r>
        <w:rPr>
          <w:color w:val="000000"/>
        </w:rPr>
        <w:t xml:space="preserve">[18] released the Liverpool σ dataset</w:t>
      </w:r>
      <w:r>
        <w:rPr>
          <w:color w:val="000000"/>
        </w:rPr>
        <w:t xml:space="preserve"> </w:t>
      </w:r>
      <w:r>
        <w:rPr>
          <w:color w:val="000000"/>
        </w:rPr>
        <w:t xml:space="preserve">(641 entries, no CIFs); Pizarro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et al.</w:t>
      </w:r>
      <w:r>
        <w:rPr>
          <w:color w:val="000000"/>
        </w:rPr>
        <w:t xml:space="preserve"> </w:t>
      </w:r>
      <w:r>
        <w:rPr>
          <w:color w:val="000000"/>
        </w:rPr>
        <w:t xml:space="preserve">[15] released OBELiX</w:t>
      </w:r>
      <w:r>
        <w:rPr>
          <w:color w:val="000000"/>
        </w:rPr>
        <w:t xml:space="preserve"> </w:t>
      </w:r>
      <w:r>
        <w:rPr>
          <w:color w:val="000000"/>
        </w:rPr>
        <w:t xml:space="preserve">(562 entries, 285 with CIFs). Prior σ-prediction work has used CrabNet-</w:t>
      </w:r>
      <w:r>
        <w:rPr>
          <w:color w:val="000000"/>
        </w:rPr>
        <w:t xml:space="preserve"> </w:t>
      </w:r>
      <w:r>
        <w:rPr>
          <w:color w:val="000000"/>
        </w:rPr>
        <w:t xml:space="preserve">style composition-only transformers [18,19] and</w:t>
      </w:r>
      <w:r>
        <w:rPr>
          <w:color w:val="000000"/>
        </w:rPr>
        <w:t xml:space="preserve"> </w:t>
      </w:r>
      <w:r>
        <w:rPr>
          <w:color w:val="000000"/>
        </w:rPr>
        <w:t xml:space="preserve">fragment-KMC + MLIP pipelines [13]. None deploy a</w:t>
      </w:r>
      <w:r>
        <w:rPr>
          <w:color w:val="000000"/>
        </w:rPr>
        <w:t xml:space="preserve"> </w:t>
      </w:r>
      <w:r>
        <w:rPr>
          <w:color w:val="000000"/>
        </w:rPr>
        <w:t xml:space="preserve">reciprocal-space primary encoder or an end-to-end-learnable bond-valence</w:t>
      </w:r>
      <w:r>
        <w:rPr>
          <w:color w:val="000000"/>
        </w:rPr>
        <w:t xml:space="preserve"> </w:t>
      </w:r>
      <w:r>
        <w:rPr>
          <w:color w:val="000000"/>
        </w:rPr>
        <w:t xml:space="preserve">module.</w:t>
      </w:r>
    </w:p>
    <w:bookmarkEnd w:id="16"/>
    <w:bookmarkStart w:id="17" w:name="Xf6ace896ce7b304643ee873a44b70d92b7f969e"/>
    <w:p>
      <w:pPr>
        <w:pStyle w:val="Heading3"/>
      </w:pPr>
      <w:r>
        <w:rPr>
          <w:color w:val="000000"/>
        </w:rPr>
        <w:t xml:space="preserve">2.5 Bond-valence theory in materials informatics</w:t>
      </w:r>
    </w:p>
    <w:p>
      <w:pPr>
        <w:pStyle w:val="FirstParagraph"/>
      </w:pPr>
      <w:r>
        <w:rPr>
          <w:color w:val="000000"/>
        </w:rPr>
        <w:t xml:space="preserve">Brown’s bond-valence sum [12] is a 70-year-old crystallographic</w:t>
      </w:r>
      <w:r>
        <w:rPr>
          <w:color w:val="000000"/>
        </w:rPr>
        <w:t xml:space="preserve"> </w:t>
      </w:r>
      <w:r>
        <w:rPr>
          <w:color w:val="000000"/>
        </w:rPr>
        <w:t xml:space="preserve">tool used post-hoc to identify low-energy Li sites and migration paths</w:t>
      </w:r>
      <w:r>
        <w:rPr>
          <w:color w:val="000000"/>
        </w:rPr>
        <w:t xml:space="preserve"> </w:t>
      </w:r>
      <w:r>
        <w:rPr>
          <w:color w:val="000000"/>
        </w:rPr>
        <w:t xml:space="preserve">[14,20]. The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 </w:t>
      </w:r>
      <w:r>
        <w:rPr>
          <w:color w:val="000000"/>
        </w:rPr>
        <w:t xml:space="preserve">parameters are tabulated.</w:t>
      </w:r>
      <w:r>
        <w:rPr>
          <w:color w:val="000000"/>
        </w:rPr>
        <w:t xml:space="preserve"> </w:t>
      </w:r>
      <w:r>
        <w:rPr>
          <w:color w:val="000000"/>
        </w:rPr>
        <w:t xml:space="preserve">DBVF is, to my knowledge, the first treatment of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 </w:t>
      </w:r>
      <w:r>
        <w:rPr>
          <w:color w:val="000000"/>
        </w:rPr>
        <w:t xml:space="preserve">as</w:t>
      </w:r>
      <w:r>
        <w:rPr>
          <w:color w:val="000000"/>
        </w:rPr>
        <w:t xml:space="preserve"> </w:t>
      </w:r>
      <w:r>
        <w:rPr>
          <w:color w:val="000000"/>
        </w:rPr>
        <w:t xml:space="preserve">learnable, gradient-flowing parameters of a neural module.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17"/>
    <w:bookmarkEnd w:id="18"/>
    <w:bookmarkStart w:id="27" w:name="methods"/>
    <w:p>
      <w:pPr>
        <w:pStyle w:val="Heading2"/>
      </w:pPr>
      <w:r>
        <w:rPr>
          <w:color w:val="000000"/>
        </w:rPr>
        <w:t xml:space="preserve">3. Methods</w:t>
      </w:r>
    </w:p>
    <w:bookmarkStart w:id="19" w:name="notation"/>
    <w:p>
      <w:pPr>
        <w:pStyle w:val="Heading3"/>
      </w:pPr>
      <w:r>
        <w:rPr>
          <w:color w:val="000000"/>
        </w:rPr>
        <w:t xml:space="preserve">3.1 Notation</w:t>
      </w:r>
    </w:p>
    <w:p>
      <w:pPr>
        <w:pStyle w:val="FirstParagraph"/>
      </w:pPr>
      <w:r>
        <w:rPr>
          <w:color w:val="000000"/>
        </w:rPr>
        <w:t xml:space="preserve">A crystal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C = (L, {(Z_j, r_j)})</w:t>
      </w:r>
      <w:r>
        <w:rPr>
          <w:color w:val="000000"/>
        </w:rPr>
        <w:t xml:space="preserve"> </w:t>
      </w:r>
      <w:r>
        <w:rPr>
          <w:color w:val="000000"/>
        </w:rPr>
        <w:t xml:space="preserve">consists of a lattice matrix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L ∈ ℝ³ˣ³</w:t>
      </w:r>
      <w:r>
        <w:rPr>
          <w:color w:val="000000"/>
        </w:rPr>
        <w:t xml:space="preserve"> </w:t>
      </w:r>
      <w:r>
        <w:rPr>
          <w:color w:val="000000"/>
        </w:rPr>
        <w:t xml:space="preserve">and atoms with atomic numbers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Z_j</w:t>
      </w:r>
      <w:r>
        <w:rPr>
          <w:color w:val="000000"/>
        </w:rPr>
        <w:t xml:space="preserve"> </w:t>
      </w:r>
      <w:r>
        <w:rPr>
          <w:color w:val="000000"/>
        </w:rPr>
        <w:t xml:space="preserve">and fractional</w:t>
      </w:r>
      <w:r>
        <w:rPr>
          <w:color w:val="000000"/>
        </w:rPr>
        <w:t xml:space="preserve"> </w:t>
      </w:r>
      <w:r>
        <w:rPr>
          <w:color w:val="000000"/>
        </w:rPr>
        <w:t xml:space="preserve">coordinates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r_j ∈ [0,1)³</w:t>
      </w:r>
      <w:r>
        <w:rPr>
          <w:color w:val="000000"/>
        </w:rPr>
        <w:t xml:space="preserve">. The target is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y = log₁₀ σ</w:t>
      </w:r>
      <w:r>
        <w:rPr>
          <w:color w:val="000000"/>
        </w:rPr>
        <w:t xml:space="preserve"> </w:t>
      </w:r>
      <w:r>
        <w:rPr>
          <w:color w:val="000000"/>
        </w:rPr>
        <w:t xml:space="preserve">at 298 K</w:t>
      </w:r>
      <w:r>
        <w:rPr>
          <w:color w:val="000000"/>
        </w:rPr>
        <w:t xml:space="preserve"> </w:t>
      </w:r>
      <w:r>
        <w:rPr>
          <w:color w:val="000000"/>
        </w:rPr>
        <w:t xml:space="preserve">(units S cm⁻¹).</w:t>
      </w:r>
    </w:p>
    <w:bookmarkEnd w:id="19"/>
    <w:bookmarkStart w:id="20" w:name="k-sec-encoder"/>
    <w:p>
      <w:pPr>
        <w:pStyle w:val="Heading3"/>
      </w:pPr>
      <w:r>
        <w:rPr>
          <w:color w:val="000000"/>
        </w:rPr>
        <w:t xml:space="preserve">3.2 k-SEC encoder</w:t>
      </w:r>
    </w:p>
    <w:p>
      <w:pPr>
        <w:pStyle w:val="FirstParagraph"/>
      </w:pPr>
      <w:r>
        <w:rPr>
          <w:b/>
          <w:bCs/>
          <w:color w:val="000000"/>
        </w:rPr>
        <w:t xml:space="preserve">Wavevector grid.</w:t>
      </w:r>
      <w:r>
        <w:rPr>
          <w:color w:val="000000"/>
        </w:rPr>
        <w:t xml:space="preserve"> </w:t>
      </w:r>
      <w:r>
        <w:rPr>
          <w:color w:val="000000"/>
        </w:rPr>
        <w:t xml:space="preserve">I construct a cubic-symmetrised grid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{k_m} ⊂ ℤ³</w:t>
      </w:r>
      <w:r>
        <w:rPr>
          <w:color w:val="000000"/>
        </w:rPr>
        <w:t xml:space="preserve"> </w:t>
      </w:r>
      <w:r>
        <w:rPr>
          <w:color w:val="000000"/>
        </w:rPr>
        <w:t xml:space="preserve">of integer Miller indices with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|m_i| ≤ n_max</w:t>
      </w:r>
      <w:r>
        <w:rPr>
          <w:color w:val="000000"/>
        </w:rPr>
        <w:t xml:space="preserve">, and group</w:t>
      </w:r>
      <w:r>
        <w:rPr>
          <w:color w:val="000000"/>
        </w:rPr>
        <w:t xml:space="preserve"> </w:t>
      </w:r>
      <w:r>
        <w:rPr>
          <w:color w:val="000000"/>
        </w:rPr>
        <w:t xml:space="preserve">points into shells of equal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|k|</w:t>
      </w:r>
      <w:r>
        <w:rPr>
          <w:color w:val="000000"/>
        </w:rPr>
        <w:t xml:space="preserve">. I use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n_max = 2</w:t>
      </w:r>
      <w:r>
        <w:rPr>
          <w:color w:val="000000"/>
        </w:rPr>
        <w:t xml:space="preserve"> </w:t>
      </w:r>
      <w:r>
        <w:rPr>
          <w:color w:val="000000"/>
        </w:rPr>
        <w:t xml:space="preserve">(K ≈ 33 unique</w:t>
      </w:r>
      <w:r>
        <w:rPr>
          <w:color w:val="000000"/>
        </w:rPr>
        <w:t xml:space="preserve"> </w:t>
      </w:r>
      <w:r>
        <w:rPr>
          <w:color w:val="000000"/>
        </w:rPr>
        <w:t xml:space="preserve">k-points) throughout;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n_max = 3</w:t>
      </w:r>
      <w:r>
        <w:rPr>
          <w:color w:val="000000"/>
        </w:rPr>
        <w:t xml:space="preserve"> </w:t>
      </w:r>
      <w:r>
        <w:rPr>
          <w:color w:val="000000"/>
        </w:rPr>
        <w:t xml:space="preserve">(K ≈ 80) exceeds 12-GB GPU memory</w:t>
      </w:r>
      <w:r>
        <w:rPr>
          <w:color w:val="000000"/>
        </w:rPr>
        <w:t xml:space="preserve"> </w:t>
      </w:r>
      <w:r>
        <w:rPr>
          <w:color w:val="000000"/>
        </w:rPr>
        <w:t xml:space="preserve">because cross-shell attention is O(K²).</w:t>
      </w:r>
    </w:p>
    <w:p>
      <w:pPr>
        <w:pStyle w:val="BodyText"/>
      </w:pPr>
      <w:r>
        <w:rPr>
          <w:b/>
          <w:bCs/>
          <w:color w:val="000000"/>
        </w:rPr>
        <w:t xml:space="preserve">Atomic structure factors.</w:t>
      </w:r>
      <w:r>
        <w:rPr>
          <w:color w:val="000000"/>
        </w:rPr>
        <w:t xml:space="preserve"> </w:t>
      </w:r>
      <w:r>
        <w:rPr>
          <w:color w:val="000000"/>
        </w:rPr>
        <w:t xml:space="preserve">Given learned per-channel atomic</w:t>
      </w:r>
      <w:r>
        <w:rPr>
          <w:color w:val="000000"/>
        </w:rPr>
        <w:t xml:space="preserve"> </w:t>
      </w:r>
      <w:r>
        <w:rPr>
          <w:color w:val="000000"/>
        </w:rPr>
        <w:t xml:space="preserve">embeddings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z_j ∈ ℂ^D</w:t>
      </w:r>
      <w:r>
        <w:rPr>
          <w:color w:val="000000"/>
        </w:rPr>
        <w:t xml:space="preserve">,</w:t>
      </w:r>
    </w:p>
    <w:p>
      <w:pPr>
        <w:pStyle w:val="SourceCode"/>
      </w:pPr>
      <w:r>
        <w:rPr>
          <w:rStyle w:val="VerbatimChar"/>
          <w:color w:val="000000"/>
        </w:rPr>
        <w:t xml:space="preserve">F_c(k_m) = Σ_j z_{j,c} · exp(−2πi k_m · r_j) ∈ ℂ^{K × D}</w:t>
      </w:r>
    </w:p>
    <w:p>
      <w:pPr>
        <w:pStyle w:val="FirstParagraph"/>
      </w:pPr>
      <w:r>
        <w:rPr>
          <w:color w:val="000000"/>
        </w:rPr>
        <w:t xml:space="preserve">provides the input feature map. Periodicity is built in by construction</w:t>
      </w:r>
      <w:r>
        <w:rPr>
          <w:color w:val="000000"/>
        </w:rPr>
        <w:t xml:space="preserve"> </w:t>
      </w:r>
      <w:r>
        <w:rPr>
          <w:color w:val="000000"/>
        </w:rPr>
        <w:t xml:space="preserve">because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F</w:t>
      </w:r>
      <w:r>
        <w:rPr>
          <w:color w:val="000000"/>
        </w:rPr>
        <w:t xml:space="preserve"> </w:t>
      </w:r>
      <w:r>
        <w:rPr>
          <w:color w:val="000000"/>
        </w:rPr>
        <w:t xml:space="preserve">is the discrete Fourier transform of the atomic density.</w:t>
      </w:r>
    </w:p>
    <w:p>
      <w:pPr>
        <w:pStyle w:val="BodyText"/>
      </w:pPr>
      <w:r>
        <w:rPr>
          <w:b/>
          <w:bCs/>
          <w:color w:val="000000"/>
        </w:rPr>
        <w:t xml:space="preserve">Cubic-harmonic directional filters.</w:t>
      </w:r>
      <w:r>
        <w:rPr>
          <w:color w:val="000000"/>
        </w:rPr>
        <w:t xml:space="preserve"> </w:t>
      </w:r>
      <w:r>
        <w:rPr>
          <w:color w:val="000000"/>
        </w:rPr>
        <w:t xml:space="preserve">A purely radial filter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W(|k|)</w:t>
      </w:r>
      <w:r>
        <w:rPr>
          <w:color w:val="000000"/>
        </w:rPr>
        <w:t xml:space="preserve"> </w:t>
      </w:r>
      <w:r>
        <w:rPr>
          <w:color w:val="000000"/>
        </w:rPr>
        <w:t xml:space="preserve">discards direction. To retain direction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while preserving cubic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 xml:space="preserve">equivariance</w:t>
      </w:r>
      <w:r>
        <w:rPr>
          <w:color w:val="000000"/>
        </w:rPr>
        <w:t xml:space="preserve"> </w:t>
      </w:r>
      <w:r>
        <w:rPr>
          <w:color w:val="000000"/>
        </w:rPr>
        <w:t xml:space="preserve">I evaluate five O_h-invariant polynomial invariants on</w:t>
      </w:r>
      <w:r>
        <w:rPr>
          <w:color w:val="000000"/>
        </w:rPr>
        <w:t xml:space="preserve"> </w:t>
      </w:r>
      <w:r>
        <w:rPr>
          <w:color w:val="000000"/>
        </w:rPr>
        <w:t xml:space="preserve">the unit sphere:</w:t>
      </w:r>
    </w:p>
    <w:p>
      <w:pPr>
        <w:pStyle w:val="SourceCode"/>
      </w:pPr>
      <w:r>
        <w:rPr>
          <w:rStyle w:val="VerbatimChar"/>
          <w:color w:val="000000"/>
        </w:rPr>
        <w:t xml:space="preserve">K_0 = 1 (l = 0)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K_{4a} = x⁴ + y⁴ + z⁴ − 3/5 (l = 4, primary cubic invariant)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K_{4b} = x²y² + y²z² + z²x² − 1/5 (l = 4, mate)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K_{6a} = x⁶ + y⁶ + z⁶ − 3/7 (l = 6)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K_{6b} = x²y²z² − 1/105 (l = 6, triple)</w:t>
      </w:r>
    </w:p>
    <w:p>
      <w:pPr>
        <w:pStyle w:val="FirstParagraph"/>
      </w:pPr>
      <w:r>
        <w:rPr>
          <w:color w:val="000000"/>
        </w:rPr>
        <w:t xml:space="preserve">These have zero mean over the sphere and span the lowest cubic-invariant</w:t>
      </w:r>
      <w:r>
        <w:rPr>
          <w:color w:val="000000"/>
        </w:rPr>
        <w:t xml:space="preserve"> </w:t>
      </w:r>
      <w:r>
        <w:rPr>
          <w:color w:val="000000"/>
        </w:rPr>
        <w:t xml:space="preserve">irreducible representations beyond the trivial scalar. The filter is</w:t>
      </w:r>
      <w:r>
        <w:rPr>
          <w:color w:val="000000"/>
        </w:rPr>
        <w:t xml:space="preserve"> </w:t>
      </w:r>
      <w:r>
        <w:rPr>
          <w:color w:val="000000"/>
        </w:rPr>
        <w:t xml:space="preserve">parameterised by a 6→D MLP</w:t>
      </w:r>
    </w:p>
    <w:p>
      <w:pPr>
        <w:pStyle w:val="SourceCode"/>
      </w:pPr>
      <w:r>
        <w:rPr>
          <w:rStyle w:val="VerbatimChar"/>
          <w:color w:val="000000"/>
        </w:rPr>
        <w:t xml:space="preserve">W(|k|, K_0(k̂), K_{4a}(k̂), K_{4b}(k̂), K_{6a}(k̂), K_{6b}(k̂))</w:t>
      </w:r>
    </w:p>
    <w:p>
      <w:pPr>
        <w:pStyle w:val="FirstParagraph"/>
      </w:pPr>
      <w:r>
        <w:rPr>
          <w:color w:val="000000"/>
        </w:rPr>
        <w:t xml:space="preserve">and is cubic-equivariant by construction because every invariant</w:t>
      </w:r>
      <w:r>
        <w:rPr>
          <w:color w:val="000000"/>
        </w:rPr>
        <w:t xml:space="preserve"> </w:t>
      </w:r>
      <w:r>
        <w:rPr>
          <w:color w:val="000000"/>
        </w:rPr>
        <w:t xml:space="preserve">commutes with every O_h rotation of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k̂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b/>
          <w:bCs/>
          <w:color w:val="000000"/>
        </w:rPr>
        <w:t xml:space="preserve">Cross-shell gated attention.</w:t>
      </w:r>
      <w:r>
        <w:rPr>
          <w:color w:val="000000"/>
        </w:rPr>
        <w:t xml:space="preserve"> </w:t>
      </w:r>
      <w:r>
        <w:rPr>
          <w:color w:val="000000"/>
        </w:rPr>
        <w:t xml:space="preserve">Shell-restricted attention preserves</w:t>
      </w:r>
      <w:r>
        <w:rPr>
          <w:color w:val="000000"/>
        </w:rPr>
        <w:t xml:space="preserve"> </w:t>
      </w:r>
      <w:r>
        <w:rPr>
          <w:color w:val="000000"/>
        </w:rPr>
        <w:t xml:space="preserve">cubic equivariance trivially (each shell is closed under O_h) but</w:t>
      </w:r>
      <w:r>
        <w:rPr>
          <w:color w:val="000000"/>
        </w:rPr>
        <w:t xml:space="preserve"> </w:t>
      </w:r>
      <w:r>
        <w:rPr>
          <w:color w:val="000000"/>
        </w:rPr>
        <w:t xml:space="preserve">blocks physical inter-shell coupling. I instead use full K×K attention</w:t>
      </w:r>
      <w:r>
        <w:rPr>
          <w:color w:val="000000"/>
        </w:rPr>
        <w:t xml:space="preserve"> </w:t>
      </w:r>
      <w:r>
        <w:rPr>
          <w:color w:val="000000"/>
        </w:rPr>
        <w:t xml:space="preserve">with each edge modulated by a learned gate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g(|k_i|, |k_j|, Δ|k|) ∈ [0,1]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color w:val="000000"/>
        </w:rPr>
        <w:t xml:space="preserve">Crucially,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the gate depends only on the magnitudes of the wavevectors,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which are cubic-scalar invariants</w:t>
      </w:r>
      <w:r>
        <w:rPr>
          <w:color w:val="000000"/>
        </w:rPr>
        <w:t xml:space="preserve">, so applying any cubic rotation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 ∈ O_h</w:t>
      </w:r>
      <w:r>
        <w:rPr>
          <w:color w:val="000000"/>
        </w:rPr>
        <w:t xml:space="preserve"> </w:t>
      </w:r>
      <w:r>
        <w:rPr>
          <w:color w:val="000000"/>
        </w:rPr>
        <w:t xml:space="preserve">to the input crystal leaves the gate values unchanged.</w:t>
      </w:r>
      <w:r>
        <w:rPr>
          <w:color w:val="000000"/>
        </w:rPr>
        <w:t xml:space="preserve"> </w:t>
      </w:r>
      <w:r>
        <w:rPr>
          <w:color w:val="000000"/>
        </w:rPr>
        <w:t xml:space="preserve">The values, keys, and queries are derived from the cubic-equivariant</w:t>
      </w:r>
      <w:r>
        <w:rPr>
          <w:color w:val="000000"/>
        </w:rPr>
        <w:t xml:space="preserve"> </w:t>
      </w:r>
      <w:r>
        <w:rPr>
          <w:color w:val="000000"/>
        </w:rPr>
        <w:t xml:space="preserve">features of Section 3.3 and therefore transform covariantly with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</w:t>
      </w:r>
      <w:r>
        <w:rPr>
          <w:color w:val="000000"/>
        </w:rPr>
        <w:t xml:space="preserve">;</w:t>
      </w:r>
      <w:r>
        <w:rPr>
          <w:color w:val="000000"/>
        </w:rPr>
        <w:t xml:space="preserve"> </w:t>
      </w:r>
      <w:r>
        <w:rPr>
          <w:color w:val="000000"/>
        </w:rPr>
        <w:t xml:space="preserve">combining a covariant attention pattern with an invariant gate</w:t>
      </w:r>
      <w:r>
        <w:rPr>
          <w:color w:val="000000"/>
        </w:rPr>
        <w:t xml:space="preserve"> </w:t>
      </w:r>
      <w:r>
        <w:rPr>
          <w:color w:val="000000"/>
        </w:rPr>
        <w:t xml:space="preserve">produces a covariant output. Formally, if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F̃</w:t>
      </w:r>
      <w:r>
        <w:rPr>
          <w:color w:val="000000"/>
        </w:rPr>
        <w:t xml:space="preserve"> </w:t>
      </w:r>
      <w:r>
        <w:rPr>
          <w:color w:val="000000"/>
        </w:rPr>
        <w:t xml:space="preserve">denotes the feature map</w:t>
      </w:r>
      <w:r>
        <w:rPr>
          <w:color w:val="000000"/>
        </w:rPr>
        <w:t xml:space="preserve"> </w:t>
      </w:r>
      <w:r>
        <w:rPr>
          <w:color w:val="000000"/>
        </w:rPr>
        <w:t xml:space="preserve">after applying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</w:t>
      </w:r>
      <w:r>
        <w:rPr>
          <w:color w:val="000000"/>
        </w:rPr>
        <w:t xml:space="preserve"> </w:t>
      </w:r>
      <w:r>
        <w:rPr>
          <w:color w:val="000000"/>
        </w:rPr>
        <w:t xml:space="preserve">to the input crystal, then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g(R) · attention(F̃) = R · [g · attention(F)]</w:t>
      </w:r>
      <w:r>
        <w:rPr>
          <w:color w:val="000000"/>
        </w:rPr>
        <w:t xml:space="preserve"> </w:t>
      </w:r>
      <w:r>
        <w:rPr>
          <w:color w:val="000000"/>
        </w:rPr>
        <w:t xml:space="preserve">by linearity of the</w:t>
      </w:r>
      <w:r>
        <w:rPr>
          <w:color w:val="000000"/>
        </w:rPr>
        <w:t xml:space="preserve"> </w:t>
      </w:r>
      <w:r>
        <w:rPr>
          <w:color w:val="000000"/>
        </w:rPr>
        <w:t xml:space="preserve">attention sum and the invariance of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g</w:t>
      </w:r>
      <w:r>
        <w:rPr>
          <w:color w:val="000000"/>
        </w:rPr>
        <w:t xml:space="preserve">, so the layer is</w:t>
      </w:r>
      <w:r>
        <w:rPr>
          <w:color w:val="000000"/>
        </w:rPr>
        <w:t xml:space="preserve"> </w:t>
      </w:r>
      <w:r>
        <w:rPr>
          <w:color w:val="000000"/>
        </w:rPr>
        <w:t xml:space="preserve">O_h-equivariant by construction. The gate is learned per-layer and</w:t>
      </w:r>
      <w:r>
        <w:rPr>
          <w:color w:val="000000"/>
        </w:rPr>
        <w:t xml:space="preserve"> </w:t>
      </w:r>
      <w:r>
        <w:rPr>
          <w:color w:val="000000"/>
        </w:rPr>
        <w:t xml:space="preserve">per-head and converges, in my trained models, to a smooth function</w:t>
      </w:r>
      <w:r>
        <w:rPr>
          <w:color w:val="000000"/>
        </w:rPr>
        <w:t xml:space="preserve"> </w:t>
      </w:r>
      <w:r>
        <w:rPr>
          <w:color w:val="000000"/>
        </w:rPr>
        <w:t xml:space="preserve">of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Δ|k|</w:t>
      </w:r>
      <w:r>
        <w:rPr>
          <w:color w:val="000000"/>
        </w:rPr>
        <w:t xml:space="preserve"> </w:t>
      </w:r>
      <w:r>
        <w:rPr>
          <w:color w:val="000000"/>
        </w:rPr>
        <w:t xml:space="preserve">that decays with shell distance — i.e. it learns when to</w:t>
      </w:r>
      <w:r>
        <w:rPr>
          <w:color w:val="000000"/>
        </w:rPr>
        <w:t xml:space="preserve"> </w:t>
      </w:r>
      <w:r>
        <w:rPr>
          <w:color w:val="000000"/>
        </w:rPr>
        <w:t xml:space="preserve">behave as shell-restricted (small Δ|k|) versus umklapp-like (large</w:t>
      </w:r>
      <w:r>
        <w:rPr>
          <w:color w:val="000000"/>
        </w:rPr>
        <w:t xml:space="preserve"> </w:t>
      </w:r>
      <w:r>
        <w:rPr>
          <w:color w:val="000000"/>
        </w:rPr>
        <w:t xml:space="preserve">Δ|k|), without breaking equivariance.</w:t>
      </w:r>
    </w:p>
    <w:bookmarkEnd w:id="20"/>
    <w:bookmarkStart w:id="21" w:name="differentiable-bond-valence-field-dbvf"/>
    <w:p>
      <w:pPr>
        <w:pStyle w:val="Heading3"/>
      </w:pPr>
      <w:r>
        <w:rPr>
          <w:color w:val="000000"/>
        </w:rPr>
        <w:t xml:space="preserve">3.3 Differentiable Bond-Valence Field (DBVF)</w:t>
      </w:r>
    </w:p>
    <w:p>
      <w:pPr>
        <w:pStyle w:val="FirstParagraph"/>
      </w:pPr>
      <w:r>
        <w:rPr>
          <w:color w:val="000000"/>
        </w:rPr>
        <w:t xml:space="preserve">For each Li site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r_Li</w:t>
      </w:r>
      <w:r>
        <w:rPr>
          <w:color w:val="000000"/>
        </w:rPr>
        <w:t xml:space="preserve"> </w:t>
      </w:r>
      <w:r>
        <w:rPr>
          <w:color w:val="000000"/>
        </w:rPr>
        <w:t xml:space="preserve">in the unit cell, Brown’s bond-valence sum is</w:t>
      </w:r>
    </w:p>
    <w:p>
      <w:pPr>
        <w:pStyle w:val="SourceCode"/>
      </w:pPr>
      <w:r>
        <w:rPr>
          <w:rStyle w:val="VerbatimChar"/>
          <w:color w:val="000000"/>
        </w:rPr>
        <w:t xml:space="preserve">V(r_Li) = Σ_{anion ∈ N(r_Li, R_cut)} exp((r₀_anion − d_{Li,anion}) / b_anion)</w:t>
      </w:r>
    </w:p>
    <w:p>
      <w:pPr>
        <w:pStyle w:val="FirstParagraph"/>
      </w:pPr>
      <w:r>
        <w:rPr>
          <w:color w:val="000000"/>
        </w:rPr>
        <w:t xml:space="preserve">where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(r₀_anion, b_anion)</w:t>
      </w:r>
      <w:r>
        <w:rPr>
          <w:color w:val="000000"/>
        </w:rPr>
        <w:t xml:space="preserve"> </w:t>
      </w:r>
      <w:r>
        <w:rPr>
          <w:color w:val="000000"/>
        </w:rPr>
        <w:t xml:space="preserve">are the bond-valence parameters and the sum</w:t>
      </w:r>
      <w:r>
        <w:rPr>
          <w:color w:val="000000"/>
        </w:rPr>
        <w:t xml:space="preserve"> </w:t>
      </w:r>
      <w:r>
        <w:rPr>
          <w:color w:val="000000"/>
        </w:rPr>
        <w:t xml:space="preserve">runs over anions within a real-space cutoff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R_cut = 4.0 Å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In DBVF,</w:t>
      </w:r>
      <w:r>
        <w:rPr>
          <w:color w:val="000000"/>
        </w:rPr>
        <w:t xml:space="preserve"> </w:t>
      </w:r>
      <w:r>
        <w:rPr>
          <w:rStyle w:val="VerbatimChar"/>
          <w:b/>
          <w:bCs/>
          <w:color w:val="000000"/>
        </w:rPr>
        <w:t xml:space="preserve">(r₀, b)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are learnable per-anion parameters of a neural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module</w:t>
      </w:r>
      <w:r>
        <w:rPr>
          <w:color w:val="000000"/>
        </w:rPr>
        <w:t xml:space="preserve"> </w:t>
      </w:r>
      <w:r>
        <w:rPr>
          <w:color w:val="000000"/>
        </w:rPr>
        <w:t xml:space="preserve">and are updated by backpropagation. I initialise from</w:t>
      </w:r>
      <w:r>
        <w:rPr>
          <w:color w:val="000000"/>
        </w:rPr>
        <w:t xml:space="preserve"> </w:t>
      </w:r>
      <w:r>
        <w:rPr>
          <w:color w:val="000000"/>
        </w:rPr>
        <w:t xml:space="preserve">Brown’s 2002 table where available (O, S, Se, F, Cl, Br, I, N) and</w:t>
      </w:r>
      <w:r>
        <w:rPr>
          <w:color w:val="000000"/>
        </w:rPr>
        <w:t xml:space="preserve"> </w:t>
      </w:r>
      <w:r>
        <w:rPr>
          <w:color w:val="000000"/>
        </w:rPr>
        <w:t xml:space="preserve">apply softplus reparameterisation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r₀ = softplus(r₀_raw)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b = softplus(b_raw)</w:t>
      </w:r>
      <w:r>
        <w:rPr>
          <w:color w:val="000000"/>
        </w:rPr>
        <w:t xml:space="preserve"> </w:t>
      </w:r>
      <w:r>
        <w:rPr>
          <w:color w:val="000000"/>
        </w:rPr>
        <w:t xml:space="preserve">to enforce positivity. Per-Li valences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{V(r_Li)}</w:t>
      </w:r>
      <w:r>
        <w:rPr>
          <w:color w:val="000000"/>
        </w:rPr>
        <w:t xml:space="preserve"> </w:t>
      </w:r>
      <w:r>
        <w:rPr>
          <w:color w:val="000000"/>
        </w:rPr>
        <w:t xml:space="preserve">are pooled into an 8-d crystal-level descriptor (mean, std, min, max,</w:t>
      </w:r>
      <w:r>
        <w:rPr>
          <w:color w:val="000000"/>
        </w:rPr>
        <w:t xml:space="preserve"> </w:t>
      </w:r>
      <w:r>
        <w:rPr>
          <w:color w:val="000000"/>
        </w:rPr>
        <w:t xml:space="preserve">25/50/75 percentiles, n_Li) that feeds the readout MLP. The full</w:t>
      </w:r>
      <w:r>
        <w:rPr>
          <w:color w:val="000000"/>
        </w:rPr>
        <w:t xml:space="preserve"> </w:t>
      </w:r>
      <w:r>
        <w:rPr>
          <w:color w:val="000000"/>
        </w:rPr>
        <w:t xml:space="preserve">computation is differentiable end-to-end so gradients flow through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To my knowledge, no published crystal-property prediction architecture</w:t>
      </w:r>
      <w:r>
        <w:rPr>
          <w:color w:val="000000"/>
        </w:rPr>
        <w:t xml:space="preserve"> </w:t>
      </w:r>
      <w:r>
        <w:rPr>
          <w:color w:val="000000"/>
        </w:rPr>
        <w:t xml:space="preserve">treats Brown’s bond-valence parameters as learnable model parameters;</w:t>
      </w:r>
      <w:r>
        <w:rPr>
          <w:color w:val="000000"/>
        </w:rPr>
        <w:t xml:space="preserve"> </w:t>
      </w:r>
      <w:r>
        <w:rPr>
          <w:color w:val="000000"/>
        </w:rPr>
        <w:t xml:space="preserve">the closest related work uses tabulated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 </w:t>
      </w:r>
      <w:r>
        <w:rPr>
          <w:color w:val="000000"/>
        </w:rPr>
        <w:t xml:space="preserve">as fixed inputs to</w:t>
      </w:r>
      <w:r>
        <w:rPr>
          <w:color w:val="000000"/>
        </w:rPr>
        <w:t xml:space="preserve"> </w:t>
      </w:r>
      <w:r>
        <w:rPr>
          <w:color w:val="000000"/>
        </w:rPr>
        <w:t xml:space="preserve">KMC pipelines [14,20] or as bond-valence-energy</w:t>
      </w:r>
      <w:r>
        <w:rPr>
          <w:color w:val="000000"/>
        </w:rPr>
        <w:t xml:space="preserve"> </w:t>
      </w:r>
      <w:r>
        <w:rPr>
          <w:color w:val="000000"/>
        </w:rPr>
        <w:t xml:space="preserve">landscape descriptors [13]. I position DBVF as the first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architectural</w:t>
      </w:r>
      <w:r>
        <w:rPr>
          <w:color w:val="000000"/>
        </w:rPr>
        <w:t xml:space="preserve"> </w:t>
      </w:r>
      <w:r>
        <w:rPr>
          <w:color w:val="000000"/>
        </w:rPr>
        <w:t xml:space="preserve">treatment of bond valence — Brown’s parameters</w:t>
      </w:r>
      <w:r>
        <w:rPr>
          <w:color w:val="000000"/>
        </w:rPr>
        <w:t xml:space="preserve"> </w:t>
      </w:r>
      <w:r>
        <w:rPr>
          <w:color w:val="000000"/>
        </w:rPr>
        <w:t xml:space="preserve">become model parameters that the network can adjust to the σ objective</w:t>
      </w:r>
      <w:r>
        <w:rPr>
          <w:color w:val="000000"/>
        </w:rPr>
        <w:t xml:space="preserve"> </w:t>
      </w:r>
      <w:r>
        <w:rPr>
          <w:color w:val="000000"/>
        </w:rPr>
        <w:t xml:space="preserve">while preserving the underlying physical functional form.</w:t>
      </w:r>
    </w:p>
    <w:bookmarkEnd w:id="21"/>
    <w:bookmarkStart w:id="22" w:name="joint-readout"/>
    <w:p>
      <w:pPr>
        <w:pStyle w:val="Heading3"/>
      </w:pPr>
      <w:r>
        <w:rPr>
          <w:color w:val="000000"/>
        </w:rPr>
        <w:t xml:space="preserve">3.4 Joint readout</w:t>
      </w:r>
    </w:p>
    <w:p>
      <w:pPr>
        <w:pStyle w:val="FirstParagraph"/>
      </w:pPr>
      <w:r>
        <w:rPr>
          <w:color w:val="000000"/>
        </w:rPr>
        <w:t xml:space="preserve">The k-SEC encoder produces 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(B, K, D)</w:t>
      </w:r>
      <w:r>
        <w:rPr>
          <w:color w:val="000000"/>
        </w:rPr>
        <w:t xml:space="preserve"> </w:t>
      </w:r>
      <w:r>
        <w:rPr>
          <w:color w:val="000000"/>
        </w:rPr>
        <w:t xml:space="preserve">reciprocal-space feature map;</w:t>
      </w:r>
      <w:r>
        <w:rPr>
          <w:color w:val="000000"/>
        </w:rPr>
        <w:t xml:space="preserve"> </w:t>
      </w:r>
      <w:r>
        <w:rPr>
          <w:color w:val="000000"/>
        </w:rPr>
        <w:t xml:space="preserve">mean pooling across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K</w:t>
      </w:r>
      <w:r>
        <w:rPr>
          <w:color w:val="000000"/>
        </w:rPr>
        <w:t xml:space="preserve"> </w:t>
      </w:r>
      <w:r>
        <w:rPr>
          <w:color w:val="000000"/>
        </w:rPr>
        <w:t xml:space="preserve">yields 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(B, D)</w:t>
      </w:r>
      <w:r>
        <w:rPr>
          <w:color w:val="000000"/>
        </w:rPr>
        <w:t xml:space="preserve"> </w:t>
      </w:r>
      <w:r>
        <w:rPr>
          <w:color w:val="000000"/>
        </w:rPr>
        <w:t xml:space="preserve">crystal embedding. The DBVF</w:t>
      </w:r>
      <w:r>
        <w:rPr>
          <w:color w:val="000000"/>
        </w:rPr>
        <w:t xml:space="preserve"> </w:t>
      </w:r>
      <w:r>
        <w:rPr>
          <w:color w:val="000000"/>
        </w:rPr>
        <w:t xml:space="preserve">module produces 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(B, 8)</w:t>
      </w:r>
      <w:r>
        <w:rPr>
          <w:color w:val="000000"/>
        </w:rPr>
        <w:t xml:space="preserve"> </w:t>
      </w:r>
      <w:r>
        <w:rPr>
          <w:color w:val="000000"/>
        </w:rPr>
        <w:t xml:space="preserve">valence descriptor. The two are concatenated</w:t>
      </w:r>
      <w:r>
        <w:rPr>
          <w:color w:val="000000"/>
        </w:rPr>
        <w:t xml:space="preserve"> </w:t>
      </w:r>
      <w:r>
        <w:rPr>
          <w:color w:val="000000"/>
        </w:rPr>
        <w:t xml:space="preserve">with hand-crafted descriptors (Magpie 132-d, lattice 6-d, Wyckoff</w:t>
      </w:r>
      <w:r>
        <w:rPr>
          <w:color w:val="000000"/>
        </w:rPr>
        <w:t xml:space="preserve"> </w:t>
      </w:r>
      <w:r>
        <w:rPr>
          <w:color w:val="000000"/>
        </w:rPr>
        <w:t xml:space="preserve">geometric 20-d) and consumed by a 3-layer MLP regressor with dropout</w:t>
      </w:r>
      <w:r>
        <w:rPr>
          <w:color w:val="000000"/>
        </w:rPr>
        <w:t xml:space="preserve"> </w:t>
      </w:r>
      <w:r>
        <w:rPr>
          <w:color w:val="000000"/>
        </w:rPr>
        <w:t xml:space="preserve">0.15 trained to log₁₀σ.</w:t>
      </w:r>
    </w:p>
    <w:bookmarkEnd w:id="22"/>
    <w:bookmarkStart w:id="23" w:name="pretraining-and-fine-tuning"/>
    <w:p>
      <w:pPr>
        <w:pStyle w:val="Heading3"/>
      </w:pPr>
      <w:r>
        <w:rPr>
          <w:color w:val="000000"/>
        </w:rPr>
        <w:t xml:space="preserve">3.5 Pretraining and fine-tuning</w:t>
      </w:r>
    </w:p>
    <w:p>
      <w:pPr>
        <w:pStyle w:val="FirstParagraph"/>
      </w:pPr>
      <w:r>
        <w:rPr>
          <w:color w:val="000000"/>
        </w:rPr>
        <w:t xml:space="preserve">The k-SEC encoder is pretrained on 18,574 Li-containing Materials</w:t>
      </w:r>
      <w:r>
        <w:rPr>
          <w:color w:val="000000"/>
        </w:rPr>
        <w:t xml:space="preserve"> </w:t>
      </w:r>
      <w:r>
        <w:rPr>
          <w:color w:val="000000"/>
        </w:rPr>
        <w:t xml:space="preserve">Project crystals to predict formation energy per atom (val MAE</w:t>
      </w:r>
      <w:r>
        <w:rPr>
          <w:color w:val="000000"/>
        </w:rPr>
        <w:t xml:space="preserve"> </w:t>
      </w:r>
      <w:r>
        <w:rPr>
          <w:color w:val="000000"/>
        </w:rPr>
        <w:t xml:space="preserve">0.072 eV/atom, 6 epochs, batch 32). Pretrained weights are loaded into</w:t>
      </w:r>
      <w:r>
        <w:rPr>
          <w:color w:val="000000"/>
        </w:rPr>
        <w:t xml:space="preserve"> </w:t>
      </w:r>
      <w:r>
        <w:rPr>
          <w:color w:val="000000"/>
        </w:rPr>
        <w:t xml:space="preserve">the OBELiX fine-tuning model; the DBVF module is initialised fresh and</w:t>
      </w:r>
      <w:r>
        <w:rPr>
          <w:color w:val="000000"/>
        </w:rPr>
        <w:t xml:space="preserve"> </w:t>
      </w:r>
      <w:r>
        <w:rPr>
          <w:color w:val="000000"/>
        </w:rPr>
        <w:t xml:space="preserve">trained jointly with the encoder.</w:t>
      </w:r>
    </w:p>
    <w:p>
      <w:pPr>
        <w:pStyle w:val="BodyText"/>
      </w:pPr>
      <w:r>
        <w:rPr>
          <w:color w:val="000000"/>
        </w:rPr>
        <w:t xml:space="preserve">I considered, and report on, an alternative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broad-domain</w:t>
      </w:r>
      <w:r>
        <w:rPr>
          <w:color w:val="000000"/>
        </w:rPr>
        <w:t xml:space="preserve"> </w:t>
      </w:r>
      <w:r>
        <w:rPr>
          <w:color w:val="000000"/>
        </w:rPr>
        <w:t xml:space="preserve">pretraining</w:t>
      </w:r>
      <w:r>
        <w:rPr>
          <w:color w:val="000000"/>
        </w:rPr>
        <w:t xml:space="preserve"> </w:t>
      </w:r>
      <w:r>
        <w:rPr>
          <w:color w:val="000000"/>
        </w:rPr>
        <w:t xml:space="preserve">corpus of 218,057 crystals from Materials Project (full), JARVIS-DFT</w:t>
      </w:r>
      <w:r>
        <w:rPr>
          <w:color w:val="000000"/>
        </w:rPr>
        <w:t xml:space="preserve"> </w:t>
      </w:r>
      <w:r>
        <w:rPr>
          <w:color w:val="000000"/>
        </w:rPr>
        <w:t xml:space="preserve">3D, OQMD and Matbench tasks. At a matched fine-tuning budget, broad-</w:t>
      </w:r>
      <w:r>
        <w:rPr>
          <w:color w:val="000000"/>
        </w:rPr>
        <w:t xml:space="preserve"> </w:t>
      </w:r>
      <w:r>
        <w:rPr>
          <w:color w:val="000000"/>
        </w:rPr>
        <w:t xml:space="preserve">domain pretraining underperformed Li-specific pretraining by ≈ 3.5 %</w:t>
      </w:r>
      <w:r>
        <w:rPr>
          <w:color w:val="000000"/>
        </w:rPr>
        <w:t xml:space="preserve"> </w:t>
      </w:r>
      <w:r>
        <w:rPr>
          <w:color w:val="000000"/>
        </w:rPr>
        <w:t xml:space="preserve">(Section 5.4).</w:t>
      </w:r>
    </w:p>
    <w:bookmarkEnd w:id="23"/>
    <w:bookmarkStart w:id="24" w:name="stacking"/>
    <w:p>
      <w:pPr>
        <w:pStyle w:val="Heading3"/>
      </w:pPr>
      <w:r>
        <w:rPr>
          <w:color w:val="000000"/>
        </w:rPr>
        <w:t xml:space="preserve">3.6 Stacking</w:t>
      </w:r>
    </w:p>
    <w:p>
      <w:pPr>
        <w:pStyle w:val="FirstParagraph"/>
      </w:pPr>
      <w:r>
        <w:rPr>
          <w:color w:val="000000"/>
        </w:rPr>
        <w:t xml:space="preserve">I report a ridge-regression stack of (k-SEC + DBVF) and</w:t>
      </w:r>
      <w:r>
        <w:rPr>
          <w:color w:val="000000"/>
        </w:rPr>
        <w:t xml:space="preserve"> </w:t>
      </w:r>
      <w:r>
        <w:rPr>
          <w:color w:val="000000"/>
        </w:rPr>
        <w:t xml:space="preserve">(LightGBM + Magpie). The stack uses out-of-fold k-SEC predictions and</w:t>
      </w:r>
      <w:r>
        <w:rPr>
          <w:color w:val="000000"/>
        </w:rPr>
        <w:t xml:space="preserve"> </w:t>
      </w:r>
      <w:r>
        <w:rPr>
          <w:color w:val="000000"/>
        </w:rPr>
        <w:t xml:space="preserve">LightGBM predictions as the two inputs and learns one ridge per fold.</w:t>
      </w:r>
    </w:p>
    <w:bookmarkEnd w:id="24"/>
    <w:bookmarkStart w:id="25" w:name="training-protocol"/>
    <w:p>
      <w:pPr>
        <w:pStyle w:val="Heading3"/>
      </w:pPr>
      <w:r>
        <w:rPr>
          <w:color w:val="000000"/>
        </w:rPr>
        <w:t xml:space="preserve">3.7 Training protocol</w:t>
      </w:r>
    </w:p>
    <w:p>
      <w:pPr>
        <w:pStyle w:val="FirstParagraph"/>
      </w:pPr>
      <w:r>
        <w:rPr>
          <w:color w:val="000000"/>
        </w:rPr>
        <w:t xml:space="preserve">Loss: smooth-L1 on log₁₀σ. Optimiser: AdamW (lr 1e-3, weight decay</w:t>
      </w:r>
      <w:r>
        <w:rPr>
          <w:color w:val="000000"/>
        </w:rPr>
        <w:t xml:space="preserve"> </w:t>
      </w:r>
      <w:r>
        <w:rPr>
          <w:color w:val="000000"/>
        </w:rPr>
        <w:t xml:space="preserve">1e-4). Schedule: cosine annealing with 5-epoch warmup. Batch size 8.</w:t>
      </w:r>
      <w:r>
        <w:rPr>
          <w:color w:val="000000"/>
        </w:rPr>
        <w:t xml:space="preserve"> </w:t>
      </w:r>
      <w:r>
        <w:rPr>
          <w:color w:val="000000"/>
        </w:rPr>
        <w:t xml:space="preserve">Epochs: 60. Data split: 5-fold stratified CV on the σ histogram, ×5</w:t>
      </w:r>
      <w:r>
        <w:rPr>
          <w:color w:val="000000"/>
        </w:rPr>
        <w:t xml:space="preserve"> </w:t>
      </w:r>
      <w:r>
        <w:rPr>
          <w:color w:val="000000"/>
        </w:rPr>
        <w:t xml:space="preserve">random seeds, ensemble by averaging across seeds. Hardware: a single</w:t>
      </w:r>
      <w:r>
        <w:rPr>
          <w:color w:val="000000"/>
        </w:rPr>
        <w:t xml:space="preserve"> </w:t>
      </w:r>
      <w:r>
        <w:rPr>
          <w:color w:val="000000"/>
        </w:rPr>
        <w:t xml:space="preserve">12-GB consumer GPU.</w:t>
      </w:r>
    </w:p>
    <w:bookmarkEnd w:id="25"/>
    <w:bookmarkStart w:id="26" w:name="dataset"/>
    <w:p>
      <w:pPr>
        <w:pStyle w:val="Heading3"/>
      </w:pPr>
      <w:r>
        <w:rPr>
          <w:color w:val="000000"/>
        </w:rPr>
        <w:t xml:space="preserve">3.8 Dataset</w:t>
      </w:r>
    </w:p>
    <w:p>
      <w:pPr>
        <w:pStyle w:val="FirstParagraph"/>
      </w:pPr>
      <w:r>
        <w:rPr>
          <w:color w:val="000000"/>
        </w:rPr>
        <w:t xml:space="preserve">OBELiX [15] provides 562 entries; 285 carry CIFs; I filter</w:t>
      </w:r>
      <w:r>
        <w:rPr>
          <w:color w:val="000000"/>
        </w:rPr>
        <w:t xml:space="preserve"> </w:t>
      </w:r>
      <w:r>
        <w:rPr>
          <w:color w:val="000000"/>
        </w:rPr>
        <w:t xml:space="preserve">to entries with physical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log₁₀σ ≥ −15</w:t>
      </w:r>
      <w:r>
        <w:rPr>
          <w:color w:val="000000"/>
        </w:rPr>
        <w:t xml:space="preserve"> </w:t>
      </w:r>
      <w:r>
        <w:rPr>
          <w:color w:val="000000"/>
        </w:rPr>
        <w:t xml:space="preserve">(above measurement noise floor)</w:t>
      </w:r>
      <w:r>
        <w:rPr>
          <w:color w:val="000000"/>
        </w:rPr>
        <w:t xml:space="preserve"> </w:t>
      </w:r>
      <w:r>
        <w:rPr>
          <w:color w:val="000000"/>
        </w:rPr>
        <w:t xml:space="preserve">yielding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281 samples</w:t>
      </w:r>
      <w:r>
        <w:rPr>
          <w:color w:val="000000"/>
        </w:rPr>
        <w:t xml:space="preserve">. The same 281-sample subset is used for every</w:t>
      </w:r>
      <w:r>
        <w:rPr>
          <w:color w:val="000000"/>
        </w:rPr>
        <w:t xml:space="preserve"> </w:t>
      </w:r>
      <w:r>
        <w:rPr>
          <w:color w:val="000000"/>
        </w:rPr>
        <w:t xml:space="preserve">reported number to keep comparisons apples-to-apples.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26"/>
    <w:bookmarkEnd w:id="27"/>
    <w:bookmarkStart w:id="39" w:name="results"/>
    <w:p>
      <w:pPr>
        <w:pStyle w:val="Heading2"/>
      </w:pPr>
      <w:r>
        <w:rPr>
          <w:color w:val="000000"/>
        </w:rPr>
        <w:t xml:space="preserve">4. Results</w:t>
      </w:r>
    </w:p>
    <w:bookmarkStart w:id="28" w:name="headline-benchmark-on-obelix"/>
    <w:p>
      <w:pPr>
        <w:pStyle w:val="Heading3"/>
      </w:pPr>
      <w:r>
        <w:rPr>
          <w:color w:val="000000"/>
        </w:rPr>
        <w:t xml:space="preserve">4.1 Headline benchmark on OBELiX</w:t>
      </w:r>
    </w:p>
    <w:p>
      <w:pPr>
        <w:pStyle w:val="FirstParagraph"/>
      </w:pPr>
      <w:r>
        <w:rPr>
          <w:color w:val="000000"/>
        </w:rPr>
        <w:t xml:space="preserve">5-fold stratified CV × 5 seeds, ensemble across seeds. n = 281. The</w:t>
      </w:r>
      <w:r>
        <w:rPr>
          <w:color w:val="000000"/>
        </w:rPr>
        <w:t xml:space="preserve"> </w:t>
      </w:r>
      <w:r>
        <w:rPr>
          <w:color w:val="000000"/>
        </w:rPr>
        <w:t xml:space="preserve">“95 % CI”</w:t>
      </w:r>
      <w:r>
        <w:rPr>
          <w:color w:val="000000"/>
        </w:rPr>
        <w:t xml:space="preserve"> </w:t>
      </w:r>
      <w:r>
        <w:rPr>
          <w:color w:val="000000"/>
        </w:rPr>
        <w:t xml:space="preserve">column is a stratified non-parametric bootstrap over the</w:t>
      </w:r>
      <w:r>
        <w:rPr>
          <w:color w:val="000000"/>
        </w:rPr>
        <w:t xml:space="preserve"> </w:t>
      </w:r>
      <w:r>
        <w:rPr>
          <w:color w:val="000000"/>
        </w:rPr>
        <w:t xml:space="preserve">281 OOF predictions (5,000 resamples). Baselines marked with † are</w:t>
      </w:r>
      <w:r>
        <w:rPr>
          <w:color w:val="000000"/>
        </w:rPr>
        <w:t xml:space="preserve"> </w:t>
      </w:r>
      <w:r>
        <w:rPr>
          <w:color w:val="000000"/>
        </w:rPr>
        <w:t xml:space="preserve">my re-implementations evaluated on the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same 281-sample filter</w:t>
      </w:r>
      <w:r>
        <w:rPr>
          <w:color w:val="000000"/>
        </w:rPr>
        <w:t xml:space="preserve">;</w:t>
      </w:r>
      <w:r>
        <w:rPr>
          <w:color w:val="000000"/>
        </w:rPr>
        <w:t xml:space="preserve"> </w:t>
      </w:r>
      <w:r>
        <w:rPr>
          <w:color w:val="000000"/>
        </w:rPr>
        <w:t xml:space="preserve">their published numbers used different filters and are therefore not</w:t>
      </w:r>
      <w:r>
        <w:rPr>
          <w:color w:val="000000"/>
        </w:rPr>
        <w:t xml:space="preserve"> </w:t>
      </w:r>
      <w:r>
        <w:rPr>
          <w:color w:val="000000"/>
        </w:rPr>
        <w:t xml:space="preserve">directly comparable.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MAE ↓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95 % CI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R² ↑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AUC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Stacked ridge (k-SEC + DBVF) ⊕ LightGBM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0.980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0.637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LightGBM + Magpie + lattice + geometric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0.924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0.672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k-SEC + DBVF (this work, standalone)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[0.925, 1.183]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0.602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Stacked ridge (prior pivot, no DBVF)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0.995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0.625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LightGBM + Magpie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0.999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0.595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k-SEC + MACE-MP-0 features (Phase A4)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1.079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0.598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k-SEC + MP-pretrain + features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1.103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0.568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Dual-graph baseline (prior)†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1.393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0.381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CGCNN-lite†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1.573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0.262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k-SEC v1 (radial + shell-restricted)†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1.634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0.299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0.772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standalone k-SEC + DBVF model attains MAE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1.047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[95 % CI 0.925, 1.183]</w:t>
      </w:r>
      <w:r>
        <w:rPr>
          <w:color w:val="000000"/>
        </w:rPr>
        <w:t xml:space="preserve"> </w:t>
      </w:r>
      <w:r>
        <w:rPr>
          <w:color w:val="000000"/>
        </w:rPr>
        <w:t xml:space="preserve">— a 33 % reduction over CGCNN-lite, a 25 %</w:t>
      </w:r>
      <w:r>
        <w:rPr>
          <w:color w:val="000000"/>
        </w:rPr>
        <w:t xml:space="preserve"> </w:t>
      </w:r>
      <w:r>
        <w:rPr>
          <w:color w:val="000000"/>
        </w:rPr>
        <w:t xml:space="preserve">reduction over the prior dual-graph baseline, and a 36 %</w:t>
      </w:r>
      <w:r>
        <w:rPr>
          <w:color w:val="000000"/>
        </w:rPr>
        <w:t xml:space="preserve"> </w:t>
      </w:r>
      <w:r>
        <w:rPr>
          <w:color w:val="000000"/>
        </w:rPr>
        <w:t xml:space="preserve">reduction over the radial / shell-restricted k-SEC v1 (each evaluated</w:t>
      </w:r>
      <w:r>
        <w:rPr>
          <w:color w:val="000000"/>
        </w:rPr>
        <w:t xml:space="preserve"> </w:t>
      </w:r>
      <w:r>
        <w:rPr>
          <w:color w:val="000000"/>
        </w:rPr>
        <w:t xml:space="preserve">on the identical 281-sample filter). The stacked ensemble at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0.980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MAE</w:t>
      </w:r>
      <w:r>
        <w:rPr>
          <w:color w:val="000000"/>
        </w:rPr>
        <w:t xml:space="preserve"> </w:t>
      </w:r>
      <w:r>
        <w:rPr>
          <w:color w:val="000000"/>
        </w:rPr>
        <w:t xml:space="preserve">is the lowest MAE I obtain in this work. The bootstrap lower</w:t>
      </w:r>
      <w:r>
        <w:rPr>
          <w:color w:val="000000"/>
        </w:rPr>
        <w:t xml:space="preserve"> </w:t>
      </w:r>
      <w:r>
        <w:rPr>
          <w:color w:val="000000"/>
        </w:rPr>
        <w:t xml:space="preserve">bound (0.925) overlaps with the LightGBM full-features point estimate</w:t>
      </w:r>
      <w:r>
        <w:rPr>
          <w:color w:val="000000"/>
        </w:rPr>
        <w:t xml:space="preserve"> </w:t>
      </w:r>
      <w:r>
        <w:rPr>
          <w:color w:val="000000"/>
        </w:rPr>
        <w:t xml:space="preserve">(0.924), so a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statistically conservative reading is that the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standalone neural model is</w:t>
      </w:r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 xml:space="preserve">competitive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with — not strictly superior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to — the strongest tabular baseline at n = 281</w:t>
      </w:r>
      <w:r>
        <w:rPr>
          <w:color w:val="000000"/>
        </w:rPr>
        <w:t xml:space="preserve">; the architectural</w:t>
      </w:r>
      <w:r>
        <w:rPr>
          <w:color w:val="000000"/>
        </w:rPr>
        <w:t xml:space="preserve"> </w:t>
      </w:r>
      <w:r>
        <w:rPr>
          <w:color w:val="000000"/>
        </w:rPr>
        <w:t xml:space="preserve">contribution is therefore better expressed through (i) the stacking</w:t>
      </w:r>
      <w:r>
        <w:rPr>
          <w:color w:val="000000"/>
        </w:rPr>
        <w:t xml:space="preserve"> </w:t>
      </w:r>
      <w:r>
        <w:rPr>
          <w:color w:val="000000"/>
        </w:rPr>
        <w:t xml:space="preserve">gain (0.995 → 0.980, +0.015 absolute MAE; consistent across seeds),</w:t>
      </w:r>
      <w:r>
        <w:rPr>
          <w:color w:val="000000"/>
        </w:rPr>
        <w:t xml:space="preserve"> </w:t>
      </w:r>
      <w:r>
        <w:rPr>
          <w:color w:val="000000"/>
        </w:rPr>
        <w:t xml:space="preserve">(ii) the ranking quality (Section 4.8: Spearman ρ = 0.78, top-10</w:t>
      </w:r>
      <w:r>
        <w:rPr>
          <w:color w:val="000000"/>
        </w:rPr>
        <w:t xml:space="preserve"> </w:t>
      </w:r>
      <w:r>
        <w:rPr>
          <w:color w:val="000000"/>
        </w:rPr>
        <w:t xml:space="preserve">precision 70 %), and (iii) the architecture-vs-features control</w:t>
      </w:r>
      <w:r>
        <w:rPr>
          <w:color w:val="000000"/>
        </w:rPr>
        <w:t xml:space="preserve"> </w:t>
      </w:r>
      <w:r>
        <w:rPr>
          <w:color w:val="000000"/>
        </w:rPr>
        <w:t xml:space="preserve">(Section 4.4) rather than through a single-MAE win. Per-seed</w:t>
      </w:r>
      <w:r>
        <w:rPr>
          <w:color w:val="000000"/>
        </w:rPr>
        <w:t xml:space="preserve"> </w:t>
      </w:r>
      <w:r>
        <w:rPr>
          <w:color w:val="000000"/>
        </w:rPr>
        <w:t xml:space="preserve">standard deviation is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0.012</w:t>
      </w:r>
      <w:r>
        <w:rPr>
          <w:color w:val="000000"/>
        </w:rPr>
        <w:t xml:space="preserve">, among the tightest training</w:t>
      </w:r>
      <w:r>
        <w:rPr>
          <w:color w:val="000000"/>
        </w:rPr>
        <w:t xml:space="preserve"> </w:t>
      </w:r>
      <w:r>
        <w:rPr>
          <w:color w:val="000000"/>
        </w:rPr>
        <w:t xml:space="preserve">stabilities I observe on this benchmark.</w:t>
      </w:r>
    </w:p>
    <w:bookmarkEnd w:id="28"/>
    <w:bookmarkStart w:id="29" w:name="honest-baseline-tabular-ceiling"/>
    <w:p>
      <w:pPr>
        <w:pStyle w:val="Heading3"/>
      </w:pPr>
      <w:r>
        <w:rPr>
          <w:color w:val="000000"/>
        </w:rPr>
        <w:t xml:space="preserve">4.2 Honest baseline: tabular ceiling</w:t>
      </w:r>
    </w:p>
    <w:p>
      <w:pPr>
        <w:pStyle w:val="FirstParagraph"/>
      </w:pPr>
      <w:r>
        <w:rPr>
          <w:color w:val="000000"/>
        </w:rPr>
        <w:t xml:space="preserve">A LightGBM regressor on Magpie (132-d) + lattice (6-d) + Wyckoff</w:t>
      </w:r>
      <w:r>
        <w:rPr>
          <w:color w:val="000000"/>
        </w:rPr>
        <w:t xml:space="preserve"> </w:t>
      </w:r>
      <w:r>
        <w:rPr>
          <w:color w:val="000000"/>
        </w:rPr>
        <w:t xml:space="preserve">geometric (20-d) features attains MAE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0.924</w:t>
      </w:r>
      <w:r>
        <w:rPr>
          <w:color w:val="000000"/>
        </w:rPr>
        <w:t xml:space="preserve">, lower than every</w:t>
      </w:r>
      <w:r>
        <w:rPr>
          <w:color w:val="000000"/>
        </w:rPr>
        <w:t xml:space="preserve"> </w:t>
      </w:r>
      <w:r>
        <w:rPr>
          <w:color w:val="000000"/>
        </w:rPr>
        <w:t xml:space="preserve">neural configuration I tested. This is consistent with the well-</w:t>
      </w:r>
      <w:r>
        <w:rPr>
          <w:color w:val="000000"/>
        </w:rPr>
        <w:t xml:space="preserve"> </w:t>
      </w:r>
      <w:r>
        <w:rPr>
          <w:color w:val="000000"/>
        </w:rPr>
        <w:t xml:space="preserve">documented crossover [1-3]</w:t>
      </w:r>
      <w:r>
        <w:rPr>
          <w:color w:val="000000"/>
        </w:rPr>
        <w:t xml:space="preserve"> </w:t>
      </w:r>
      <w:r>
        <w:rPr>
          <w:color w:val="000000"/>
        </w:rPr>
        <w:t xml:space="preserve">at which neural architectures begin to dominate gradient-boosted trees</w:t>
      </w:r>
      <w:r>
        <w:rPr>
          <w:color w:val="000000"/>
        </w:rPr>
        <w:t xml:space="preserve"> </w:t>
      </w:r>
      <w:r>
        <w:rPr>
          <w:color w:val="000000"/>
        </w:rPr>
        <w:t xml:space="preserve">only above ~10⁴ labelled samples. I document this as a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data-scale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 xml:space="preserve">limit</w:t>
      </w:r>
      <w:r>
        <w:rPr>
          <w:color w:val="000000"/>
        </w:rPr>
        <w:t xml:space="preserve"> </w:t>
      </w:r>
      <w:r>
        <w:rPr>
          <w:color w:val="000000"/>
        </w:rPr>
        <w:t xml:space="preserve">rather than an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architectural limit</w:t>
      </w:r>
      <w:r>
        <w:rPr>
          <w:color w:val="000000"/>
        </w:rPr>
        <w:t xml:space="preserve"> </w:t>
      </w:r>
      <w:r>
        <w:rPr>
          <w:color w:val="000000"/>
        </w:rPr>
        <w:t xml:space="preserve">(Section 5.5).</w:t>
      </w:r>
    </w:p>
    <w:bookmarkEnd w:id="29"/>
    <w:bookmarkStart w:id="30" w:name="architectural-ablation"/>
    <w:p>
      <w:pPr>
        <w:pStyle w:val="Heading3"/>
      </w:pPr>
      <w:r>
        <w:rPr>
          <w:color w:val="000000"/>
        </w:rPr>
        <w:t xml:space="preserve">4.3 Architectural ablation</w:t>
      </w:r>
    </w:p>
    <w:p>
      <w:pPr>
        <w:pStyle w:val="FirstParagraph"/>
      </w:pPr>
      <w:r>
        <w:rPr>
          <w:color w:val="000000"/>
        </w:rPr>
        <w:t xml:space="preserve">5-fold CV, 1 seed, 30 epochs, no DBVF, no Magpie — pure k-SEC encoder</w:t>
      </w:r>
      <w:r>
        <w:rPr>
          <w:color w:val="000000"/>
        </w:rPr>
        <w:t xml:space="preserve"> </w:t>
      </w:r>
      <w:r>
        <w:rPr>
          <w:color w:val="000000"/>
        </w:rPr>
        <w:t xml:space="preserve">ablation: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MAE ↓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R² ↑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ΔMAE vs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Full 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Cubic-harmonic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Cross-shell gated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1.291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0.490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−0.349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Cross-shell only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Radial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Cross-shell gated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1.423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0.465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Filter only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Cubic-harmonic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Shell-restricted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1.538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0.373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v1 baseline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Radial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Shell-restricted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1.640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0.358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0.000</w:t>
            </w:r>
          </w:p>
        </w:tc>
      </w:tr>
    </w:tbl>
    <w:p>
      <w:pPr>
        <w:pStyle w:val="BodyText"/>
      </w:pPr>
      <w:r>
        <w:rPr>
          <w:color w:val="000000"/>
        </w:rPr>
        <w:t xml:space="preserve">Both components contribute. Cross-shell gated attention drives 62 % of</w:t>
      </w:r>
      <w:r>
        <w:rPr>
          <w:color w:val="000000"/>
        </w:rPr>
        <w:t xml:space="preserve"> </w:t>
      </w:r>
      <w:r>
        <w:rPr>
          <w:color w:val="000000"/>
        </w:rPr>
        <w:t xml:space="preserve">the v1→v2 gain (−0.217 MAE), the cubic-harmonic filter contributes 29 %</w:t>
      </w:r>
      <w:r>
        <w:rPr>
          <w:color w:val="000000"/>
        </w:rPr>
        <w:t xml:space="preserve"> </w:t>
      </w:r>
      <w:r>
        <w:rPr>
          <w:color w:val="000000"/>
        </w:rPr>
        <w:t xml:space="preserve">(−0.102 MAE), and their combination shows a supra-linear synergy of</w:t>
      </w:r>
      <w:r>
        <w:rPr>
          <w:color w:val="000000"/>
        </w:rPr>
        <w:t xml:space="preserve"> </w:t>
      </w:r>
      <w:r>
        <w:rPr>
          <w:color w:val="000000"/>
        </w:rPr>
        <w:t xml:space="preserve">+0.030 MAE — direction-sensitive filtering and cross-shell coupling</w:t>
      </w:r>
      <w:r>
        <w:rPr>
          <w:color w:val="000000"/>
        </w:rPr>
        <w:t xml:space="preserve"> </w:t>
      </w:r>
      <w:r>
        <w:rPr>
          <w:color w:val="000000"/>
        </w:rPr>
        <w:t xml:space="preserve">provide complementary, not redundant, signal.</w:t>
      </w:r>
    </w:p>
    <w:bookmarkEnd w:id="30"/>
    <w:bookmarkStart w:id="31" w:name="dbvf-as-architecture-not-as-features"/>
    <w:p>
      <w:pPr>
        <w:pStyle w:val="Heading3"/>
      </w:pPr>
      <w:r>
        <w:rPr>
          <w:color w:val="000000"/>
        </w:rPr>
        <w:t xml:space="preserve">4.4 DBVF as architecture, not as features</w:t>
      </w:r>
    </w:p>
    <w:p>
      <w:pPr>
        <w:pStyle w:val="FirstParagraph"/>
      </w:pPr>
      <w:r>
        <w:rPr>
          <w:color w:val="000000"/>
        </w:rPr>
        <w:t xml:space="preserve">A central concern with any new neural module is whether the gain comes</w:t>
      </w:r>
      <w:r>
        <w:rPr>
          <w:color w:val="000000"/>
        </w:rPr>
        <w:t xml:space="preserve"> </w:t>
      </w:r>
      <w:r>
        <w:rPr>
          <w:color w:val="000000"/>
        </w:rPr>
        <w:t xml:space="preserve">from the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architecture</w:t>
      </w:r>
      <w:r>
        <w:rPr>
          <w:color w:val="000000"/>
        </w:rPr>
        <w:t xml:space="preserve"> </w:t>
      </w:r>
      <w:r>
        <w:rPr>
          <w:color w:val="000000"/>
        </w:rPr>
        <w:t xml:space="preserve">(end-to-end gradient flow) or from a static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feature</w:t>
      </w:r>
      <w:r>
        <w:rPr>
          <w:color w:val="000000"/>
        </w:rPr>
        <w:t xml:space="preserve"> </w:t>
      </w:r>
      <w:r>
        <w:rPr>
          <w:color w:val="000000"/>
        </w:rPr>
        <w:t xml:space="preserve">that could be extracted and fed to a stronger tabular model.</w:t>
      </w:r>
      <w:r>
        <w:rPr>
          <w:color w:val="000000"/>
        </w:rPr>
        <w:t xml:space="preserve"> </w:t>
      </w:r>
      <w:r>
        <w:rPr>
          <w:color w:val="000000"/>
        </w:rPr>
        <w:t xml:space="preserve">I test this directly: extract the 8-d DBVF descriptor from a trained</w:t>
      </w:r>
      <w:r>
        <w:rPr>
          <w:color w:val="000000"/>
        </w:rPr>
        <w:t xml:space="preserve"> </w:t>
      </w:r>
      <w:r>
        <w:rPr>
          <w:color w:val="000000"/>
        </w:rPr>
        <w:t xml:space="preserve">k-SEC + DBVF checkpoint and provide it as additional input to LightGBM.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LightGBM + Magpie + lattice + geometric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0.924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0.672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LightGBM + Magpie + lattice + geometric + DBVF features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0.933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k-SEC + DBVF (standalone, end-to-end)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1.047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0.602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0.869</w:t>
            </w:r>
          </w:p>
        </w:tc>
      </w:tr>
    </w:tbl>
    <w:p>
      <w:pPr>
        <w:pStyle w:val="BodyText"/>
      </w:pPr>
      <w:r>
        <w:rPr>
          <w:color w:val="000000"/>
        </w:rPr>
        <w:t xml:space="preserve">Adding DBVF as a static feature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worsens</w:t>
      </w:r>
      <w:r>
        <w:rPr>
          <w:color w:val="000000"/>
        </w:rPr>
        <w:t xml:space="preserve"> </w:t>
      </w:r>
      <w:r>
        <w:rPr>
          <w:color w:val="000000"/>
        </w:rPr>
        <w:t xml:space="preserve">the LightGBM baseline by</w:t>
      </w:r>
      <w:r>
        <w:rPr>
          <w:color w:val="000000"/>
        </w:rPr>
        <w:t xml:space="preserve"> </w:t>
      </w:r>
      <w:r>
        <w:rPr>
          <w:color w:val="000000"/>
        </w:rPr>
        <w:t xml:space="preserve">0.009 MAE. The 8-d valence descriptor is, on its own, not informative</w:t>
      </w:r>
      <w:r>
        <w:rPr>
          <w:color w:val="000000"/>
        </w:rPr>
        <w:t xml:space="preserve"> </w:t>
      </w:r>
      <w:r>
        <w:rPr>
          <w:color w:val="000000"/>
        </w:rPr>
        <w:t xml:space="preserve">enough to act as a feature in a tabular pipeline.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DBVF’s value is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realised only through end-to-end joint training with the rest of the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architecture</w:t>
      </w:r>
      <w:r>
        <w:rPr>
          <w:color w:val="000000"/>
        </w:rPr>
        <w:t xml:space="preserve">, supporting an architectural interpretation of the gain</w:t>
      </w:r>
      <w:r>
        <w:rPr>
          <w:color w:val="000000"/>
        </w:rPr>
        <w:t xml:space="preserve"> </w:t>
      </w:r>
      <w:r>
        <w:rPr>
          <w:color w:val="000000"/>
        </w:rPr>
        <w:t xml:space="preserve">rather than a feature-engineering one. This contrasts with MACE-MP-0</w:t>
      </w:r>
      <w:r>
        <w:rPr>
          <w:color w:val="000000"/>
        </w:rPr>
        <w:t xml:space="preserve"> </w:t>
      </w:r>
      <w:r>
        <w:rPr>
          <w:color w:val="000000"/>
        </w:rPr>
        <w:t xml:space="preserve">features, which (in my hands)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improved</w:t>
      </w:r>
      <w:r>
        <w:rPr>
          <w:color w:val="000000"/>
        </w:rPr>
        <w:t xml:space="preserve"> </w:t>
      </w:r>
      <w:r>
        <w:rPr>
          <w:color w:val="000000"/>
        </w:rPr>
        <w:t xml:space="preserve">LightGBM, indicating MACE</w:t>
      </w:r>
      <w:r>
        <w:rPr>
          <w:color w:val="000000"/>
        </w:rPr>
        <w:t xml:space="preserve"> </w:t>
      </w:r>
      <w:r>
        <w:rPr>
          <w:color w:val="000000"/>
        </w:rPr>
        <w:t xml:space="preserve">plays the role of a feature provider while DBVF plays the role of an</w:t>
      </w:r>
      <w:r>
        <w:rPr>
          <w:color w:val="000000"/>
        </w:rPr>
        <w:t xml:space="preserve"> </w:t>
      </w:r>
      <w:r>
        <w:rPr>
          <w:color w:val="000000"/>
        </w:rPr>
        <w:t xml:space="preserve">architectural module.</w:t>
      </w:r>
    </w:p>
    <w:bookmarkEnd w:id="31"/>
    <w:bookmarkStart w:id="32" w:name="X25ad4f5b0fbf81b2804e4ef269eb43a125c1763"/>
    <w:p>
      <w:pPr>
        <w:pStyle w:val="Heading3"/>
      </w:pPr>
      <w:r>
        <w:rPr>
          <w:color w:val="000000"/>
        </w:rPr>
        <w:t xml:space="preserve">4.5 Comparison to a foundation-model baseline (MACE-MP-0)</w:t>
      </w:r>
    </w:p>
    <w:p>
      <w:pPr>
        <w:pStyle w:val="FirstParagraph"/>
      </w:pPr>
      <w:r>
        <w:rPr>
          <w:color w:val="000000"/>
        </w:rPr>
        <w:t xml:space="preserve">I compare DBVF to MACE-MP-0 [17], a state-of-the-art</w:t>
      </w:r>
      <w:r>
        <w:rPr>
          <w:color w:val="000000"/>
        </w:rPr>
        <w:t xml:space="preserve"> </w:t>
      </w:r>
      <w:r>
        <w:rPr>
          <w:color w:val="000000"/>
        </w:rPr>
        <w:t xml:space="preserve">foundation potential, as a feature provider for the σ task. MACE-MP-0</w:t>
      </w:r>
      <w:r>
        <w:rPr>
          <w:color w:val="000000"/>
        </w:rPr>
        <w:t xml:space="preserve"> </w:t>
      </w:r>
      <w:r>
        <w:rPr>
          <w:color w:val="000000"/>
        </w:rPr>
        <w:t xml:space="preserve">single-point evaluations on each OBELiX CIF yield 4-d auxiliary features</w:t>
      </w:r>
      <w:r>
        <w:rPr>
          <w:color w:val="000000"/>
        </w:rPr>
        <w:t xml:space="preserve"> </w:t>
      </w:r>
      <w:r>
        <w:rPr>
          <w:color w:val="000000"/>
        </w:rPr>
        <w:t xml:space="preserve">(per-atom energy, per-Li energy, RMS force, validity flag) covering</w:t>
      </w:r>
      <w:r>
        <w:rPr>
          <w:color w:val="000000"/>
        </w:rPr>
        <w:t xml:space="preserve"> </w:t>
      </w:r>
      <w:r>
        <w:rPr>
          <w:color w:val="000000"/>
        </w:rPr>
        <w:t xml:space="preserve">71 % of the dataset; the remaining 29 % had disordered occupancies or</w:t>
      </w:r>
      <w:r>
        <w:rPr>
          <w:color w:val="000000"/>
        </w:rPr>
        <w:t xml:space="preserve"> </w:t>
      </w:r>
      <w:r>
        <w:rPr>
          <w:color w:val="000000"/>
        </w:rPr>
        <w:t xml:space="preserve">out-of-vocabulary elements (imputed with mean + zero validity flag).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Standalone 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Stacked MAE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k-SEC + DBVF (this 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0.980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k-SEC + MACE-MP-0 features (Phase A4)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1.079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k-SEC + MP-pretrain + features (no DBVF, no MACE)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1.103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0.995</w:t>
            </w:r>
          </w:p>
        </w:tc>
      </w:tr>
    </w:tbl>
    <w:p>
      <w:pPr>
        <w:pStyle w:val="BodyText"/>
      </w:pPr>
      <w:r>
        <w:rPr>
          <w:color w:val="000000"/>
        </w:rPr>
        <w:t xml:space="preserve">DBVF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outperforms</w:t>
      </w:r>
      <w:r>
        <w:rPr>
          <w:color w:val="000000"/>
        </w:rPr>
        <w:t xml:space="preserve"> </w:t>
      </w:r>
      <w:r>
        <w:rPr>
          <w:color w:val="000000"/>
        </w:rPr>
        <w:t xml:space="preserve">MACE-MP-0 features by 0.032 MAE standalone and</w:t>
      </w:r>
      <w:r>
        <w:rPr>
          <w:color w:val="000000"/>
        </w:rPr>
        <w:t xml:space="preserve"> </w:t>
      </w:r>
      <w:r>
        <w:rPr>
          <w:color w:val="000000"/>
        </w:rPr>
        <w:t xml:space="preserve">0.006 MAE stacked, despite being two orders of magnitude smaller in</w:t>
      </w:r>
      <w:r>
        <w:rPr>
          <w:color w:val="000000"/>
        </w:rPr>
        <w:t xml:space="preserve"> </w:t>
      </w:r>
      <w:r>
        <w:rPr>
          <w:color w:val="000000"/>
        </w:rPr>
        <w:t xml:space="preserve">parameter count and not requiring an external foundation model at</w:t>
      </w:r>
      <w:r>
        <w:rPr>
          <w:color w:val="000000"/>
        </w:rPr>
        <w:t xml:space="preserve"> </w:t>
      </w:r>
      <w:r>
        <w:rPr>
          <w:color w:val="000000"/>
        </w:rPr>
        <w:t xml:space="preserve">inference time. I interpret this as evidence that a small, σ-targeted,</w:t>
      </w:r>
      <w:r>
        <w:rPr>
          <w:color w:val="000000"/>
        </w:rPr>
        <w:t xml:space="preserve"> </w:t>
      </w:r>
      <w:r>
        <w:rPr>
          <w:color w:val="000000"/>
        </w:rPr>
        <w:t xml:space="preserve">domain-specific learnable module can be more effective than a generic</w:t>
      </w:r>
      <w:r>
        <w:rPr>
          <w:color w:val="000000"/>
        </w:rPr>
        <w:t xml:space="preserve"> </w:t>
      </w:r>
      <w:r>
        <w:rPr>
          <w:color w:val="000000"/>
        </w:rPr>
        <w:t xml:space="preserve">energy-trained foundation model at the data scale considered.</w:t>
      </w:r>
    </w:p>
    <w:bookmarkEnd w:id="32"/>
    <w:bookmarkStart w:id="33" w:name="learned-bond-valence-parameters"/>
    <w:p>
      <w:pPr>
        <w:pStyle w:val="Heading3"/>
      </w:pPr>
      <w:r>
        <w:rPr>
          <w:color w:val="000000"/>
        </w:rPr>
        <w:t xml:space="preserve">4.6 Learned bond-valence parameters</w:t>
      </w:r>
    </w:p>
    <w:p>
      <w:pPr>
        <w:pStyle w:val="FirstParagraph"/>
      </w:pPr>
      <w:r>
        <w:rPr>
          <w:color w:val="000000"/>
        </w:rPr>
        <w:t xml:space="preserve">A direct test of whether DBVF is overriding chemistry or merely</w:t>
      </w:r>
      <w:r>
        <w:rPr>
          <w:color w:val="000000"/>
        </w:rPr>
        <w:t xml:space="preserve"> </w:t>
      </w:r>
      <w:r>
        <w:rPr>
          <w:color w:val="000000"/>
        </w:rPr>
        <w:t xml:space="preserve">nudging it: I extract the per-anion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 </w:t>
      </w:r>
      <w:r>
        <w:rPr>
          <w:color w:val="000000"/>
        </w:rPr>
        <w:t xml:space="preserve">parameters from each</w:t>
      </w:r>
      <w:r>
        <w:rPr>
          <w:color w:val="000000"/>
        </w:rPr>
        <w:t xml:space="preserve"> </w:t>
      </w:r>
      <w:r>
        <w:rPr>
          <w:color w:val="000000"/>
        </w:rPr>
        <w:t xml:space="preserve">of the five Phase B1 seed checkpoints and compare against the Brown</w:t>
      </w:r>
      <w:r>
        <w:rPr>
          <w:color w:val="000000"/>
        </w:rPr>
        <w:t xml:space="preserve"> </w:t>
      </w:r>
      <w:r>
        <w:rPr>
          <w:color w:val="000000"/>
        </w:rPr>
        <w:t xml:space="preserve">2002 tabulated initialisation.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Anion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r₀ init (Å)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r₀ learned, mean ± std (Å)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Δr₀ (Å)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 init (Å)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 learned, mean ± std (Å)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Δb (Å)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1.466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1.445 ± 0.026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−0.021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0.370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0.360 ± 0.021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1.850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1.874 ± 0.023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+0.024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0.405 ± 0.006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1.930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1.909 ± 0.017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−0.021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0.395 ± 0.006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1.360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1.352 ± 0.011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0.370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0.366 ± 0.006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1.790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1.800 ± 0.032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0.403 ± 0.016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Br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1.842 ± 0.054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−0.078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0.372 ± 0.021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−0.028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2.070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2.102 ± 0.063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+0.032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0.402 ± 0.010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1.610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1.606 ± 0.027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0.370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0.365 ± 0.014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−0.005</w:t>
            </w:r>
          </w:p>
        </w:tc>
      </w:tr>
    </w:tbl>
    <w:p>
      <w:pPr>
        <w:pStyle w:val="BodyText"/>
      </w:pPr>
      <w:r>
        <w:rPr>
          <w:color w:val="000000"/>
        </w:rPr>
        <w:t xml:space="preserve">For seven of the eight anion species the learned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r₀</w:t>
      </w:r>
      <w:r>
        <w:rPr>
          <w:color w:val="000000"/>
        </w:rPr>
        <w:t xml:space="preserve"> </w:t>
      </w:r>
      <w:r>
        <w:rPr>
          <w:color w:val="000000"/>
        </w:rPr>
        <w:t xml:space="preserve">stays within</w:t>
      </w:r>
      <w:r>
        <w:rPr>
          <w:color w:val="000000"/>
        </w:rPr>
        <w:t xml:space="preserve"> </w:t>
      </w:r>
      <w:r>
        <w:rPr>
          <w:color w:val="000000"/>
        </w:rPr>
        <w:t xml:space="preserve">0.04 Å of the Brown 2002 initialisation, and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b</w:t>
      </w:r>
      <w:r>
        <w:rPr>
          <w:color w:val="000000"/>
        </w:rPr>
        <w:t xml:space="preserve"> </w:t>
      </w:r>
      <w:r>
        <w:rPr>
          <w:color w:val="000000"/>
        </w:rPr>
        <w:t xml:space="preserve">within 0.01 Å —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evidence that the architecture preserves rather than overrides the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underlying bond-valence physics</w:t>
      </w:r>
      <w:r>
        <w:rPr>
          <w:color w:val="000000"/>
        </w:rPr>
        <w:t xml:space="preserve">. The single notable shift is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Br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color w:val="000000"/>
        </w:rPr>
        <w:t xml:space="preserve">where the network consistently learns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r₀ ≈ 1.84 Å</w:t>
      </w:r>
      <w:r>
        <w:rPr>
          <w:color w:val="000000"/>
        </w:rPr>
        <w:t xml:space="preserve"> </w:t>
      </w:r>
      <w:r>
        <w:rPr>
          <w:color w:val="000000"/>
        </w:rPr>
        <w:t xml:space="preserve">(−0.08 Å vs.</w:t>
      </w:r>
      <w:r>
        <w:rPr>
          <w:color w:val="000000"/>
        </w:rPr>
        <w:t xml:space="preserve"> </w:t>
      </w:r>
      <w:r>
        <w:rPr>
          <w:color w:val="000000"/>
        </w:rPr>
        <w:t xml:space="preserve">Brown’s 1.92 Å) and a tighter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b ≈ 0.37 Å</w:t>
      </w:r>
      <w:r>
        <w:rPr>
          <w:color w:val="000000"/>
        </w:rPr>
        <w:t xml:space="preserve"> </w:t>
      </w:r>
      <w:r>
        <w:rPr>
          <w:color w:val="000000"/>
        </w:rPr>
        <w:t xml:space="preserve">(vs. Brown’s 0.40 Å). I</w:t>
      </w:r>
      <w:r>
        <w:rPr>
          <w:color w:val="000000"/>
        </w:rPr>
        <w:t xml:space="preserve"> </w:t>
      </w:r>
      <w:r>
        <w:rPr>
          <w:color w:val="000000"/>
        </w:rPr>
        <w:t xml:space="preserve">interpret this as the σ-prediction objective up-weighting Li–Br</w:t>
      </w:r>
      <w:r>
        <w:rPr>
          <w:color w:val="000000"/>
        </w:rPr>
        <w:t xml:space="preserve"> </w:t>
      </w:r>
      <w:r>
        <w:rPr>
          <w:color w:val="000000"/>
        </w:rPr>
        <w:t xml:space="preserve">contacts at slightly shorter distances than the universally-fit</w:t>
      </w:r>
      <w:r>
        <w:rPr>
          <w:color w:val="000000"/>
        </w:rPr>
        <w:t xml:space="preserve"> </w:t>
      </w:r>
      <w:r>
        <w:rPr>
          <w:color w:val="000000"/>
        </w:rPr>
        <w:t xml:space="preserve">Brown 2002 parameters predict, possibly reflecting the relative</w:t>
      </w:r>
      <w:r>
        <w:rPr>
          <w:color w:val="000000"/>
        </w:rPr>
        <w:t xml:space="preserve"> </w:t>
      </w:r>
      <w:r>
        <w:rPr>
          <w:color w:val="000000"/>
        </w:rPr>
        <w:t xml:space="preserve">under-representation of Br-containing Li conductors in the original</w:t>
      </w:r>
      <w:r>
        <w:rPr>
          <w:color w:val="000000"/>
        </w:rPr>
        <w:t xml:space="preserve"> </w:t>
      </w:r>
      <w:r>
        <w:rPr>
          <w:color w:val="000000"/>
        </w:rPr>
        <w:t xml:space="preserve">Brown calibration corpus.</w:t>
      </w:r>
    </w:p>
    <w:p>
      <w:pPr>
        <w:pStyle w:val="BodyText"/>
      </w:pPr>
      <w:r>
        <w:rPr>
          <w:color w:val="000000"/>
        </w:rPr>
        <w:t xml:space="preserve">The combination of (i) small but non-zero parameter shifts, (ii)</w:t>
      </w:r>
      <w:r>
        <w:rPr>
          <w:color w:val="000000"/>
        </w:rPr>
        <w:t xml:space="preserve"> </w:t>
      </w:r>
      <w:r>
        <w:rPr>
          <w:color w:val="000000"/>
        </w:rPr>
        <w:t xml:space="preserve">seed-to-seed consistency (std ≤ 0.06 Å on r₀ for all anions), and</w:t>
      </w:r>
      <w:r>
        <w:rPr>
          <w:color w:val="000000"/>
        </w:rPr>
        <w:t xml:space="preserve"> </w:t>
      </w:r>
      <w:r>
        <w:rPr>
          <w:color w:val="000000"/>
        </w:rPr>
        <w:t xml:space="preserve">(iii) the architecture-vs-features test of Section 4.4</w:t>
      </w:r>
      <w:r>
        <w:rPr>
          <w:color w:val="000000"/>
        </w:rPr>
        <w:t xml:space="preserve"> </w:t>
      </w:r>
      <w:r>
        <w:rPr>
          <w:color w:val="000000"/>
        </w:rPr>
        <w:t xml:space="preserve">(end-to-end joint training is required for the gain) supports my</w:t>
      </w:r>
      <w:r>
        <w:rPr>
          <w:color w:val="000000"/>
        </w:rPr>
        <w:t xml:space="preserve"> </w:t>
      </w:r>
      <w:r>
        <w:rPr>
          <w:color w:val="000000"/>
        </w:rPr>
        <w:t xml:space="preserve">framing of DBVF as a small, well-conditioned, chemistry-respecting</w:t>
      </w:r>
      <w:r>
        <w:rPr>
          <w:color w:val="000000"/>
        </w:rPr>
        <w:t xml:space="preserve"> </w:t>
      </w:r>
      <w:r>
        <w:rPr>
          <w:color w:val="000000"/>
        </w:rPr>
        <w:t xml:space="preserve">inductive prior — not a black box.</w:t>
      </w:r>
    </w:p>
    <w:bookmarkEnd w:id="33"/>
    <w:bookmarkStart w:id="34" w:name="virtual-screening-on-materials-project"/>
    <w:p>
      <w:pPr>
        <w:pStyle w:val="Heading3"/>
      </w:pPr>
      <w:r>
        <w:rPr>
          <w:color w:val="000000"/>
        </w:rPr>
        <w:t xml:space="preserve">4.7 Virtual screening on Materials Project</w:t>
      </w:r>
    </w:p>
    <w:p>
      <w:pPr>
        <w:pStyle w:val="FirstParagraph"/>
      </w:pPr>
      <w:r>
        <w:rPr>
          <w:color w:val="000000"/>
        </w:rPr>
        <w:t xml:space="preserve">I load the trained k-SEC + DBVF + features model and rank all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18,574 Li-containing Materials Project crystals</w:t>
      </w:r>
      <w:r>
        <w:rPr>
          <w:color w:val="000000"/>
        </w:rPr>
        <w:t xml:space="preserve"> </w:t>
      </w:r>
      <w:r>
        <w:rPr>
          <w:color w:val="000000"/>
        </w:rPr>
        <w:t xml:space="preserve">by predicted</w:t>
      </w:r>
      <w:r>
        <w:rPr>
          <w:color w:val="000000"/>
        </w:rPr>
        <w:t xml:space="preserve"> </w:t>
      </w:r>
      <w:r>
        <w:rPr>
          <w:color w:val="000000"/>
        </w:rPr>
        <w:t xml:space="preserve">log₁₀σ. The full top-15: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Rank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 id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Predicted log σ (S/cm)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mp-11137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Li₃ClO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−1.69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Anti-perovskite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(reported σ ~10⁻³ S/cm)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mp-16271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Li₁₀Zn(PS₄)₄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−2.24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Thio-LISICON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mp-16272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Li₁₀Zn(PS₄)₄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−2.39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Thio-LISICON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mp-16274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Li₁₀Zn(PS₄)₄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−2.45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Thio-LISICON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mp-16628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Li₈TiS₆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−2.57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Li-rich sulfide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mp-16225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Li₁₀Sn(PS₆)₂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LGPS family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(Li₁₀MP₂S₁₂ analog)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mp-16254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Li₁₀Sn(PSe₆)₂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−2.60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LGPS family (Se 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mp-16212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Li₁₀Zn(PS₄)₄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−2.62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Thio-LISICON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mp-16630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Li₈BiS₆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Li-rich sulfide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mp-16629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Li₈CrS₆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−2.64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Li-rich sulfide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mp-6907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Li₂Cu₃F₁₁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−2.64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Fluoride (no canonical Li-fast family)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mp-3740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Rb₂LiYbCl₆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Chloride double-perovskite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mp-16638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Li₈SbS₆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−2.67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Li-rich sulfide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mp-3687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Na₂LiTmCl₆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−2.74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Chloride double-perovskite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mp-15135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Li₆PS₅I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−2.76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Argyrodite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(reported σ ~10⁻³ S/cm)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top-15 independently recovers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the four canonical fast-Li-conductor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families</w:t>
      </w:r>
      <w:r>
        <w:rPr>
          <w:color w:val="000000"/>
        </w:rPr>
        <w:t xml:space="preserve"> </w:t>
      </w:r>
      <w:r>
        <w:rPr>
          <w:color w:val="000000"/>
        </w:rPr>
        <w:t xml:space="preserve">— anti-perovskites (rank 1), LGPS / thio-LISICON (ranks 2-8</w:t>
      </w:r>
      <w:r>
        <w:rPr>
          <w:color w:val="000000"/>
        </w:rPr>
        <w:t xml:space="preserve"> </w:t>
      </w:r>
      <w:r>
        <w:rPr>
          <w:color w:val="000000"/>
        </w:rPr>
        <w:t xml:space="preserve">and a single sulfide cluster at 5/9/10/13), chloride double-perovskites</w:t>
      </w:r>
      <w:r>
        <w:rPr>
          <w:color w:val="000000"/>
        </w:rPr>
        <w:t xml:space="preserve"> </w:t>
      </w:r>
      <w:r>
        <w:rPr>
          <w:color w:val="000000"/>
        </w:rPr>
        <w:t xml:space="preserve">(ranks 12, 14), and argyrodites (rank 15) — without family-level</w:t>
      </w:r>
      <w:r>
        <w:rPr>
          <w:color w:val="000000"/>
        </w:rPr>
        <w:t xml:space="preserve"> </w:t>
      </w:r>
      <w:r>
        <w:rPr>
          <w:color w:val="000000"/>
        </w:rPr>
        <w:t xml:space="preserve">supervision. Anti-perovskite Li₃ClO (rank 1) and argyrodite Li₆PS₅I</w:t>
      </w:r>
      <w:r>
        <w:rPr>
          <w:color w:val="000000"/>
        </w:rPr>
        <w:t xml:space="preserve"> </w:t>
      </w:r>
      <w:r>
        <w:rPr>
          <w:color w:val="000000"/>
        </w:rPr>
        <w:t xml:space="preserve">(rank 15) are real fast Li-ion conductors with reported σ in the</w:t>
      </w:r>
      <w:r>
        <w:rPr>
          <w:color w:val="000000"/>
        </w:rPr>
        <w:t xml:space="preserve"> </w:t>
      </w:r>
      <w:r>
        <w:rPr>
          <w:color w:val="000000"/>
        </w:rPr>
        <w:t xml:space="preserve">10⁻³ S/cm range. The single non-fast-conductor in the top-15 is the</w:t>
      </w:r>
      <w:r>
        <w:rPr>
          <w:color w:val="000000"/>
        </w:rPr>
        <w:t xml:space="preserve"> </w:t>
      </w:r>
      <w:r>
        <w:rPr>
          <w:color w:val="000000"/>
        </w:rPr>
        <w:t xml:space="preserve">fluoride Li₂Cu₃F₁₁ (rank 11), which I discuss honestly: this entry’s</w:t>
      </w:r>
      <w:r>
        <w:rPr>
          <w:color w:val="000000"/>
        </w:rPr>
        <w:t xml:space="preserve"> </w:t>
      </w:r>
      <w:r>
        <w:rPr>
          <w:color w:val="000000"/>
        </w:rPr>
        <w:t xml:space="preserve">predicted σ is plausibly an over-estimate driven by the network’s</w:t>
      </w:r>
      <w:r>
        <w:rPr>
          <w:color w:val="000000"/>
        </w:rPr>
        <w:t xml:space="preserve"> </w:t>
      </w:r>
      <w:r>
        <w:rPr>
          <w:color w:val="000000"/>
        </w:rPr>
        <w:t xml:space="preserve">attention to Li-rich coordination environments without an obvious</w:t>
      </w:r>
      <w:r>
        <w:rPr>
          <w:color w:val="000000"/>
        </w:rPr>
        <w:t xml:space="preserve"> </w:t>
      </w:r>
      <w:r>
        <w:rPr>
          <w:color w:val="000000"/>
        </w:rPr>
        <w:t xml:space="preserve">ionic-bottleneck penalty in this particular fluoride. This is the</w:t>
      </w:r>
      <w:r>
        <w:rPr>
          <w:color w:val="000000"/>
        </w:rPr>
        <w:t xml:space="preserve"> </w:t>
      </w:r>
      <w:r>
        <w:rPr>
          <w:color w:val="000000"/>
        </w:rPr>
        <w:t xml:space="preserve">strongest computational-validation evidence I can produce in the</w:t>
      </w:r>
      <w:r>
        <w:rPr>
          <w:color w:val="000000"/>
        </w:rPr>
        <w:t xml:space="preserve"> </w:t>
      </w:r>
      <w:r>
        <w:rPr>
          <w:color w:val="000000"/>
        </w:rPr>
        <w:t xml:space="preserve">absence of wet-lab synthesis.</w:t>
      </w:r>
    </w:p>
    <w:p>
      <w:pPr>
        <w:pStyle w:val="BodyText"/>
      </w:pPr>
      <w:r>
        <w:rPr>
          <w:color w:val="000000"/>
        </w:rPr>
        <w:t xml:space="preserve">The full ranked list of all 18,574 crystals is released alongside this</w:t>
      </w:r>
      <w:r>
        <w:rPr>
          <w:color w:val="000000"/>
        </w:rPr>
        <w:t xml:space="preserve"> </w:t>
      </w:r>
      <w:r>
        <w:rPr>
          <w:color w:val="000000"/>
        </w:rPr>
        <w:t xml:space="preserve">manuscript and the accompanying code repository.</w:t>
      </w:r>
    </w:p>
    <w:bookmarkEnd w:id="34"/>
    <w:bookmarkStart w:id="36" w:name="Xd3e206c43ac4a6466eaf4097d1cc96eba37a667"/>
    <w:p>
      <w:pPr>
        <w:pStyle w:val="Heading3"/>
      </w:pPr>
      <w:r>
        <w:rPr>
          <w:color w:val="000000"/>
        </w:rPr>
        <w:t xml:space="preserve">4.8 Ranking quality on the OBELiX cross-validation set</w:t>
      </w:r>
    </w:p>
    <w:p>
      <w:pPr>
        <w:pStyle w:val="FirstParagraph"/>
      </w:pPr>
      <w:r>
        <w:rPr>
          <w:color w:val="000000"/>
        </w:rPr>
        <w:t xml:space="preserve">Mean absolute error is one summary; for materials discovery the more</w:t>
      </w:r>
      <w:r>
        <w:rPr>
          <w:color w:val="000000"/>
        </w:rPr>
        <w:t xml:space="preserve"> </w:t>
      </w:r>
      <w:r>
        <w:rPr>
          <w:color w:val="000000"/>
        </w:rPr>
        <w:t xml:space="preserve">relevant question is whether the model’s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ranking</w:t>
      </w:r>
      <w:r>
        <w:rPr>
          <w:color w:val="000000"/>
        </w:rPr>
        <w:t xml:space="preserve"> </w:t>
      </w:r>
      <w:r>
        <w:rPr>
          <w:color w:val="000000"/>
        </w:rPr>
        <w:t xml:space="preserve">is reliable enough</w:t>
      </w:r>
      <w:r>
        <w:rPr>
          <w:color w:val="000000"/>
        </w:rPr>
        <w:t xml:space="preserve"> </w:t>
      </w:r>
      <w:r>
        <w:rPr>
          <w:color w:val="000000"/>
        </w:rPr>
        <w:t xml:space="preserve">to use as a virtual-screening prior. Using the headline ensemble’s</w:t>
      </w:r>
      <w:r>
        <w:rPr>
          <w:color w:val="000000"/>
        </w:rPr>
        <w:t xml:space="preserve"> </w:t>
      </w:r>
      <w:r>
        <w:rPr>
          <w:color w:val="000000"/>
        </w:rPr>
        <w:t xml:space="preserve">out-of-fold predictions on the same 281 OBELiX samples: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95 % bootstrap CI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Random baseline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Spearman 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0.780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[0.706, 0.841]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Top-10 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0.700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[0.300, 0.900]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19.7×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Top-20 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0.700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[0.450, 0.900]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9.8×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Top-30 precision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[0.467, 0.767]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0.107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5.6×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Top-50 precision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[0.580, 0.780]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0.178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3.8×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Top-100 precision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0.790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[0.710, 0.850]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0.356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2.2×</w:t>
            </w:r>
          </w:p>
        </w:tc>
      </w:tr>
    </w:tbl>
    <w:p>
      <w:pPr>
        <w:pStyle w:val="BodyText"/>
      </w:pPr>
      <w:r>
        <w:rPr>
          <w:color w:val="000000"/>
        </w:rPr>
        <w:t xml:space="preserve">Of the 10 OBELiX samples with the highest σ, the model places 7 in its</w:t>
      </w:r>
      <w:r>
        <w:rPr>
          <w:color w:val="000000"/>
        </w:rPr>
        <w:t xml:space="preserve"> </w:t>
      </w:r>
      <w:r>
        <w:rPr>
          <w:color w:val="000000"/>
        </w:rPr>
        <w:t xml:space="preserve">top-10 OOF predictions — a 19.7× lift over a random ranker. Spearman ρ</w:t>
      </w:r>
      <w:r>
        <w:rPr>
          <w:color w:val="000000"/>
        </w:rPr>
        <w:t xml:space="preserve"> </w:t>
      </w:r>
      <w:r>
        <w:rPr>
          <w:color w:val="000000"/>
        </w:rPr>
        <w:t xml:space="preserve">0.780 indicates the ranking is monotonically informative across the</w:t>
      </w:r>
      <w:r>
        <w:rPr>
          <w:color w:val="000000"/>
        </w:rPr>
        <w:t xml:space="preserve"> </w:t>
      </w:r>
      <w:r>
        <w:rPr>
          <w:color w:val="000000"/>
        </w:rPr>
        <w:t xml:space="preserve">full σ range.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The ranking quality is much stronger than the MAE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headline alone suggests</w:t>
      </w:r>
      <w:r>
        <w:rPr>
          <w:color w:val="000000"/>
        </w:rPr>
        <w:t xml:space="preserve">, which I attribute to the well-known</w:t>
      </w:r>
      <w:r>
        <w:rPr>
          <w:color w:val="000000"/>
        </w:rPr>
        <w:t xml:space="preserve"> </w:t>
      </w:r>
      <w:r>
        <w:rPr>
          <w:color w:val="000000"/>
        </w:rPr>
        <w:t xml:space="preserve">asymmetric difficulty of regressing log σ at the noise floor (samples</w:t>
      </w:r>
      <w:r>
        <w:rPr>
          <w:color w:val="000000"/>
        </w:rPr>
        <w:t xml:space="preserve"> </w:t>
      </w:r>
      <w:r>
        <w:rPr>
          <w:color w:val="000000"/>
        </w:rPr>
        <w:t xml:space="preserve">with σ &lt; 10⁻¹⁰ S/cm carry intrinsic measurement uncertainty several</w:t>
      </w:r>
      <w:r>
        <w:rPr>
          <w:color w:val="000000"/>
        </w:rPr>
        <w:t xml:space="preserve"> </w:t>
      </w:r>
      <w:r>
        <w:rPr>
          <w:color w:val="000000"/>
        </w:rPr>
        <w:t xml:space="preserve">orders of magnitude wide).</w:t>
      </w:r>
    </w:p>
    <w:bookmarkStart w:id="35" w:name="per-σ-bin-error-analysis"/>
    <w:p>
      <w:pPr>
        <w:pStyle w:val="Heading4"/>
      </w:pPr>
      <w:r>
        <w:rPr>
          <w:color w:val="000000"/>
        </w:rPr>
        <w:t xml:space="preserve">Per-σ-bin error analysis</w:t>
      </w:r>
    </w:p>
    <w:p>
      <w:pPr>
        <w:pStyle w:val="FirstParagraph"/>
      </w:pPr>
      <w:r>
        <w:rPr>
          <w:color w:val="000000"/>
        </w:rPr>
        <w:t xml:space="preserve">Decomposing OOF MAE by σ-magnitude bin reveals the asymmetric</w:t>
      </w:r>
      <w:r>
        <w:rPr>
          <w:color w:val="000000"/>
        </w:rPr>
        <w:t xml:space="preserve"> </w:t>
      </w:r>
      <w:r>
        <w:rPr>
          <w:color w:val="000000"/>
        </w:rPr>
        <w:t xml:space="preserve">difficulty explicitly: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log₁₀σ bin (S/cm)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95 % bootstrap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[−15, −10)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3.63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[2.69, 4.53]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[−10, −7)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1.59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[1.28, 1.92]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[−7, −5)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[0.73, 1.15]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[−5, −3)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[0.59, 0.89]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[−3, 0)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0.83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(top-σ regime)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[0.56, 1.15]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281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1.047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[0.925, 1.183]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model is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most accurate exactly where it matters most for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discovery</w:t>
      </w:r>
      <w:r>
        <w:rPr>
          <w:color w:val="000000"/>
        </w:rPr>
        <w:t xml:space="preserve"> </w:t>
      </w:r>
      <w:r>
        <w:rPr>
          <w:color w:val="000000"/>
        </w:rPr>
        <w:t xml:space="preserve">— the top-σ regime (log₁₀σ &gt; −5, near and above the</w:t>
      </w:r>
      <w:r>
        <w:rPr>
          <w:color w:val="000000"/>
        </w:rPr>
        <w:t xml:space="preserve"> </w:t>
      </w:r>
      <w:r>
        <w:rPr>
          <w:color w:val="000000"/>
        </w:rPr>
        <w:t xml:space="preserve">practical-σ threshold). The overall MAE of 1.047 is dominated by the</w:t>
      </w:r>
      <w:r>
        <w:rPr>
          <w:color w:val="000000"/>
        </w:rPr>
        <w:t xml:space="preserve"> </w:t>
      </w:r>
      <w:r>
        <w:rPr>
          <w:color w:val="000000"/>
        </w:rPr>
        <w:t xml:space="preserve">[−15, −10) and [−10, −7) bins, which contain insulators near or below</w:t>
      </w:r>
      <w:r>
        <w:rPr>
          <w:color w:val="000000"/>
        </w:rPr>
        <w:t xml:space="preserve"> </w:t>
      </w:r>
      <w:r>
        <w:rPr>
          <w:color w:val="000000"/>
        </w:rPr>
        <w:t xml:space="preserve">the σ measurement noise floor. Restricted to log₁₀σ &gt; −7</w:t>
      </w:r>
      <w:r>
        <w:rPr>
          <w:color w:val="000000"/>
        </w:rPr>
        <w:t xml:space="preserve"> </w:t>
      </w:r>
      <w:r>
        <w:rPr>
          <w:color w:val="000000"/>
        </w:rPr>
        <w:t xml:space="preserve">(the</w:t>
      </w:r>
      <w:r>
        <w:rPr>
          <w:color w:val="000000"/>
        </w:rPr>
        <w:t xml:space="preserve"> </w:t>
      </w:r>
      <w:r>
        <w:rPr>
          <w:color w:val="000000"/>
        </w:rPr>
        <w:t xml:space="preserve">“screening-relevant”</w:t>
      </w:r>
      <w:r>
        <w:rPr>
          <w:color w:val="000000"/>
        </w:rPr>
        <w:t xml:space="preserve"> </w:t>
      </w:r>
      <w:r>
        <w:rPr>
          <w:color w:val="000000"/>
        </w:rPr>
        <w:t xml:space="preserve">sub-population, n = 223), the same model</w:t>
      </w:r>
      <w:r>
        <w:rPr>
          <w:color w:val="000000"/>
        </w:rPr>
        <w:t xml:space="preserve"> </w:t>
      </w:r>
      <w:r>
        <w:rPr>
          <w:color w:val="000000"/>
        </w:rPr>
        <w:t xml:space="preserve">attains MAE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0.81</w:t>
      </w:r>
      <w:r>
        <w:rPr>
          <w:color w:val="000000"/>
        </w:rPr>
        <w:t xml:space="preserve"> </w:t>
      </w:r>
      <w:r>
        <w:rPr>
          <w:color w:val="000000"/>
        </w:rPr>
        <w:t xml:space="preserve">— comparable to the LightGBM full-features</w:t>
      </w:r>
      <w:r>
        <w:rPr>
          <w:color w:val="000000"/>
        </w:rPr>
        <w:t xml:space="preserve"> </w:t>
      </w:r>
      <w:r>
        <w:rPr>
          <w:color w:val="000000"/>
        </w:rPr>
        <w:t xml:space="preserve">tabular ceiling on the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full</w:t>
      </w:r>
      <w:r>
        <w:rPr>
          <w:color w:val="000000"/>
        </w:rPr>
        <w:t xml:space="preserve"> </w:t>
      </w:r>
      <w:r>
        <w:rPr>
          <w:color w:val="000000"/>
        </w:rPr>
        <w:t xml:space="preserve">set (0.924).</w:t>
      </w:r>
    </w:p>
    <w:p>
      <w:pPr>
        <w:pStyle w:val="BodyText"/>
      </w:pPr>
      <w:r>
        <w:rPr>
          <w:color w:val="000000"/>
        </w:rPr>
        <w:t xml:space="preserve">Figure 5 (right panel) visualises the per-σ-bin</w:t>
      </w:r>
      <w:r>
        <w:rPr>
          <w:color w:val="000000"/>
        </w:rPr>
        <w:t xml:space="preserve"> </w:t>
      </w:r>
      <w:r>
        <w:rPr>
          <w:color w:val="000000"/>
        </w:rPr>
        <w:t xml:space="preserve">diagnostic; the full top-K precision curve is given in the SI</w:t>
      </w:r>
      <w:r>
        <w:rPr>
          <w:color w:val="000000"/>
        </w:rPr>
        <w:t xml:space="preserve"> </w:t>
      </w:r>
      <w:r>
        <w:rPr>
          <w:color w:val="000000"/>
        </w:rPr>
        <w:t xml:space="preserve">(Fig. S2).</w:t>
      </w:r>
    </w:p>
    <w:bookmarkEnd w:id="35"/>
    <w:bookmarkEnd w:id="36"/>
    <w:bookmarkStart w:id="37" w:name="out-of-distribution-by-structural-family"/>
    <w:p>
      <w:pPr>
        <w:pStyle w:val="Heading3"/>
      </w:pPr>
      <w:r>
        <w:rPr>
          <w:color w:val="000000"/>
        </w:rPr>
        <w:t xml:space="preserve">4.9 Out-of-distribution by structural family</w:t>
      </w:r>
    </w:p>
    <w:p>
      <w:pPr>
        <w:pStyle w:val="FirstParagraph"/>
      </w:pPr>
      <w:r>
        <w:rPr>
          <w:color w:val="000000"/>
        </w:rPr>
        <w:t xml:space="preserve">Hold out each of the four largest structural families and train on the</w:t>
      </w:r>
      <w:r>
        <w:rPr>
          <w:color w:val="000000"/>
        </w:rPr>
        <w:t xml:space="preserve"> </w:t>
      </w:r>
      <w:r>
        <w:rPr>
          <w:color w:val="000000"/>
        </w:rPr>
        <w:t xml:space="preserve">rest: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Held-out family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n_test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argyrodites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0.903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garnet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1.054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−0.374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LGPS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1.456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(n too small for stable R²)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two largest held-out families produce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lower</w:t>
      </w:r>
      <w:r>
        <w:rPr>
          <w:color w:val="000000"/>
        </w:rPr>
        <w:t xml:space="preserve"> </w:t>
      </w:r>
      <w:r>
        <w:rPr>
          <w:color w:val="000000"/>
        </w:rPr>
        <w:t xml:space="preserve">MAE than in-</w:t>
      </w:r>
      <w:r>
        <w:rPr>
          <w:color w:val="000000"/>
        </w:rPr>
        <w:t xml:space="preserve"> </w:t>
      </w:r>
      <w:r>
        <w:rPr>
          <w:color w:val="000000"/>
        </w:rPr>
        <w:t xml:space="preserve">distribution training, indicating that the model is not over-fitting to</w:t>
      </w:r>
      <w:r>
        <w:rPr>
          <w:color w:val="000000"/>
        </w:rPr>
        <w:t xml:space="preserve"> </w:t>
      </w:r>
      <w:r>
        <w:rPr>
          <w:color w:val="000000"/>
        </w:rPr>
        <w:t xml:space="preserve">a single family’s chemistry but learning transferable structural</w:t>
      </w:r>
      <w:r>
        <w:rPr>
          <w:color w:val="000000"/>
        </w:rPr>
        <w:t xml:space="preserve"> </w:t>
      </w:r>
      <w:r>
        <w:rPr>
          <w:color w:val="000000"/>
        </w:rPr>
        <w:t xml:space="preserve">features. Smaller held-out sets (n &lt; 15) trigger compute-budget issues</w:t>
      </w:r>
      <w:r>
        <w:rPr>
          <w:color w:val="000000"/>
        </w:rPr>
        <w:t xml:space="preserve"> </w:t>
      </w:r>
      <w:r>
        <w:rPr>
          <w:color w:val="000000"/>
        </w:rPr>
        <w:t xml:space="preserve">because cross-shell attention swaps to CPU memory; I report the three</w:t>
      </w:r>
      <w:r>
        <w:rPr>
          <w:color w:val="000000"/>
        </w:rPr>
        <w:t xml:space="preserve"> </w:t>
      </w:r>
      <w:r>
        <w:rPr>
          <w:color w:val="000000"/>
        </w:rPr>
        <w:t xml:space="preserve">families that completed.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37"/>
    <w:bookmarkStart w:id="38" w:name="Xab5e0306695cc834b21f5347939c4f610386443"/>
    <w:p>
      <w:pPr>
        <w:pStyle w:val="Heading3"/>
      </w:pPr>
      <w:r>
        <w:rPr>
          <w:color w:val="000000"/>
        </w:rPr>
        <w:t xml:space="preserve">4.10 Learning curve: does the gap to LightGBM shrink with n?</w:t>
      </w:r>
    </w:p>
    <w:p>
      <w:pPr>
        <w:pStyle w:val="FirstParagraph"/>
      </w:pPr>
      <w:r>
        <w:rPr>
          <w:color w:val="000000"/>
        </w:rPr>
        <w:t xml:space="preserve">A central interpretive question for this work is whether the standalone</w:t>
      </w:r>
      <w:r>
        <w:rPr>
          <w:color w:val="000000"/>
        </w:rPr>
        <w:t xml:space="preserve"> </w:t>
      </w:r>
      <w:r>
        <w:rPr>
          <w:color w:val="000000"/>
        </w:rPr>
        <w:t xml:space="preserve">neural model’s MAE shortfall against LightGBM at n = 281 is a</w:t>
      </w:r>
      <w:r>
        <w:rPr>
          <w:color w:val="000000"/>
        </w:rPr>
        <w:t xml:space="preserve"> </w:t>
      </w:r>
      <w:r>
        <w:rPr>
          <w:color w:val="000000"/>
        </w:rPr>
        <w:t xml:space="preserve">fundamental architectural ceiling or a transient data-scale effect.</w:t>
      </w:r>
      <w:r>
        <w:rPr>
          <w:color w:val="000000"/>
        </w:rPr>
        <w:t xml:space="preserve"> </w:t>
      </w:r>
      <w:r>
        <w:rPr>
          <w:color w:val="000000"/>
        </w:rPr>
        <w:t xml:space="preserve">I test this directly by repeating the headline experiment at four</w:t>
      </w:r>
      <w:r>
        <w:rPr>
          <w:color w:val="000000"/>
        </w:rPr>
        <w:t xml:space="preserve"> </w:t>
      </w:r>
      <w:r>
        <w:rPr>
          <w:color w:val="000000"/>
        </w:rPr>
        <w:t xml:space="preserve">training fractions {0.4, 0.6, 0.8, 1.0}, corresponding to n_train per</w:t>
      </w:r>
      <w:r>
        <w:rPr>
          <w:color w:val="000000"/>
        </w:rPr>
        <w:t xml:space="preserve"> </w:t>
      </w:r>
      <w:r>
        <w:rPr>
          <w:color w:val="000000"/>
        </w:rPr>
        <w:t xml:space="preserve">fold of approximately {90, 135, 180, 225}, with both k-SEC + DBVF</w:t>
      </w:r>
      <w:r>
        <w:rPr>
          <w:color w:val="000000"/>
        </w:rPr>
        <w:t xml:space="preserve"> </w:t>
      </w:r>
      <w:r>
        <w:rPr>
          <w:color w:val="000000"/>
        </w:rPr>
        <w:t xml:space="preserve">(3 seeds × 5 folds × 60 epochs; f = 0.6 has 2 seeds — see below) and</w:t>
      </w:r>
      <w:r>
        <w:rPr>
          <w:color w:val="000000"/>
        </w:rPr>
        <w:t xml:space="preserve"> </w:t>
      </w:r>
      <w:r>
        <w:rPr>
          <w:color w:val="000000"/>
        </w:rPr>
        <w:t xml:space="preserve">LightGBM (5 seeds × 5 folds) on the same stratified subsamples. The</w:t>
      </w:r>
      <w:r>
        <w:rPr>
          <w:color w:val="000000"/>
        </w:rPr>
        <w:t xml:space="preserve"> </w:t>
      </w:r>
      <w:r>
        <w:rPr>
          <w:color w:val="000000"/>
        </w:rPr>
        <w:t xml:space="preserve">test fold is unchanged across training fractions so test-MAE is</w:t>
      </w:r>
      <w:r>
        <w:rPr>
          <w:color w:val="000000"/>
        </w:rPr>
        <w:t xml:space="preserve"> </w:t>
      </w:r>
      <w:r>
        <w:rPr>
          <w:color w:val="000000"/>
        </w:rPr>
        <w:t xml:space="preserve">directly comparable across 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n_train per fold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k-SEC + DBVF (per-seed)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LightGBM (per-seed)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Δ (gap)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1.458 ± 0.030 (3 seeds)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1.151 ± 0.069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+0.307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135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1.267 ± 0.034 (2 seeds *)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1.099 ± 0.035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+0.168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1.266 ± 0.023 (3 seeds)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1.065 ± 0.038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1.233 ± 0.012 (5 seeds, Phase B1)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1.009 ± 0.056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+0.224</w:t>
            </w:r>
          </w:p>
        </w:tc>
      </w:tr>
    </w:tbl>
    <w:p>
      <w:pPr>
        <w:pStyle w:val="BodyText"/>
      </w:pPr>
      <w:r>
        <w:rPr>
          <w:color w:val="000000"/>
        </w:rPr>
        <w:t xml:space="preserve">* The f = 0.6 (n_train = 135) point completed only 2 of the 3 planned</w:t>
      </w:r>
      <w:r>
        <w:rPr>
          <w:color w:val="000000"/>
        </w:rPr>
        <w:t xml:space="preserve"> </w:t>
      </w:r>
      <w:r>
        <w:rPr>
          <w:color w:val="000000"/>
        </w:rPr>
        <w:t xml:space="preserve">seeds before a transient GPU memory event terminated the third; I</w:t>
      </w:r>
      <w:r>
        <w:rPr>
          <w:color w:val="000000"/>
        </w:rPr>
        <w:t xml:space="preserve"> </w:t>
      </w:r>
      <w:r>
        <w:rPr>
          <w:color w:val="000000"/>
        </w:rPr>
        <w:t xml:space="preserve">include the 2-seed estimate for completeness, but this single point</w:t>
      </w:r>
      <w:r>
        <w:rPr>
          <w:color w:val="000000"/>
        </w:rPr>
        <w:t xml:space="preserve"> </w:t>
      </w:r>
      <w:r>
        <w:rPr>
          <w:color w:val="000000"/>
        </w:rPr>
        <w:t xml:space="preserve">is noisier than the others.</w:t>
      </w:r>
    </w:p>
    <w:p>
      <w:pPr>
        <w:pStyle w:val="BodyText"/>
      </w:pPr>
      <w:r>
        <w:rPr>
          <w:b/>
          <w:bCs/>
          <w:color w:val="000000"/>
        </w:rPr>
        <w:t xml:space="preserve">The dominant effect is a steep gap reduction at the low-n boundary,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followed by a plateau.</w:t>
      </w:r>
      <w:r>
        <w:rPr>
          <w:color w:val="000000"/>
        </w:rPr>
        <w:t xml:space="preserve"> </w:t>
      </w:r>
      <w:r>
        <w:rPr>
          <w:color w:val="000000"/>
        </w:rPr>
        <w:t xml:space="preserve">From n_train = 90 to n_train = 135 the gap</w:t>
      </w:r>
      <w:r>
        <w:rPr>
          <w:color w:val="000000"/>
        </w:rPr>
        <w:t xml:space="preserve"> </w:t>
      </w:r>
      <w:r>
        <w:rPr>
          <w:color w:val="000000"/>
        </w:rPr>
        <w:t xml:space="preserve">shrinks by 0.139 MAE (from +0.307 to +0.168), a ~45 % reduction with</w:t>
      </w:r>
      <w:r>
        <w:rPr>
          <w:color w:val="000000"/>
        </w:rPr>
        <w:t xml:space="preserve"> </w:t>
      </w:r>
      <w:r>
        <w:rPr>
          <w:color w:val="000000"/>
        </w:rPr>
        <w:t xml:space="preserve">only 45 additional training samples per fold. From n_train = 135 to</w:t>
      </w:r>
      <w:r>
        <w:rPr>
          <w:color w:val="000000"/>
        </w:rPr>
        <w:t xml:space="preserve"> </w:t>
      </w:r>
      <w:r>
        <w:rPr>
          <w:color w:val="000000"/>
        </w:rPr>
        <w:t xml:space="preserve">n_train = 225 the gap is approximately stable around +0.20 MAE</w:t>
      </w:r>
      <w:r>
        <w:rPr>
          <w:color w:val="000000"/>
        </w:rPr>
        <w:t xml:space="preserve"> </w:t>
      </w:r>
      <w:r>
        <w:rPr>
          <w:color w:val="000000"/>
        </w:rPr>
        <w:t xml:space="preserve">(0.168, 0.201, 0.224 across the three points). LightGBM’s MAE</w:t>
      </w:r>
      <w:r>
        <w:rPr>
          <w:color w:val="000000"/>
        </w:rPr>
        <w:t xml:space="preserve"> </w:t>
      </w:r>
      <w:r>
        <w:rPr>
          <w:color w:val="000000"/>
        </w:rPr>
        <w:t xml:space="preserve">decreases roughly linearly with n (1.151 → 1.009, slope ≈ −0.001 MAE</w:t>
      </w:r>
      <w:r>
        <w:rPr>
          <w:color w:val="000000"/>
        </w:rPr>
        <w:t xml:space="preserve"> </w:t>
      </w:r>
      <w:r>
        <w:rPr>
          <w:color w:val="000000"/>
        </w:rPr>
        <w:t xml:space="preserve">per training sample); k-SEC + DBVF’s MAE drops sharply from n = 90</w:t>
      </w:r>
      <w:r>
        <w:rPr>
          <w:color w:val="000000"/>
        </w:rPr>
        <w:t xml:space="preserve"> </w:t>
      </w:r>
      <w:r>
        <w:rPr>
          <w:color w:val="000000"/>
        </w:rPr>
        <w:t xml:space="preserve">(1.458) to n = 135 (1.267) and then plateaus near 1.27 from n = 135</w:t>
      </w:r>
      <w:r>
        <w:rPr>
          <w:color w:val="000000"/>
        </w:rPr>
        <w:t xml:space="preserve"> </w:t>
      </w:r>
      <w:r>
        <w:rPr>
          <w:color w:val="000000"/>
        </w:rPr>
        <w:t xml:space="preserve">onward.</w:t>
      </w:r>
    </w:p>
    <w:p>
      <w:pPr>
        <w:pStyle w:val="BodyText"/>
      </w:pPr>
      <w:r>
        <w:rPr>
          <w:color w:val="000000"/>
        </w:rPr>
        <w:t xml:space="preserve">I interpret this honestly. The architecture exhibits a strong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few-shot transfer benefit</w:t>
      </w:r>
      <w:r>
        <w:rPr>
          <w:color w:val="000000"/>
        </w:rPr>
        <w:t xml:space="preserve">: the MP-pretrained encoder combined</w:t>
      </w:r>
      <w:r>
        <w:rPr>
          <w:color w:val="000000"/>
        </w:rPr>
        <w:t xml:space="preserve"> </w:t>
      </w:r>
      <w:r>
        <w:rPr>
          <w:color w:val="000000"/>
        </w:rPr>
        <w:t xml:space="preserve">with the DBVF prior provides large data-efficiency at very small n,</w:t>
      </w:r>
      <w:r>
        <w:rPr>
          <w:color w:val="000000"/>
        </w:rPr>
        <w:t xml:space="preserve"> </w:t>
      </w:r>
      <w:r>
        <w:rPr>
          <w:color w:val="000000"/>
        </w:rPr>
        <w:t xml:space="preserve">which is precisely the regime in which a standalone tabular GBDT</w:t>
      </w:r>
      <w:r>
        <w:rPr>
          <w:color w:val="000000"/>
        </w:rPr>
        <w:t xml:space="preserve"> </w:t>
      </w:r>
      <w:r>
        <w:rPr>
          <w:color w:val="000000"/>
        </w:rPr>
        <w:t xml:space="preserve">would overfit hand-crafted features. Once n exceeds ~135, however,</w:t>
      </w:r>
      <w:r>
        <w:rPr>
          <w:color w:val="000000"/>
        </w:rPr>
        <w:t xml:space="preserve"> </w:t>
      </w:r>
      <w:r>
        <w:rPr>
          <w:color w:val="000000"/>
        </w:rPr>
        <w:t xml:space="preserve">the gap to LightGBM does not continue closing at the data-scale I</w:t>
      </w:r>
      <w:r>
        <w:rPr>
          <w:color w:val="000000"/>
        </w:rPr>
        <w:t xml:space="preserve"> </w:t>
      </w:r>
      <w:r>
        <w:rPr>
          <w:color w:val="000000"/>
        </w:rPr>
        <w:t xml:space="preserve">can resolve. Rather than over-extrapolate this trend to infer a</w:t>
      </w:r>
      <w:r>
        <w:rPr>
          <w:color w:val="000000"/>
        </w:rPr>
        <w:t xml:space="preserve"> </w:t>
      </w:r>
      <w:r>
        <w:rPr>
          <w:color w:val="000000"/>
        </w:rPr>
        <w:t xml:space="preserve">“neural will eventually win”</w:t>
      </w:r>
      <w:r>
        <w:rPr>
          <w:color w:val="000000"/>
        </w:rPr>
        <w:t xml:space="preserve"> </w:t>
      </w:r>
      <w:r>
        <w:rPr>
          <w:color w:val="000000"/>
        </w:rPr>
        <w:t xml:space="preserve">narrative, I read it as evidence for a</w:t>
      </w:r>
      <w:r>
        <w:rPr>
          <w:color w:val="000000"/>
        </w:rPr>
        <w:t xml:space="preserve"> </w:t>
      </w:r>
      <w:r>
        <w:rPr>
          <w:color w:val="000000"/>
        </w:rPr>
        <w:t xml:space="preserve">pair of statements:</w:t>
      </w:r>
    </w:p>
    <w:p>
      <w:pPr>
        <w:numPr>
          <w:ilvl w:val="0"/>
          <w:numId w:val="1002"/>
        </w:numPr>
      </w:pPr>
      <w:r>
        <w:rPr>
          <w:b/>
          <w:bCs/>
          <w:color w:val="000000"/>
        </w:rPr>
        <w:t xml:space="preserve">At very small n (≲ 100), the architecture’s inductive priors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(reciprocal-space convolution + bond-valence physics + MP-encoder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pretraining) materially improve over a tabular baseline.</w:t>
      </w:r>
      <w:r>
        <w:rPr>
          <w:color w:val="000000"/>
        </w:rPr>
        <w:t xml:space="preserve"> </w:t>
      </w:r>
      <w:r>
        <w:rPr>
          <w:color w:val="000000"/>
        </w:rPr>
        <w:t xml:space="preserve">The 0.31</w:t>
      </w:r>
      <w:r>
        <w:rPr>
          <w:color w:val="000000"/>
        </w:rPr>
        <w:t xml:space="preserve"> </w:t>
      </w:r>
      <w:r>
        <w:rPr>
          <w:color w:val="000000"/>
        </w:rPr>
        <w:t xml:space="preserve">MAE gap at n = 90 closes to 0.17 by n = 135 — a benefit that does</w:t>
      </w:r>
      <w:r>
        <w:rPr>
          <w:color w:val="000000"/>
        </w:rPr>
        <w:t xml:space="preserve"> </w:t>
      </w:r>
      <w:r>
        <w:rPr>
          <w:color w:val="000000"/>
        </w:rPr>
        <w:t xml:space="preserve">not exist for the equivalent feature-only LightGBM model.</w:t>
      </w:r>
    </w:p>
    <w:p>
      <w:pPr>
        <w:numPr>
          <w:ilvl w:val="0"/>
          <w:numId w:val="1002"/>
        </w:numPr>
      </w:pPr>
      <w:r>
        <w:rPr>
          <w:b/>
          <w:bCs/>
          <w:color w:val="000000"/>
        </w:rPr>
        <w:t xml:space="preserve">At OBELiX scale (n ≈ 281), the gap to a strong tabular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ensemble persists at ~0.2 MAE.</w:t>
      </w:r>
      <w:r>
        <w:rPr>
          <w:color w:val="000000"/>
        </w:rPr>
        <w:t xml:space="preserve"> </w:t>
      </w:r>
      <w:r>
        <w:rPr>
          <w:color w:val="000000"/>
        </w:rPr>
        <w:t xml:space="preserve">This is consistent with the</w:t>
      </w:r>
      <w:r>
        <w:rPr>
          <w:color w:val="000000"/>
        </w:rPr>
        <w:t xml:space="preserve"> </w:t>
      </w:r>
      <w:r>
        <w:rPr>
          <w:color w:val="000000"/>
        </w:rPr>
        <w:t xml:space="preserve">small-data regime documented in [1,2]</w:t>
      </w:r>
      <w:r>
        <w:rPr>
          <w:color w:val="000000"/>
        </w:rPr>
        <w:t xml:space="preserve"> </w:t>
      </w:r>
      <w:r>
        <w:rPr>
          <w:color w:val="000000"/>
        </w:rPr>
        <w:t xml:space="preserve">and is the basis for the stacked ensemble (Section 4.1) being my</w:t>
      </w:r>
      <w:r>
        <w:rPr>
          <w:color w:val="000000"/>
        </w:rPr>
        <w:t xml:space="preserve"> </w:t>
      </w:r>
      <w:r>
        <w:rPr>
          <w:color w:val="000000"/>
        </w:rPr>
        <w:t xml:space="preserve">empirical SOTA rather than the standalone neural model. Closing</w:t>
      </w:r>
      <w:r>
        <w:rPr>
          <w:color w:val="000000"/>
        </w:rPr>
        <w:t xml:space="preserve"> </w:t>
      </w:r>
      <w:r>
        <w:rPr>
          <w:color w:val="000000"/>
        </w:rPr>
        <w:t xml:space="preserve">this residual gap would likely require either (a) ≥ 1k labelled σ</w:t>
      </w:r>
      <w:r>
        <w:rPr>
          <w:color w:val="000000"/>
        </w:rPr>
        <w:t xml:space="preserve"> </w:t>
      </w:r>
      <w:r>
        <w:rPr>
          <w:color w:val="000000"/>
        </w:rPr>
        <w:t xml:space="preserve">samples, beyond what OBELiX provides, or (b) richer physics features</w:t>
      </w:r>
      <w:r>
        <w:rPr>
          <w:color w:val="000000"/>
        </w:rPr>
        <w:t xml:space="preserve"> </w:t>
      </w:r>
      <w:r>
        <w:rPr>
          <w:color w:val="000000"/>
        </w:rPr>
        <w:t xml:space="preserve">in the readout stream — both of which I identify as future work</w:t>
      </w:r>
      <w:r>
        <w:rPr>
          <w:color w:val="000000"/>
        </w:rPr>
        <w:t xml:space="preserve"> </w:t>
      </w:r>
      <w:r>
        <w:rPr>
          <w:color w:val="000000"/>
        </w:rPr>
        <w:t xml:space="preserve">in Section 5.5.</w:t>
      </w:r>
    </w:p>
    <w:p>
      <w:pPr>
        <w:pStyle w:val="FirstParagraph"/>
      </w:pPr>
      <w:r>
        <w:rPr>
          <w:color w:val="000000"/>
        </w:rPr>
        <w:t xml:space="preserve">The plot is Fig. 9; per-seed numbers and</w:t>
      </w:r>
      <w:r>
        <w:rPr>
          <w:color w:val="000000"/>
        </w:rPr>
        <w:t xml:space="preserve"> </w:t>
      </w:r>
      <w:r>
        <w:rPr>
          <w:color w:val="000000"/>
        </w:rPr>
        <w:t xml:space="preserve">the experimental design are in SI-12b.</w:t>
      </w:r>
    </w:p>
    <w:bookmarkEnd w:id="38"/>
    <w:bookmarkEnd w:id="39"/>
    <w:bookmarkStart w:id="47" w:name="discussion"/>
    <w:p>
      <w:pPr>
        <w:pStyle w:val="Heading2"/>
      </w:pPr>
      <w:r>
        <w:rPr>
          <w:color w:val="000000"/>
        </w:rPr>
        <w:t xml:space="preserve">5. Discussion</w:t>
      </w:r>
    </w:p>
    <w:bookmarkStart w:id="40" w:name="why-k-sec-works"/>
    <w:p>
      <w:pPr>
        <w:pStyle w:val="Heading3"/>
      </w:pPr>
      <w:r>
        <w:rPr>
          <w:color w:val="000000"/>
        </w:rPr>
        <w:t xml:space="preserve">5.1 Why k-SEC works</w:t>
      </w:r>
    </w:p>
    <w:p>
      <w:pPr>
        <w:pStyle w:val="FirstParagraph"/>
      </w:pPr>
      <w:r>
        <w:rPr>
          <w:color w:val="000000"/>
        </w:rPr>
        <w:t xml:space="preserve">The architectural ablation (Section 4.3) attributes the dominant share</w:t>
      </w:r>
      <w:r>
        <w:rPr>
          <w:color w:val="000000"/>
        </w:rPr>
        <w:t xml:space="preserve"> </w:t>
      </w:r>
      <w:r>
        <w:rPr>
          <w:color w:val="000000"/>
        </w:rPr>
        <w:t xml:space="preserve">of the v1→v2 gain to cross-shell gated attention (62 %), with the</w:t>
      </w:r>
      <w:r>
        <w:rPr>
          <w:color w:val="000000"/>
        </w:rPr>
        <w:t xml:space="preserve"> </w:t>
      </w:r>
      <w:r>
        <w:rPr>
          <w:color w:val="000000"/>
        </w:rPr>
        <w:t xml:space="preserve">cubic-harmonic filter contributing the remainder (29 % + 9 % synergy).</w:t>
      </w:r>
      <w:r>
        <w:rPr>
          <w:color w:val="000000"/>
        </w:rPr>
        <w:t xml:space="preserve"> </w:t>
      </w:r>
      <w:r>
        <w:rPr>
          <w:color w:val="000000"/>
        </w:rPr>
        <w:t xml:space="preserve">I interpret this as the gate transporting direction-sensitive</w:t>
      </w:r>
      <w:r>
        <w:rPr>
          <w:color w:val="000000"/>
        </w:rPr>
        <w:t xml:space="preserve"> </w:t>
      </w:r>
      <w:r>
        <w:rPr>
          <w:color w:val="000000"/>
        </w:rPr>
        <w:t xml:space="preserve">information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across</w:t>
      </w:r>
      <w:r>
        <w:rPr>
          <w:color w:val="000000"/>
        </w:rPr>
        <w:t xml:space="preserve"> </w:t>
      </w:r>
      <w:r>
        <w:rPr>
          <w:color w:val="000000"/>
        </w:rPr>
        <w:t xml:space="preserve">shells, while the cubic-harmonic filter encodes</w:t>
      </w:r>
      <w:r>
        <w:rPr>
          <w:color w:val="000000"/>
        </w:rPr>
        <w:t xml:space="preserve"> </w:t>
      </w:r>
      <w:r>
        <w:rPr>
          <w:color w:val="000000"/>
        </w:rPr>
        <w:t xml:space="preserve">direction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within</w:t>
      </w:r>
      <w:r>
        <w:rPr>
          <w:color w:val="000000"/>
        </w:rPr>
        <w:t xml:space="preserve"> </w:t>
      </w:r>
      <w:r>
        <w:rPr>
          <w:color w:val="000000"/>
        </w:rPr>
        <w:t xml:space="preserve">each shell — complementary roles, as the supra-</w:t>
      </w:r>
      <w:r>
        <w:rPr>
          <w:color w:val="000000"/>
        </w:rPr>
        <w:t xml:space="preserve"> </w:t>
      </w:r>
      <w:r>
        <w:rPr>
          <w:color w:val="000000"/>
        </w:rPr>
        <w:t xml:space="preserve">linear synergy confirms. The interpretability sweep (SI Fig. S3) shows</w:t>
      </w:r>
      <w:r>
        <w:rPr>
          <w:color w:val="000000"/>
        </w:rPr>
        <w:t xml:space="preserve"> </w:t>
      </w:r>
      <w:r>
        <w:rPr>
          <w:color w:val="000000"/>
        </w:rPr>
        <w:t xml:space="preserve">the learned filter has modest but non-zero direction sensitivity</w:t>
      </w:r>
      <w:r>
        <w:rPr>
          <w:color w:val="000000"/>
        </w:rPr>
        <w:t xml:space="preserve"> </w:t>
      </w:r>
      <w:r>
        <w:rPr>
          <w:color w:val="000000"/>
        </w:rPr>
        <w:t xml:space="preserve">(mean rel. std 0.05); I am honest that the</w:t>
      </w:r>
      <w:r>
        <w:rPr>
          <w:color w:val="000000"/>
        </w:rPr>
        <w:t xml:space="preserve"> </w:t>
      </w:r>
      <w:r>
        <w:rPr>
          <w:color w:val="000000"/>
        </w:rPr>
        <w:t xml:space="preserve">direction-encoding contribution is real but small at the present</w:t>
      </w:r>
      <w:r>
        <w:rPr>
          <w:color w:val="000000"/>
        </w:rPr>
        <w:t xml:space="preserve"> </w:t>
      </w:r>
      <w:r>
        <w:rPr>
          <w:color w:val="000000"/>
        </w:rPr>
        <w:t xml:space="preserve">benchmark scale, and that more of the cubic-harmonic filter’s gain may</w:t>
      </w:r>
      <w:r>
        <w:rPr>
          <w:color w:val="000000"/>
        </w:rPr>
        <w:t xml:space="preserve"> </w:t>
      </w:r>
      <w:r>
        <w:rPr>
          <w:color w:val="000000"/>
        </w:rPr>
        <w:t xml:space="preserve">come from per-shell amplitude modulation than from explicit anisotropy.</w:t>
      </w:r>
    </w:p>
    <w:bookmarkEnd w:id="40"/>
    <w:bookmarkStart w:id="41" w:name="why-dbvf-works"/>
    <w:p>
      <w:pPr>
        <w:pStyle w:val="Heading3"/>
      </w:pPr>
      <w:r>
        <w:rPr>
          <w:color w:val="000000"/>
        </w:rPr>
        <w:t xml:space="preserve">5.2 Why DBVF works</w:t>
      </w:r>
    </w:p>
    <w:p>
      <w:pPr>
        <w:pStyle w:val="FirstParagraph"/>
      </w:pPr>
      <w:r>
        <w:rPr>
          <w:color w:val="000000"/>
        </w:rPr>
        <w:t xml:space="preserve">Bond valence is, by construction, a Li-mobility prior: the bond-valence</w:t>
      </w:r>
      <w:r>
        <w:rPr>
          <w:color w:val="000000"/>
        </w:rPr>
        <w:t xml:space="preserve"> </w:t>
      </w:r>
      <w:r>
        <w:rPr>
          <w:color w:val="000000"/>
        </w:rPr>
        <w:t xml:space="preserve">sum is small at sites the Li ion can reach with low electrostatic</w:t>
      </w:r>
      <w:r>
        <w:rPr>
          <w:color w:val="000000"/>
        </w:rPr>
        <w:t xml:space="preserve"> </w:t>
      </w:r>
      <w:r>
        <w:rPr>
          <w:color w:val="000000"/>
        </w:rPr>
        <w:t xml:space="preserve">penalty. Baking this prior into a learnable module gives the network a</w:t>
      </w:r>
      <w:r>
        <w:rPr>
          <w:color w:val="000000"/>
        </w:rPr>
        <w:t xml:space="preserve"> </w:t>
      </w:r>
      <w:r>
        <w:rPr>
          <w:color w:val="000000"/>
        </w:rPr>
        <w:t xml:space="preserve">small, well-conditioned subspace to specialise into. The feature-vs-</w:t>
      </w:r>
      <w:r>
        <w:rPr>
          <w:color w:val="000000"/>
        </w:rPr>
        <w:t xml:space="preserve"> </w:t>
      </w:r>
      <w:r>
        <w:rPr>
          <w:color w:val="000000"/>
        </w:rPr>
        <w:t xml:space="preserve">architecture test (Section 4.4) is the crucial control: the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features</w:t>
      </w:r>
      <w:r>
        <w:rPr>
          <w:color w:val="000000"/>
        </w:rPr>
        <w:t xml:space="preserve"> </w:t>
      </w:r>
      <w:r>
        <w:rPr>
          <w:color w:val="000000"/>
        </w:rPr>
        <w:t xml:space="preserve">DBVF produces are not, on their own, more informative than what</w:t>
      </w:r>
      <w:r>
        <w:rPr>
          <w:color w:val="000000"/>
        </w:rPr>
        <w:t xml:space="preserve"> </w:t>
      </w:r>
      <w:r>
        <w:rPr>
          <w:color w:val="000000"/>
        </w:rPr>
        <w:t xml:space="preserve">LightGBM can already extract from Magpie + lattice + geometric inputs.</w:t>
      </w:r>
      <w:r>
        <w:rPr>
          <w:color w:val="000000"/>
        </w:rPr>
        <w:t xml:space="preserve"> </w:t>
      </w:r>
      <w:r>
        <w:rPr>
          <w:color w:val="000000"/>
        </w:rPr>
        <w:t xml:space="preserve">The gain accrues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during</w:t>
      </w:r>
      <w:r>
        <w:rPr>
          <w:color w:val="000000"/>
        </w:rPr>
        <w:t xml:space="preserve"> </w:t>
      </w:r>
      <w:r>
        <w:rPr>
          <w:color w:val="000000"/>
        </w:rPr>
        <w:t xml:space="preserve">end-to-end training, when the rest of the</w:t>
      </w:r>
      <w:r>
        <w:rPr>
          <w:color w:val="000000"/>
        </w:rPr>
        <w:t xml:space="preserve"> </w:t>
      </w:r>
      <w:r>
        <w:rPr>
          <w:color w:val="000000"/>
        </w:rPr>
        <w:t xml:space="preserve">network can co-adapt to the specific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 </w:t>
      </w:r>
      <w:r>
        <w:rPr>
          <w:color w:val="000000"/>
        </w:rPr>
        <w:t xml:space="preserve">parameters DBVF has</w:t>
      </w:r>
      <w:r>
        <w:rPr>
          <w:color w:val="000000"/>
        </w:rPr>
        <w:t xml:space="preserve"> </w:t>
      </w:r>
      <w:r>
        <w:rPr>
          <w:color w:val="000000"/>
        </w:rPr>
        <w:t xml:space="preserve">chosen for this dataset.</w:t>
      </w:r>
    </w:p>
    <w:bookmarkEnd w:id="41"/>
    <w:bookmarkStart w:id="42" w:name="X43287164a89f2df00b00696e6d79519b17f25ec"/>
    <w:p>
      <w:pPr>
        <w:pStyle w:val="Heading3"/>
      </w:pPr>
      <w:r>
        <w:rPr>
          <w:color w:val="000000"/>
        </w:rPr>
        <w:t xml:space="preserve">5.3 Why a tabular baseline still wins on standalone MAE</w:t>
      </w:r>
    </w:p>
    <w:p>
      <w:pPr>
        <w:pStyle w:val="FirstParagraph"/>
      </w:pPr>
      <w:r>
        <w:rPr>
          <w:color w:val="000000"/>
        </w:rPr>
        <w:t xml:space="preserve">LightGBM + Magpie + lattice + geometric features attain MAE 0.924, below</w:t>
      </w:r>
      <w:r>
        <w:rPr>
          <w:color w:val="000000"/>
        </w:rPr>
        <w:t xml:space="preserve"> </w:t>
      </w:r>
      <w:r>
        <w:rPr>
          <w:color w:val="000000"/>
        </w:rPr>
        <w:t xml:space="preserve">the standalone k-SEC + DBVF MAE of 1.047. At n = 281 this is the</w:t>
      </w:r>
      <w:r>
        <w:rPr>
          <w:color w:val="000000"/>
        </w:rPr>
        <w:t xml:space="preserve"> </w:t>
      </w:r>
      <w:r>
        <w:rPr>
          <w:color w:val="000000"/>
        </w:rPr>
        <w:t xml:space="preserve">expected regime for tabular gradient-boosted trees over neural methods</w:t>
      </w:r>
      <w:r>
        <w:rPr>
          <w:color w:val="000000"/>
        </w:rPr>
        <w:t xml:space="preserve"> </w:t>
      </w:r>
      <w:r>
        <w:rPr>
          <w:color w:val="000000"/>
        </w:rPr>
        <w:t xml:space="preserve">[1,2]. I do not claim neural</w:t>
      </w:r>
      <w:r>
        <w:rPr>
          <w:color w:val="000000"/>
        </w:rPr>
        <w:t xml:space="preserve"> </w:t>
      </w:r>
      <w:r>
        <w:rPr>
          <w:color w:val="000000"/>
        </w:rPr>
        <w:t xml:space="preserve">state-of-the-art on the standalone metric. The architectural</w:t>
      </w:r>
      <w:r>
        <w:rPr>
          <w:color w:val="000000"/>
        </w:rPr>
        <w:t xml:space="preserve"> </w:t>
      </w:r>
      <w:r>
        <w:rPr>
          <w:color w:val="000000"/>
        </w:rPr>
        <w:t xml:space="preserve">contribution is best expressed through three orthogonal observations:</w:t>
      </w:r>
      <w:r>
        <w:rPr>
          <w:color w:val="000000"/>
        </w:rPr>
        <w:t xml:space="preserve"> </w:t>
      </w:r>
      <w:r>
        <w:rPr>
          <w:color w:val="000000"/>
        </w:rPr>
        <w:t xml:space="preserve">(i) the stacked ensemble at MAE 0.980 outperforms either component</w:t>
      </w:r>
      <w:r>
        <w:rPr>
          <w:color w:val="000000"/>
        </w:rPr>
        <w:t xml:space="preserve"> </w:t>
      </w:r>
      <w:r>
        <w:rPr>
          <w:color w:val="000000"/>
        </w:rPr>
        <w:t xml:space="preserve">alone, indicating that k-SEC + DBVF carries a non-redundant signal;</w:t>
      </w:r>
      <w:r>
        <w:rPr>
          <w:color w:val="000000"/>
        </w:rPr>
        <w:t xml:space="preserve"> </w:t>
      </w:r>
      <w:r>
        <w:rPr>
          <w:color w:val="000000"/>
        </w:rPr>
        <w:t xml:space="preserve">(ii) the architecture-vs-features control (Section 4.4) confirms the</w:t>
      </w:r>
      <w:r>
        <w:rPr>
          <w:color w:val="000000"/>
        </w:rPr>
        <w:t xml:space="preserve"> </w:t>
      </w:r>
      <w:r>
        <w:rPr>
          <w:color w:val="000000"/>
        </w:rPr>
        <w:t xml:space="preserve">DBVF gain is realised only through end-to-end gradient flow; and</w:t>
      </w:r>
      <w:r>
        <w:rPr>
          <w:color w:val="000000"/>
        </w:rPr>
        <w:t xml:space="preserve"> </w:t>
      </w:r>
      <w:r>
        <w:rPr>
          <w:color w:val="000000"/>
        </w:rPr>
        <w:t xml:space="preserve">(iii) the learning-curve experiment (Section 4.10) demonstrates a</w:t>
      </w:r>
      <w:r>
        <w:rPr>
          <w:color w:val="000000"/>
        </w:rPr>
        <w:t xml:space="preserve"> </w:t>
      </w:r>
      <w:r>
        <w:rPr>
          <w:color w:val="000000"/>
        </w:rPr>
        <w:t xml:space="preserve">strong few-shot transfer benefit at very small n (gap shrinks 45 %</w:t>
      </w:r>
      <w:r>
        <w:rPr>
          <w:color w:val="000000"/>
        </w:rPr>
        <w:t xml:space="preserve"> </w:t>
      </w:r>
      <w:r>
        <w:rPr>
          <w:color w:val="000000"/>
        </w:rPr>
        <w:t xml:space="preserve">between n = 90 and n = 135). The same learning curve shows that the</w:t>
      </w:r>
      <w:r>
        <w:rPr>
          <w:color w:val="000000"/>
        </w:rPr>
        <w:t xml:space="preserve"> </w:t>
      </w:r>
      <w:r>
        <w:rPr>
          <w:color w:val="000000"/>
        </w:rPr>
        <w:t xml:space="preserve">neural-vs-tabular gap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plateaus</w:t>
      </w:r>
      <w:r>
        <w:rPr>
          <w:color w:val="000000"/>
        </w:rPr>
        <w:t xml:space="preserve"> </w:t>
      </w:r>
      <w:r>
        <w:rPr>
          <w:color w:val="000000"/>
        </w:rPr>
        <w:t xml:space="preserve">at OBELiX scale rather than closing,</w:t>
      </w:r>
      <w:r>
        <w:rPr>
          <w:color w:val="000000"/>
        </w:rPr>
        <w:t xml:space="preserve"> </w:t>
      </w:r>
      <w:r>
        <w:rPr>
          <w:color w:val="000000"/>
        </w:rPr>
        <w:t xml:space="preserve">so I explicitly do not claim that simply adding more σ-labelled</w:t>
      </w:r>
      <w:r>
        <w:rPr>
          <w:color w:val="000000"/>
        </w:rPr>
        <w:t xml:space="preserve"> </w:t>
      </w:r>
      <w:r>
        <w:rPr>
          <w:color w:val="000000"/>
        </w:rPr>
        <w:t xml:space="preserve">samples to OBELiX would close the gap; closing it likely requires</w:t>
      </w:r>
      <w:r>
        <w:rPr>
          <w:color w:val="000000"/>
        </w:rPr>
        <w:t xml:space="preserve"> </w:t>
      </w:r>
      <w:r>
        <w:rPr>
          <w:color w:val="000000"/>
        </w:rPr>
        <w:t xml:space="preserve">either ≥ 1k labelled samples or richer physics features in the</w:t>
      </w:r>
      <w:r>
        <w:rPr>
          <w:color w:val="000000"/>
        </w:rPr>
        <w:t xml:space="preserve"> </w:t>
      </w:r>
      <w:r>
        <w:rPr>
          <w:color w:val="000000"/>
        </w:rPr>
        <w:t xml:space="preserve">readout (Section 5.5).</w:t>
      </w:r>
    </w:p>
    <w:bookmarkEnd w:id="42"/>
    <w:bookmarkStart w:id="43" w:name="X71e120ee8501386bce83c56b2c7c7898117b84f"/>
    <w:p>
      <w:pPr>
        <w:pStyle w:val="Heading3"/>
      </w:pPr>
      <w:r>
        <w:rPr>
          <w:color w:val="000000"/>
        </w:rPr>
        <w:t xml:space="preserve">5.4 Domain-specific vs. broad-domain pretraining</w:t>
      </w:r>
    </w:p>
    <w:p>
      <w:pPr>
        <w:pStyle w:val="FirstParagraph"/>
      </w:pPr>
      <w:r>
        <w:rPr>
          <w:color w:val="000000"/>
        </w:rPr>
        <w:t xml:space="preserve">A 218,057-crystal broad-domain pretraining corpus (MP full + JARVIS +</w:t>
      </w:r>
      <w:r>
        <w:rPr>
          <w:color w:val="000000"/>
        </w:rPr>
        <w:t xml:space="preserve"> </w:t>
      </w:r>
      <w:r>
        <w:rPr>
          <w:color w:val="000000"/>
        </w:rPr>
        <w:t xml:space="preserve">OQMD + Matbench) at a matched fine-tuning budget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underperforms</w:t>
      </w:r>
      <w:r>
        <w:rPr>
          <w:color w:val="000000"/>
        </w:rPr>
        <w:t xml:space="preserve"> </w:t>
      </w:r>
      <w:r>
        <w:rPr>
          <w:color w:val="000000"/>
        </w:rPr>
        <w:t xml:space="preserve">Li-specific pretraining on OBELiX by 3.5 % stacked MAE (1.030 vs.</w:t>
      </w:r>
      <w:r>
        <w:rPr>
          <w:color w:val="000000"/>
        </w:rPr>
        <w:t xml:space="preserve"> </w:t>
      </w:r>
      <w:r>
        <w:rPr>
          <w:color w:val="000000"/>
        </w:rPr>
        <w:t xml:space="preserve">0.995). The broad encoder’s pretraining val MAE on formation energy</w:t>
      </w:r>
      <w:r>
        <w:rPr>
          <w:color w:val="000000"/>
        </w:rPr>
        <w:t xml:space="preserve"> </w:t>
      </w:r>
      <w:r>
        <w:rPr>
          <w:color w:val="000000"/>
        </w:rPr>
        <w:t xml:space="preserve">was an order of magnitude worse than the Li-specific encoder’s,</w:t>
      </w:r>
      <w:r>
        <w:rPr>
          <w:color w:val="000000"/>
        </w:rPr>
        <w:t xml:space="preserve"> </w:t>
      </w:r>
      <w:r>
        <w:rPr>
          <w:color w:val="000000"/>
        </w:rPr>
        <w:t xml:space="preserve">indicating the broad data was harder to fit per parameter rather than</w:t>
      </w:r>
      <w:r>
        <w:rPr>
          <w:color w:val="000000"/>
        </w:rPr>
        <w:t xml:space="preserve"> </w:t>
      </w:r>
      <w:r>
        <w:rPr>
          <w:color w:val="000000"/>
        </w:rPr>
        <w:t xml:space="preserve">that more data was harmful in principle. I document this honestly</w:t>
      </w:r>
      <w:r>
        <w:rPr>
          <w:color w:val="000000"/>
        </w:rPr>
        <w:t xml:space="preserve"> </w:t>
      </w:r>
      <w:r>
        <w:rPr>
          <w:color w:val="000000"/>
        </w:rPr>
        <w:t xml:space="preserve">because the negative result has practical relevance: at the small-</w:t>
      </w:r>
      <w:r>
        <w:rPr>
          <w:color w:val="000000"/>
        </w:rPr>
        <w:t xml:space="preserve"> </w:t>
      </w:r>
      <w:r>
        <w:rPr>
          <w:color w:val="000000"/>
        </w:rPr>
        <w:t xml:space="preserve">downstream-data regime of OBELiX, domain-specific pretraining</w:t>
      </w:r>
      <w:r>
        <w:rPr>
          <w:color w:val="000000"/>
        </w:rPr>
        <w:t xml:space="preserve"> </w:t>
      </w:r>
      <w:r>
        <w:rPr>
          <w:color w:val="000000"/>
        </w:rPr>
        <w:t xml:space="preserve">out-transfers domain-broad pretraining.</w:t>
      </w:r>
    </w:p>
    <w:bookmarkEnd w:id="43"/>
    <w:bookmarkStart w:id="44" w:name="where-the-architecture-should-scale-next"/>
    <w:p>
      <w:pPr>
        <w:pStyle w:val="Heading3"/>
      </w:pPr>
      <w:r>
        <w:rPr>
          <w:color w:val="000000"/>
        </w:rPr>
        <w:t xml:space="preserve">5.5 Where the architecture should scale next</w:t>
      </w:r>
    </w:p>
    <w:p>
      <w:pPr>
        <w:pStyle w:val="FirstParagraph"/>
      </w:pPr>
      <w:r>
        <w:rPr>
          <w:color w:val="000000"/>
        </w:rPr>
        <w:t xml:space="preserve">Three mechanical limits constrain the present implementation. (i)</w:t>
      </w:r>
      <w:r>
        <w:rPr>
          <w:color w:val="000000"/>
        </w:rPr>
        <w:t xml:space="preserve"> </w:t>
      </w:r>
      <w:r>
        <w:rPr>
          <w:color w:val="000000"/>
        </w:rPr>
        <w:t xml:space="preserve">Cross-shell attention is O(K²); raising the k-grid from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n_max = 2</w:t>
      </w:r>
      <w:r>
        <w:rPr>
          <w:color w:val="000000"/>
        </w:rPr>
        <w:t xml:space="preserve"> </w:t>
      </w:r>
      <w:r>
        <w:rPr>
          <w:color w:val="000000"/>
        </w:rPr>
        <w:t xml:space="preserve">(K ≈ 33) to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n_max = 3</w:t>
      </w:r>
      <w:r>
        <w:rPr>
          <w:color w:val="000000"/>
        </w:rPr>
        <w:t xml:space="preserve"> </w:t>
      </w:r>
      <w:r>
        <w:rPr>
          <w:color w:val="000000"/>
        </w:rPr>
        <w:t xml:space="preserve">(K ≈ 80) exhausts a 12-GB consumer GPU even at</w:t>
      </w:r>
      <w:r>
        <w:rPr>
          <w:color w:val="000000"/>
        </w:rPr>
        <w:t xml:space="preserve"> </w:t>
      </w:r>
      <w:r>
        <w:rPr>
          <w:color w:val="000000"/>
        </w:rPr>
        <w:t xml:space="preserve">batch 4. A linear-attention or block-sparse attention rewrite is</w:t>
      </w:r>
      <w:r>
        <w:rPr>
          <w:color w:val="000000"/>
        </w:rPr>
        <w:t xml:space="preserve"> </w:t>
      </w:r>
      <w:r>
        <w:rPr>
          <w:color w:val="000000"/>
        </w:rPr>
        <w:t xml:space="preserve">straightforward future work. (ii) DBVF currently treats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R_cut</w:t>
      </w:r>
      <w:r>
        <w:rPr>
          <w:color w:val="000000"/>
        </w:rPr>
        <w:t xml:space="preserve"> </w:t>
      </w:r>
      <w:r>
        <w:rPr>
          <w:color w:val="000000"/>
        </w:rPr>
        <w:t xml:space="preserve">as a</w:t>
      </w:r>
      <w:r>
        <w:rPr>
          <w:color w:val="000000"/>
        </w:rPr>
        <w:t xml:space="preserve"> </w:t>
      </w:r>
      <w:r>
        <w:rPr>
          <w:color w:val="000000"/>
        </w:rPr>
        <w:t xml:space="preserve">fixed hyper-parameter; a learnable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R_cut</w:t>
      </w:r>
      <w:r>
        <w:rPr>
          <w:color w:val="000000"/>
        </w:rPr>
        <w:t xml:space="preserve"> </w:t>
      </w:r>
      <w:r>
        <w:rPr>
          <w:color w:val="000000"/>
        </w:rPr>
        <w:t xml:space="preserve">per anion species would</w:t>
      </w:r>
      <w:r>
        <w:rPr>
          <w:color w:val="000000"/>
        </w:rPr>
        <w:t xml:space="preserve"> </w:t>
      </w:r>
      <w:r>
        <w:rPr>
          <w:color w:val="000000"/>
        </w:rPr>
        <w:t xml:space="preserve">absorb more domain knowledge. (iii) Path-integrated DBVF — a</w:t>
      </w:r>
      <w:r>
        <w:rPr>
          <w:color w:val="000000"/>
        </w:rPr>
        <w:t xml:space="preserve"> </w:t>
      </w:r>
      <w:r>
        <w:rPr>
          <w:color w:val="000000"/>
        </w:rPr>
        <w:t xml:space="preserve">soft-max-saddle integration of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V(r)</w:t>
      </w:r>
      <w:r>
        <w:rPr>
          <w:color w:val="000000"/>
        </w:rPr>
        <w:t xml:space="preserve"> </w:t>
      </w:r>
      <w:r>
        <w:rPr>
          <w:color w:val="000000"/>
        </w:rPr>
        <w:t xml:space="preserve">along Li migration paths — was</w:t>
      </w:r>
      <w:r>
        <w:rPr>
          <w:color w:val="000000"/>
        </w:rPr>
        <w:t xml:space="preserve"> </w:t>
      </w:r>
      <w:r>
        <w:rPr>
          <w:color w:val="000000"/>
        </w:rPr>
        <w:t xml:space="preserve">implemented (Phase B2 in the SI) and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did not</w:t>
      </w:r>
      <w:r>
        <w:rPr>
          <w:color w:val="000000"/>
        </w:rPr>
        <w:t xml:space="preserve"> </w:t>
      </w:r>
      <w:r>
        <w:rPr>
          <w:color w:val="000000"/>
        </w:rPr>
        <w:t xml:space="preserve">outperform the basic</w:t>
      </w:r>
      <w:r>
        <w:rPr>
          <w:color w:val="000000"/>
        </w:rPr>
        <w:t xml:space="preserve"> </w:t>
      </w:r>
      <w:r>
        <w:rPr>
          <w:color w:val="000000"/>
        </w:rPr>
        <w:t xml:space="preserve">DBVF at n = 281, presumably because the extra parameters require more</w:t>
      </w:r>
      <w:r>
        <w:rPr>
          <w:color w:val="000000"/>
        </w:rPr>
        <w:t xml:space="preserve"> </w:t>
      </w:r>
      <w:r>
        <w:rPr>
          <w:color w:val="000000"/>
        </w:rPr>
        <w:t xml:space="preserve">data than 281 to justify.</w:t>
      </w:r>
    </w:p>
    <w:bookmarkEnd w:id="44"/>
    <w:bookmarkStart w:id="45" w:name="model-size-and-inference-efficiency"/>
    <w:p>
      <w:pPr>
        <w:pStyle w:val="Heading3"/>
      </w:pPr>
      <w:r>
        <w:rPr>
          <w:color w:val="000000"/>
        </w:rPr>
        <w:t xml:space="preserve">5.6 Model size and inference efficiency</w:t>
      </w:r>
    </w:p>
    <w:p>
      <w:pPr>
        <w:pStyle w:val="FirstParagraph"/>
      </w:pPr>
      <w:r>
        <w:rPr>
          <w:color w:val="000000"/>
        </w:rPr>
        <w:t xml:space="preserve">The full k-SEC + DBVF + readout has approximately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0.45 M trainable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parameters</w:t>
      </w:r>
      <w:r>
        <w:rPr>
          <w:color w:val="000000"/>
        </w:rPr>
        <w:t xml:space="preserve"> </w:t>
      </w:r>
      <w:r>
        <w:rPr>
          <w:color w:val="000000"/>
        </w:rPr>
        <w:t xml:space="preserve">at the headline configuration (3 k-SEC blocks at</w:t>
      </w:r>
      <w:r>
        <w:rPr>
          <w:color w:val="000000"/>
        </w:rPr>
        <w:t xml:space="preserve"> </w:t>
      </w:r>
      <w:r>
        <w:rPr>
          <w:color w:val="000000"/>
        </w:rPr>
        <w:t xml:space="preserve">D = 96, K = 33, n_heads = 4; DBVF parameters are O(20) per anion</w:t>
      </w:r>
      <w:r>
        <w:rPr>
          <w:color w:val="000000"/>
        </w:rPr>
        <w:t xml:space="preserve"> </w:t>
      </w:r>
      <w:r>
        <w:rPr>
          <w:color w:val="000000"/>
        </w:rPr>
        <w:t xml:space="preserve">species × 10 species = 200 parameters; readout MLP ~0.18 M). For</w:t>
      </w:r>
      <w:r>
        <w:rPr>
          <w:color w:val="000000"/>
        </w:rPr>
        <w:t xml:space="preserve"> </w:t>
      </w:r>
      <w:r>
        <w:rPr>
          <w:color w:val="000000"/>
        </w:rPr>
        <w:t xml:space="preserve">context, MACE-MP-0 has ~ 4.7 M parameters and additionally requires</w:t>
      </w:r>
      <w:r>
        <w:rPr>
          <w:color w:val="000000"/>
        </w:rPr>
        <w:t xml:space="preserve"> </w:t>
      </w:r>
      <w:r>
        <w:rPr>
          <w:color w:val="000000"/>
        </w:rPr>
        <w:t xml:space="preserve">DFT-level cutoff radius graph construction at inference; CGCNN has</w:t>
      </w:r>
      <w:r>
        <w:rPr>
          <w:color w:val="000000"/>
        </w:rPr>
        <w:t xml:space="preserve"> </w:t>
      </w:r>
      <w:r>
        <w:rPr>
          <w:color w:val="000000"/>
        </w:rPr>
        <w:t xml:space="preserve">~ 0.10 M parameters.</w:t>
      </w:r>
    </w:p>
    <w:p>
      <w:pPr>
        <w:pStyle w:val="BodyText"/>
      </w:pPr>
      <w:r>
        <w:rPr>
          <w:color w:val="000000"/>
        </w:rPr>
        <w:t xml:space="preserve">A single OBELiX inference (281 crystals, batch 8, on a 12-GB consumer</w:t>
      </w:r>
      <w:r>
        <w:rPr>
          <w:color w:val="000000"/>
        </w:rPr>
        <w:t xml:space="preserve"> </w:t>
      </w:r>
      <w:r>
        <w:rPr>
          <w:color w:val="000000"/>
        </w:rPr>
        <w:t xml:space="preserve">GPU) takes 0.4 s for k-SEC + DBVF, vs. 38 s for MACE-MP-0</w:t>
      </w:r>
      <w:r>
        <w:rPr>
          <w:color w:val="000000"/>
        </w:rPr>
        <w:t xml:space="preserve"> </w:t>
      </w:r>
      <w:r>
        <w:rPr>
          <w:color w:val="000000"/>
        </w:rPr>
        <w:t xml:space="preserve">single-point evaluations on the same 281 CIFs (the latter dominated</w:t>
      </w:r>
      <w:r>
        <w:rPr>
          <w:color w:val="000000"/>
        </w:rPr>
        <w:t xml:space="preserve"> </w:t>
      </w:r>
      <w:r>
        <w:rPr>
          <w:color w:val="000000"/>
        </w:rPr>
        <w:t xml:space="preserve">by the disordered-occupancy ordering pre-pass and per-crystal MACE</w:t>
      </w:r>
      <w:r>
        <w:rPr>
          <w:color w:val="000000"/>
        </w:rPr>
        <w:t xml:space="preserve"> </w:t>
      </w:r>
      <w:r>
        <w:rPr>
          <w:color w:val="000000"/>
        </w:rPr>
        <w:t xml:space="preserve">graph construction, ~7 % of CIFs failing entirely). The headline</w:t>
      </w:r>
      <w:r>
        <w:rPr>
          <w:color w:val="000000"/>
        </w:rPr>
        <w:t xml:space="preserve"> </w:t>
      </w:r>
      <w:r>
        <w:rPr>
          <w:color w:val="000000"/>
        </w:rPr>
        <w:t xml:space="preserve">training (5 seeds × 5 folds × 60 epochs) completes in ~6 h on the</w:t>
      </w:r>
      <w:r>
        <w:rPr>
          <w:color w:val="000000"/>
        </w:rPr>
        <w:t xml:space="preserve"> </w:t>
      </w:r>
      <w:r>
        <w:rPr>
          <w:color w:val="000000"/>
        </w:rPr>
        <w:t xml:space="preserve">same single GPU.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At the practical scale of the OBELiX benchmark,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DBVF outperforms MACE features at one to two orders of magnitude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lower inference cost and parameter count</w:t>
      </w:r>
      <w:r>
        <w:rPr>
          <w:color w:val="000000"/>
        </w:rPr>
        <w:t xml:space="preserve">, supporting my framing</w:t>
      </w:r>
      <w:r>
        <w:rPr>
          <w:color w:val="000000"/>
        </w:rPr>
        <w:t xml:space="preserve"> </w:t>
      </w:r>
      <w:r>
        <w:rPr>
          <w:color w:val="000000"/>
        </w:rPr>
        <w:t xml:space="preserve">of DBVF as a small, σ-targeted, end-to-end-learnable physics module</w:t>
      </w:r>
      <w:r>
        <w:rPr>
          <w:color w:val="000000"/>
        </w:rPr>
        <w:t xml:space="preserve"> </w:t>
      </w:r>
      <w:r>
        <w:rPr>
          <w:color w:val="000000"/>
        </w:rPr>
        <w:t xml:space="preserve">rather than a foundation-model dependency.</w:t>
      </w:r>
    </w:p>
    <w:bookmarkEnd w:id="45"/>
    <w:bookmarkStart w:id="46" w:name="limitations"/>
    <w:p>
      <w:pPr>
        <w:pStyle w:val="Heading3"/>
      </w:pPr>
      <w:r>
        <w:rPr>
          <w:color w:val="000000"/>
        </w:rPr>
        <w:t xml:space="preserve">5.7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color w:val="000000"/>
        </w:rPr>
        <w:t xml:space="preserve">Sample size.</w:t>
      </w:r>
      <w:r>
        <w:rPr>
          <w:color w:val="000000"/>
        </w:rPr>
        <w:t xml:space="preserve"> </w:t>
      </w:r>
      <w:r>
        <w:rPr>
          <w:color w:val="000000"/>
        </w:rPr>
        <w:t xml:space="preserve">OBELiX provides 281 usable samples. A tabular</w:t>
      </w:r>
      <w:r>
        <w:rPr>
          <w:color w:val="000000"/>
        </w:rPr>
        <w:t xml:space="preserve"> </w:t>
      </w:r>
      <w:r>
        <w:rPr>
          <w:color w:val="000000"/>
        </w:rPr>
        <w:t xml:space="preserve">gradient-boosted tree on hand-crafted features remains a strong</w:t>
      </w:r>
      <w:r>
        <w:rPr>
          <w:color w:val="000000"/>
        </w:rPr>
        <w:t xml:space="preserve"> </w:t>
      </w:r>
      <w:r>
        <w:rPr>
          <w:color w:val="000000"/>
        </w:rPr>
        <w:t xml:space="preserve">baseline at this scale.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color w:val="000000"/>
        </w:rPr>
        <w:t xml:space="preserve">k-grid resolution.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n_max = 3</w:t>
      </w:r>
      <w:r>
        <w:rPr>
          <w:color w:val="000000"/>
        </w:rPr>
        <w:t xml:space="preserve"> </w:t>
      </w:r>
      <w:r>
        <w:rPr>
          <w:color w:val="000000"/>
        </w:rPr>
        <w:t xml:space="preserve">is infeasible on a 12-GB GPU at</w:t>
      </w:r>
      <w:r>
        <w:rPr>
          <w:color w:val="000000"/>
        </w:rPr>
        <w:t xml:space="preserve"> </w:t>
      </w:r>
      <w:r>
        <w:rPr>
          <w:color w:val="000000"/>
        </w:rPr>
        <w:t xml:space="preserve">the current attention complexity.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color w:val="000000"/>
        </w:rPr>
        <w:t xml:space="preserve">No experimental validation.</w:t>
      </w:r>
      <w:r>
        <w:rPr>
          <w:color w:val="000000"/>
        </w:rPr>
        <w:t xml:space="preserve"> </w:t>
      </w:r>
      <w:r>
        <w:rPr>
          <w:color w:val="000000"/>
        </w:rPr>
        <w:t xml:space="preserve">The virtual screen recovers known</w:t>
      </w:r>
      <w:r>
        <w:rPr>
          <w:color w:val="000000"/>
        </w:rPr>
        <w:t xml:space="preserve"> </w:t>
      </w:r>
      <w:r>
        <w:rPr>
          <w:color w:val="000000"/>
        </w:rPr>
        <w:t xml:space="preserve">fast-conductor families, but no model-predicted novel candidate has</w:t>
      </w:r>
      <w:r>
        <w:rPr>
          <w:color w:val="000000"/>
        </w:rPr>
        <w:t xml:space="preserve"> </w:t>
      </w:r>
      <w:r>
        <w:rPr>
          <w:color w:val="000000"/>
        </w:rPr>
        <w:t xml:space="preserve">been wet-lab synthesised in this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color w:val="000000"/>
        </w:rPr>
        <w:t xml:space="preserve">Disordered occupancies.</w:t>
      </w:r>
      <w:r>
        <w:rPr>
          <w:color w:val="000000"/>
        </w:rPr>
        <w:t xml:space="preserve"> </w:t>
      </w:r>
      <w:r>
        <w:rPr>
          <w:color w:val="000000"/>
        </w:rPr>
        <w:t xml:space="preserve">~30 % of OBELiX CIFs carry disordered Li</w:t>
      </w:r>
      <w:r>
        <w:rPr>
          <w:color w:val="000000"/>
        </w:rPr>
        <w:t xml:space="preserve"> </w:t>
      </w:r>
      <w:r>
        <w:rPr>
          <w:color w:val="000000"/>
        </w:rPr>
        <w:t xml:space="preserve">occupancies; I use a dominant-species ordering for both the</w:t>
      </w:r>
      <w:r>
        <w:rPr>
          <w:color w:val="000000"/>
        </w:rPr>
        <w:t xml:space="preserve"> </w:t>
      </w:r>
      <w:r>
        <w:rPr>
          <w:color w:val="000000"/>
        </w:rPr>
        <w:t xml:space="preserve">foundation-feature baseline and the DBVF module. A proper alchemical</w:t>
      </w:r>
      <w:r>
        <w:rPr>
          <w:color w:val="000000"/>
        </w:rPr>
        <w:t xml:space="preserve"> </w:t>
      </w:r>
      <w:r>
        <w:rPr>
          <w:color w:val="000000"/>
        </w:rPr>
        <w:t xml:space="preserve">treatment (occupancy-weighted bond valence) is future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color w:val="000000"/>
        </w:rPr>
        <w:t xml:space="preserve">Cubic invariants only.</w:t>
      </w:r>
      <w:r>
        <w:rPr>
          <w:color w:val="000000"/>
        </w:rPr>
        <w:t xml:space="preserve"> </w:t>
      </w:r>
      <w:r>
        <w:rPr>
          <w:color w:val="000000"/>
        </w:rPr>
        <w:t xml:space="preserve">The cubic-harmonic basis is an</w:t>
      </w:r>
      <w:r>
        <w:rPr>
          <w:color w:val="000000"/>
        </w:rPr>
        <w:t xml:space="preserve"> </w:t>
      </w:r>
      <w:r>
        <w:rPr>
          <w:color w:val="000000"/>
        </w:rPr>
        <w:t xml:space="preserve">approximation for tetragonal/orthorhombic crystals. A full space-</w:t>
      </w:r>
      <w:r>
        <w:rPr>
          <w:color w:val="000000"/>
        </w:rPr>
        <w:t xml:space="preserve"> </w:t>
      </w:r>
      <w:r>
        <w:rPr>
          <w:color w:val="000000"/>
        </w:rPr>
        <w:t xml:space="preserve">group-equivariant treatment is future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color w:val="000000"/>
        </w:rPr>
        <w:t xml:space="preserve">Encoder transfer is domain-specific.</w:t>
      </w:r>
      <w:r>
        <w:rPr>
          <w:color w:val="000000"/>
        </w:rPr>
        <w:t xml:space="preserve"> </w:t>
      </w:r>
      <w:r>
        <w:rPr>
          <w:color w:val="000000"/>
        </w:rPr>
        <w:t xml:space="preserve">The Li-pretrained k-SEC</w:t>
      </w:r>
      <w:r>
        <w:rPr>
          <w:color w:val="000000"/>
        </w:rPr>
        <w:t xml:space="preserve"> </w:t>
      </w:r>
      <w:r>
        <w:rPr>
          <w:color w:val="000000"/>
        </w:rPr>
        <w:t xml:space="preserve">encoder underperforms ALIGNN / MEGNet on the elasticity-target</w:t>
      </w:r>
      <w:r>
        <w:rPr>
          <w:color w:val="000000"/>
        </w:rPr>
        <w:t xml:space="preserve"> </w:t>
      </w:r>
      <w:r>
        <w:rPr>
          <w:color w:val="000000"/>
        </w:rPr>
        <w:t xml:space="preserve">Matbench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log_gvrh</w:t>
      </w:r>
      <w:r>
        <w:rPr>
          <w:color w:val="000000"/>
        </w:rPr>
        <w:t xml:space="preserve"> </w:t>
      </w:r>
      <w:r>
        <w:rPr>
          <w:color w:val="000000"/>
        </w:rPr>
        <w:t xml:space="preserve">task; I therefore do not claim general</w:t>
      </w:r>
      <w:r>
        <w:rPr>
          <w:color w:val="000000"/>
        </w:rPr>
        <w:t xml:space="preserve"> </w:t>
      </w:r>
      <w:r>
        <w:rPr>
          <w:color w:val="000000"/>
        </w:rPr>
        <w:t xml:space="preserve">crystal-property transfer.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46"/>
    <w:bookmarkEnd w:id="47"/>
    <w:bookmarkStart w:id="48" w:name="conclusion"/>
    <w:p>
      <w:pPr>
        <w:pStyle w:val="Heading2"/>
      </w:pPr>
      <w:r>
        <w:rPr>
          <w:color w:val="000000"/>
        </w:rPr>
        <w:t xml:space="preserve">6. Conclusion</w:t>
      </w:r>
    </w:p>
    <w:p>
      <w:pPr>
        <w:pStyle w:val="FirstParagraph"/>
      </w:pPr>
      <w:r>
        <w:rPr>
          <w:color w:val="000000"/>
        </w:rPr>
        <w:t xml:space="preserve">I introduce two architectural primitives for crystal-property</w:t>
      </w:r>
      <w:r>
        <w:rPr>
          <w:color w:val="000000"/>
        </w:rPr>
        <w:t xml:space="preserve"> </w:t>
      </w:r>
      <w:r>
        <w:rPr>
          <w:color w:val="000000"/>
        </w:rPr>
        <w:t xml:space="preserve">prediction in solid-state electrolytes: (i)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k-SEC</w:t>
      </w:r>
      <w:r>
        <w:rPr>
          <w:color w:val="000000"/>
        </w:rPr>
        <w:t xml:space="preserve">, a reciprocal-</w:t>
      </w:r>
      <w:r>
        <w:rPr>
          <w:color w:val="000000"/>
        </w:rPr>
        <w:t xml:space="preserve"> </w:t>
      </w:r>
      <w:r>
        <w:rPr>
          <w:color w:val="000000"/>
        </w:rPr>
        <w:t xml:space="preserve">space neural encoder whose feature maps live in k-space throughout the</w:t>
      </w:r>
      <w:r>
        <w:rPr>
          <w:color w:val="000000"/>
        </w:rPr>
        <w:t xml:space="preserve"> </w:t>
      </w:r>
      <w:r>
        <w:rPr>
          <w:color w:val="000000"/>
        </w:rPr>
        <w:t xml:space="preserve">network and whose cubic-group equivariance is enforced by construction</w:t>
      </w:r>
      <w:r>
        <w:rPr>
          <w:color w:val="000000"/>
        </w:rPr>
        <w:t xml:space="preserve"> </w:t>
      </w:r>
      <w:r>
        <w:rPr>
          <w:color w:val="000000"/>
        </w:rPr>
        <w:t xml:space="preserve">via cubic-harmonic directional filters and cross-shell gated attention,</w:t>
      </w:r>
      <w:r>
        <w:rPr>
          <w:color w:val="000000"/>
        </w:rPr>
        <w:t xml:space="preserve"> </w:t>
      </w:r>
      <w:r>
        <w:rPr>
          <w:color w:val="000000"/>
        </w:rPr>
        <w:t xml:space="preserve">and (ii)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DBVF</w:t>
      </w:r>
      <w:r>
        <w:rPr>
          <w:color w:val="000000"/>
        </w:rPr>
        <w:t xml:space="preserve">, an end-to-end-learnable parameterisation of Brown’s</w:t>
      </w:r>
      <w:r>
        <w:rPr>
          <w:color w:val="000000"/>
        </w:rPr>
        <w:t xml:space="preserve"> </w:t>
      </w:r>
      <w:r>
        <w:rPr>
          <w:color w:val="000000"/>
        </w:rPr>
        <w:t xml:space="preserve">bond-valence sum embedded inside the network. On OBELiX (281 labelled</w:t>
      </w:r>
      <w:r>
        <w:rPr>
          <w:color w:val="000000"/>
        </w:rPr>
        <w:t xml:space="preserve"> </w:t>
      </w:r>
      <w:r>
        <w:rPr>
          <w:color w:val="000000"/>
        </w:rPr>
        <w:t xml:space="preserve">solid-state Li-ion electrolytes) the joint k-SEC + DBVF model attains</w:t>
      </w:r>
      <w:r>
        <w:rPr>
          <w:color w:val="000000"/>
        </w:rPr>
        <w:t xml:space="preserve"> </w:t>
      </w:r>
      <w:r>
        <w:rPr>
          <w:color w:val="000000"/>
        </w:rPr>
        <w:t xml:space="preserve">MAE 1.047 [95 % CI 0.925–1.183] standalone, 0.980 in a stacked</w:t>
      </w:r>
      <w:r>
        <w:rPr>
          <w:color w:val="000000"/>
        </w:rPr>
        <w:t xml:space="preserve"> </w:t>
      </w:r>
      <w:r>
        <w:rPr>
          <w:color w:val="000000"/>
        </w:rPr>
        <w:t xml:space="preserve">ensemble with a tabular gradient-boosted tree, and Spearman ρ = 0.78</w:t>
      </w:r>
      <w:r>
        <w:rPr>
          <w:color w:val="000000"/>
        </w:rPr>
        <w:t xml:space="preserve"> </w:t>
      </w:r>
      <w:r>
        <w:rPr>
          <w:color w:val="000000"/>
        </w:rPr>
        <w:t xml:space="preserve">in OOF ranking — to my knowledge the best MAE reported by a neural</w:t>
      </w:r>
      <w:r>
        <w:rPr>
          <w:color w:val="000000"/>
        </w:rPr>
        <w:t xml:space="preserve"> </w:t>
      </w:r>
      <w:r>
        <w:rPr>
          <w:color w:val="000000"/>
        </w:rPr>
        <w:t xml:space="preserve">model on this 281-sample filter. A controlled experiment isolates the</w:t>
      </w:r>
      <w:r>
        <w:rPr>
          <w:color w:val="000000"/>
        </w:rPr>
        <w:t xml:space="preserve"> </w:t>
      </w:r>
      <w:r>
        <w:rPr>
          <w:color w:val="000000"/>
        </w:rPr>
        <w:t xml:space="preserve">DBVF gain to end-to-end training rather than to feature extraction;</w:t>
      </w:r>
      <w:r>
        <w:rPr>
          <w:color w:val="000000"/>
        </w:rPr>
        <w:t xml:space="preserve"> </w:t>
      </w:r>
      <w:r>
        <w:rPr>
          <w:color w:val="000000"/>
        </w:rPr>
        <w:t xml:space="preserve">the learned bond-valence parameters stay close to Brown’s 2002</w:t>
      </w:r>
      <w:r>
        <w:rPr>
          <w:color w:val="000000"/>
        </w:rPr>
        <w:t xml:space="preserve"> </w:t>
      </w:r>
      <w:r>
        <w:rPr>
          <w:color w:val="000000"/>
        </w:rPr>
        <w:t xml:space="preserve">tabulation for seven of eight anion species, evidence that the</w:t>
      </w:r>
      <w:r>
        <w:rPr>
          <w:color w:val="000000"/>
        </w:rPr>
        <w:t xml:space="preserve"> </w:t>
      </w:r>
      <w:r>
        <w:rPr>
          <w:color w:val="000000"/>
        </w:rPr>
        <w:t xml:space="preserve">architecture preserves rather than overrides the chemical inductive</w:t>
      </w:r>
      <w:r>
        <w:rPr>
          <w:color w:val="000000"/>
        </w:rPr>
        <w:t xml:space="preserve"> </w:t>
      </w:r>
      <w:r>
        <w:rPr>
          <w:color w:val="000000"/>
        </w:rPr>
        <w:t xml:space="preserve">bias. An unsupervised virtual screen of 18,574 Materials Project</w:t>
      </w:r>
      <w:r>
        <w:rPr>
          <w:color w:val="000000"/>
        </w:rPr>
        <w:t xml:space="preserve"> </w:t>
      </w:r>
      <w:r>
        <w:rPr>
          <w:color w:val="000000"/>
        </w:rPr>
        <w:t xml:space="preserve">crystals recovers, in its top-15, the four canonical fast-Li-ion</w:t>
      </w:r>
      <w:r>
        <w:rPr>
          <w:color w:val="000000"/>
        </w:rPr>
        <w:t xml:space="preserve"> </w:t>
      </w:r>
      <w:r>
        <w:rPr>
          <w:color w:val="000000"/>
        </w:rPr>
        <w:t xml:space="preserve">conductor families. A learning-curve experiment shows a strong</w:t>
      </w:r>
      <w:r>
        <w:rPr>
          <w:color w:val="000000"/>
        </w:rPr>
        <w:t xml:space="preserve"> </w:t>
      </w:r>
      <w:r>
        <w:rPr>
          <w:color w:val="000000"/>
        </w:rPr>
        <w:t xml:space="preserve">few-shot transfer benefit at very small n. I document honestly both</w:t>
      </w:r>
      <w:r>
        <w:rPr>
          <w:color w:val="000000"/>
        </w:rPr>
        <w:t xml:space="preserve"> </w:t>
      </w:r>
      <w:r>
        <w:rPr>
          <w:color w:val="000000"/>
        </w:rPr>
        <w:t xml:space="preserve">the data-scale limit at which a tree ensemble on hand-crafted features</w:t>
      </w:r>
      <w:r>
        <w:rPr>
          <w:color w:val="000000"/>
        </w:rPr>
        <w:t xml:space="preserve"> </w:t>
      </w:r>
      <w:r>
        <w:rPr>
          <w:color w:val="000000"/>
        </w:rPr>
        <w:t xml:space="preserve">remains competitive at OBELiX scale and the GPU-memory limit on the</w:t>
      </w:r>
      <w:r>
        <w:rPr>
          <w:color w:val="000000"/>
        </w:rPr>
        <w:t xml:space="preserve"> </w:t>
      </w:r>
      <w:r>
        <w:rPr>
          <w:color w:val="000000"/>
        </w:rPr>
        <w:t xml:space="preserve">k-grid resolution. The two architectural primitives are applicable</w:t>
      </w:r>
      <w:r>
        <w:rPr>
          <w:color w:val="000000"/>
        </w:rPr>
        <w:t xml:space="preserve"> </w:t>
      </w:r>
      <w:r>
        <w:rPr>
          <w:color w:val="000000"/>
        </w:rPr>
        <w:t xml:space="preserve">beyond ionic conductivity to any small-data crystal-property</w:t>
      </w:r>
      <w:r>
        <w:rPr>
          <w:color w:val="000000"/>
        </w:rPr>
        <w:t xml:space="preserve"> </w:t>
      </w:r>
      <w:r>
        <w:rPr>
          <w:color w:val="000000"/>
        </w:rPr>
        <w:t xml:space="preserve">regression task with strong periodic and local-chemistry priors.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End w:id="48"/>
    <w:bookmarkStart w:id="49" w:name="data-and-code-availability"/>
    <w:p>
      <w:pPr>
        <w:pStyle w:val="Heading2"/>
      </w:pPr>
      <w:r>
        <w:rPr>
          <w:color w:val="000000"/>
        </w:rPr>
        <w:t xml:space="preserve">Data and code availability</w:t>
      </w:r>
    </w:p>
    <w:p>
      <w:pPr>
        <w:pStyle w:val="FirstParagraph"/>
      </w:pPr>
      <w:r>
        <w:rPr>
          <w:color w:val="000000"/>
        </w:rPr>
        <w:t xml:space="preserve">All code, trained weights and OBELiX-derived data artifacts are</w:t>
      </w:r>
      <w:r>
        <w:rPr>
          <w:color w:val="000000"/>
        </w:rPr>
        <w:t xml:space="preserve"> </w:t>
      </w:r>
      <w:r>
        <w:rPr>
          <w:color w:val="000000"/>
        </w:rPr>
        <w:t xml:space="preserve">released at the GitHub repository accompanying this manuscript. The</w:t>
      </w:r>
      <w:r>
        <w:rPr>
          <w:color w:val="000000"/>
        </w:rPr>
        <w:t xml:space="preserve"> </w:t>
      </w:r>
      <w:r>
        <w:rPr>
          <w:color w:val="000000"/>
        </w:rPr>
        <w:t xml:space="preserve">OBELiX dataset is publicly available [15]. The Materials</w:t>
      </w:r>
      <w:r>
        <w:rPr>
          <w:color w:val="000000"/>
        </w:rPr>
        <w:t xml:space="preserve"> </w:t>
      </w:r>
      <w:r>
        <w:rPr>
          <w:color w:val="000000"/>
        </w:rPr>
        <w:t xml:space="preserve">Project dump used for pretraining and virtual screening is publicly</w:t>
      </w:r>
      <w:r>
        <w:rPr>
          <w:color w:val="000000"/>
        </w:rPr>
        <w:t xml:space="preserve"> </w:t>
      </w:r>
      <w:r>
        <w:rPr>
          <w:color w:val="000000"/>
        </w:rPr>
        <w:t xml:space="preserve">available via the Materials Project API. Reproducibility: 5/5 unit</w:t>
      </w:r>
      <w:r>
        <w:rPr>
          <w:color w:val="000000"/>
        </w:rPr>
        <w:t xml:space="preserve"> </w:t>
      </w:r>
      <w:r>
        <w:rPr>
          <w:color w:val="000000"/>
        </w:rPr>
        <w:t xml:space="preserve">tests pass on the release candidate; full retraining of the headline</w:t>
      </w:r>
      <w:r>
        <w:rPr>
          <w:color w:val="000000"/>
        </w:rPr>
        <w:t xml:space="preserve"> </w:t>
      </w:r>
      <w:r>
        <w:rPr>
          <w:color w:val="000000"/>
        </w:rPr>
        <w:t xml:space="preserve">result fits in ~6 h on a single 12-GB consumer GPU.</w:t>
      </w:r>
    </w:p>
    <w:p>
      <w:pPr>
        <w:pStyle w:val="SourceCode"/>
      </w:pPr>
      <w:r>
        <w:rPr>
          <w:rStyle w:val="CommentTok"/>
          <w:color w:val="000000"/>
        </w:rPr>
        <w:t xml:space="preserve"># Download OBELiX + Materials Project data, featurise crystals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scripts/01_download_data.py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scripts/02_featurize.py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Pretrain k-SEC encoder on 18,574 Li-containing MP crystals (formation E)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scripts/12_pretrain_mp.py </w:t>
      </w:r>
      <w:r>
        <w:rPr>
          <w:rStyle w:val="AttributeTok"/>
          <w:color w:val="000000"/>
        </w:rPr>
        <w:t xml:space="preserve">--epochs</w:t>
      </w:r>
      <w:r>
        <w:rPr>
          <w:rStyle w:val="NormalTok"/>
          <w:color w:val="000000"/>
        </w:rPr>
        <w:t xml:space="preserve"> 6 </w:t>
      </w:r>
      <w:r>
        <w:rPr>
          <w:rStyle w:val="AttributeTok"/>
          <w:color w:val="000000"/>
        </w:rPr>
        <w:t xml:space="preserve">--batch</w:t>
      </w:r>
      <w:r>
        <w:rPr>
          <w:rStyle w:val="NormalTok"/>
          <w:color w:val="000000"/>
        </w:rPr>
        <w:t xml:space="preserve"> 32 </w:t>
      </w:r>
      <w:r>
        <w:rPr>
          <w:rStyle w:val="AttributeTok"/>
          <w:color w:val="000000"/>
        </w:rPr>
        <w:t xml:space="preserve">--device</w:t>
      </w:r>
      <w:r>
        <w:rPr>
          <w:rStyle w:val="NormalTok"/>
          <w:color w:val="000000"/>
        </w:rPr>
        <w:t xml:space="preserve"> cuda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Train k-SEC + DBVF (Phase B1, 5 seeds × 5 folds × 60 epochs)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scripts/08_train_hybrid.py </w:t>
      </w:r>
      <w:r>
        <w:rPr>
          <w:rStyle w:val="AttributeTok"/>
          <w:color w:val="000000"/>
        </w:rPr>
        <w:t xml:space="preserve">--use-bv-field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--use-lattice</w:t>
      </w:r>
      <w:r>
        <w:rPr>
          <w:rStyle w:val="NormalTok"/>
          <w:color w:val="000000"/>
        </w:rPr>
        <w:t xml:space="preserve"> </w:t>
      </w:r>
      <w:r>
        <w:rPr>
          <w:rStyle w:val="DataTypeTok"/>
          <w:color w:val="000000"/>
        </w:rPr>
        <w:t xml:space="preserve">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--use-geometric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--epochs</w:t>
      </w:r>
      <w:r>
        <w:rPr>
          <w:rStyle w:val="NormalTok"/>
          <w:color w:val="000000"/>
        </w:rPr>
        <w:t xml:space="preserve"> 60 </w:t>
      </w:r>
      <w:r>
        <w:rPr>
          <w:rStyle w:val="AttributeTok"/>
          <w:color w:val="000000"/>
        </w:rPr>
        <w:t xml:space="preserve">--seeds</w:t>
      </w:r>
      <w:r>
        <w:rPr>
          <w:rStyle w:val="NormalTok"/>
          <w:color w:val="000000"/>
        </w:rPr>
        <w:t xml:space="preserve"> 5 </w:t>
      </w:r>
      <w:r>
        <w:rPr>
          <w:rStyle w:val="AttributeTok"/>
          <w:color w:val="000000"/>
        </w:rPr>
        <w:t xml:space="preserve">--device</w:t>
      </w:r>
      <w:r>
        <w:rPr>
          <w:rStyle w:val="NormalTok"/>
          <w:color w:val="000000"/>
        </w:rPr>
        <w:t xml:space="preserve"> cuda </w:t>
      </w:r>
      <w:r>
        <w:rPr>
          <w:rStyle w:val="DataTypeTok"/>
          <w:color w:val="000000"/>
        </w:rPr>
        <w:t xml:space="preserve">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--pretrained-encoder</w:t>
      </w:r>
      <w:r>
        <w:rPr>
          <w:rStyle w:val="NormalTok"/>
          <w:color w:val="000000"/>
        </w:rPr>
        <w:t xml:space="preserve"> results/mp_encoder_pretrained.pt </w:t>
      </w:r>
      <w:r>
        <w:rPr>
          <w:rStyle w:val="DataTypeTok"/>
          <w:color w:val="000000"/>
        </w:rPr>
        <w:t xml:space="preserve">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--results</w:t>
      </w:r>
      <w:r>
        <w:rPr>
          <w:rStyle w:val="NormalTok"/>
          <w:color w:val="000000"/>
        </w:rPr>
        <w:t xml:space="preserve"> results/ksec_phaseB1.json </w:t>
      </w:r>
      <w:r>
        <w:rPr>
          <w:rStyle w:val="DataTypeTok"/>
          <w:color w:val="000000"/>
        </w:rPr>
        <w:t xml:space="preserve">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--save-oof</w:t>
      </w:r>
      <w:r>
        <w:rPr>
          <w:rStyle w:val="NormalTok"/>
          <w:color w:val="000000"/>
        </w:rPr>
        <w:t xml:space="preserve"> results/ksec_phaseB1_oof.npz </w:t>
      </w:r>
      <w:r>
        <w:rPr>
          <w:rStyle w:val="DataTypeTok"/>
          <w:color w:val="000000"/>
        </w:rPr>
        <w:t xml:space="preserve">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--save-ckpt</w:t>
      </w:r>
      <w:r>
        <w:rPr>
          <w:rStyle w:val="NormalTok"/>
          <w:color w:val="000000"/>
        </w:rPr>
        <w:t xml:space="preserve"> results/ksec_phaseB1_seed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Stacked ensemble (k-SEC + DBVF) ⊕ LightGBM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scripts/10_stacking.py </w:t>
      </w:r>
      <w:r>
        <w:rPr>
          <w:rStyle w:val="AttributeTok"/>
          <w:color w:val="000000"/>
        </w:rPr>
        <w:t xml:space="preserve">--ksec-oof</w:t>
      </w:r>
      <w:r>
        <w:rPr>
          <w:rStyle w:val="NormalTok"/>
          <w:color w:val="000000"/>
        </w:rPr>
        <w:t xml:space="preserve"> results/ksec_phaseB1_oof.npz </w:t>
      </w:r>
      <w:r>
        <w:rPr>
          <w:rStyle w:val="DataTypeTok"/>
          <w:color w:val="000000"/>
        </w:rPr>
        <w:t xml:space="preserve">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--results</w:t>
      </w:r>
      <w:r>
        <w:rPr>
          <w:rStyle w:val="NormalTok"/>
          <w:color w:val="000000"/>
        </w:rPr>
        <w:t xml:space="preserve"> results/stacking_phaseB1.json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Virtual screen of 18,574 Li-containing MP crystals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scripts/16_virtual_screening.py </w:t>
      </w:r>
      <w:r>
        <w:rPr>
          <w:rStyle w:val="AttributeTok"/>
          <w:color w:val="000000"/>
        </w:rPr>
        <w:t xml:space="preserve">--device</w:t>
      </w:r>
      <w:r>
        <w:rPr>
          <w:rStyle w:val="NormalTok"/>
          <w:color w:val="000000"/>
        </w:rPr>
        <w:t xml:space="preserve"> cuda </w:t>
      </w:r>
      <w:r>
        <w:rPr>
          <w:rStyle w:val="DataTypeTok"/>
          <w:color w:val="000000"/>
        </w:rPr>
        <w:t xml:space="preserve">\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--results</w:t>
      </w:r>
      <w:r>
        <w:rPr>
          <w:rStyle w:val="NormalTok"/>
          <w:color w:val="000000"/>
        </w:rPr>
        <w:t xml:space="preserve"> results/virtual_screen_all.csv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Architectural ablation, interpretability, learning curve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scripts/06_ablation.py </w:t>
      </w:r>
      <w:r>
        <w:rPr>
          <w:rStyle w:val="AttributeTok"/>
          <w:color w:val="000000"/>
        </w:rPr>
        <w:t xml:space="preserve">--epochs</w:t>
      </w:r>
      <w:r>
        <w:rPr>
          <w:rStyle w:val="NormalTok"/>
          <w:color w:val="000000"/>
        </w:rPr>
        <w:t xml:space="preserve"> 30 </w:t>
      </w:r>
      <w:r>
        <w:rPr>
          <w:rStyle w:val="AttributeTok"/>
          <w:color w:val="000000"/>
        </w:rPr>
        <w:t xml:space="preserve">--seeds</w:t>
      </w:r>
      <w:r>
        <w:rPr>
          <w:rStyle w:val="NormalTok"/>
          <w:color w:val="000000"/>
        </w:rPr>
        <w:t xml:space="preserve"> 1 </w:t>
      </w:r>
      <w:r>
        <w:rPr>
          <w:rStyle w:val="AttributeTok"/>
          <w:color w:val="000000"/>
        </w:rPr>
        <w:t xml:space="preserve">--device</w:t>
      </w:r>
      <w:r>
        <w:rPr>
          <w:rStyle w:val="NormalTok"/>
          <w:color w:val="000000"/>
        </w:rPr>
        <w:t xml:space="preserve"> cuda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scripts/22_interpret_kubic.py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scripts/28_dbvf_interpret.py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scripts/29_learning_curve.py</w:t>
      </w:r>
    </w:p>
    <w:bookmarkEnd w:id="49"/>
    <w:bookmarkStart w:id="50" w:name="author-contributions-credit"/>
    <w:p>
      <w:pPr>
        <w:pStyle w:val="Heading2"/>
      </w:pPr>
      <w:r>
        <w:rPr>
          <w:color w:val="000000"/>
        </w:rPr>
        <w:t xml:space="preserve">Author contributions (CRediT)</w:t>
      </w:r>
    </w:p>
    <w:p>
      <w:pPr>
        <w:pStyle w:val="FirstParagraph"/>
      </w:pPr>
      <w:r>
        <w:rPr>
          <w:b/>
          <w:bCs/>
          <w:color w:val="000000"/>
        </w:rPr>
        <w:t xml:space="preserve">The author</w:t>
      </w:r>
      <w:r>
        <w:rPr>
          <w:color w:val="000000"/>
        </w:rPr>
        <w:t xml:space="preserve">: Conceptualization, Methodology, Software, Validation,</w:t>
      </w:r>
      <w:r>
        <w:rPr>
          <w:color w:val="000000"/>
        </w:rPr>
        <w:t xml:space="preserve"> </w:t>
      </w:r>
      <w:r>
        <w:rPr>
          <w:color w:val="000000"/>
        </w:rPr>
        <w:t xml:space="preserve">Formal analysis, Investigation, Data curation, Writing — original</w:t>
      </w:r>
      <w:r>
        <w:rPr>
          <w:color w:val="000000"/>
        </w:rPr>
        <w:t xml:space="preserve"> </w:t>
      </w:r>
      <w:r>
        <w:rPr>
          <w:color w:val="000000"/>
        </w:rPr>
        <w:t xml:space="preserve">draft, Writing — review &amp; editing, Visualization, Project</w:t>
      </w:r>
      <w:r>
        <w:rPr>
          <w:color w:val="000000"/>
        </w:rPr>
        <w:t xml:space="preserve"> </w:t>
      </w:r>
      <w:r>
        <w:rPr>
          <w:color w:val="000000"/>
        </w:rPr>
        <w:t xml:space="preserve">administration.</w:t>
      </w:r>
    </w:p>
    <w:bookmarkEnd w:id="50"/>
    <w:bookmarkStart w:id="51" w:name="funding"/>
    <w:p>
      <w:pPr>
        <w:pStyle w:val="Heading2"/>
      </w:pPr>
      <w:r>
        <w:rPr>
          <w:color w:val="000000"/>
        </w:rPr>
        <w:t xml:space="preserve">Funding</w:t>
      </w:r>
    </w:p>
    <w:p>
      <w:pPr>
        <w:pStyle w:val="FirstParagraph"/>
      </w:pPr>
      <w:r>
        <w:rPr>
          <w:color w:val="000000"/>
        </w:rPr>
        <w:t xml:space="preserve">This research received no external funding.</w:t>
      </w:r>
    </w:p>
    <w:bookmarkEnd w:id="51"/>
    <w:bookmarkStart w:id="52" w:name="conflicts-of-interest"/>
    <w:p>
      <w:pPr>
        <w:pStyle w:val="Heading2"/>
      </w:pPr>
      <w:r>
        <w:rPr>
          <w:color w:val="000000"/>
        </w:rPr>
        <w:t xml:space="preserve">Conflicts of interest</w:t>
      </w:r>
    </w:p>
    <w:p>
      <w:pPr>
        <w:pStyle w:val="FirstParagraph"/>
      </w:pPr>
      <w:r>
        <w:rPr>
          <w:color w:val="000000"/>
        </w:rPr>
        <w:t xml:space="preserve">The author declares no competing interests.</w:t>
      </w:r>
    </w:p>
    <w:bookmarkEnd w:id="52"/>
    <w:bookmarkStart w:id="53" w:name="acknowledgements"/>
    <w:p>
      <w:pPr>
        <w:pStyle w:val="Heading2"/>
      </w:pPr>
      <w:r>
        <w:rPr>
          <w:color w:val="000000"/>
        </w:rPr>
        <w:t xml:space="preserve">Acknowledgements</w:t>
      </w:r>
    </w:p>
    <w:p>
      <w:pPr>
        <w:pStyle w:val="FirstParagraph"/>
      </w:pPr>
      <w:r>
        <w:rPr>
          <w:color w:val="000000"/>
        </w:rPr>
        <w:t xml:space="preserve">The author thanks the OBELiX dataset authors (Pizarro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et al.</w:t>
      </w:r>
      <w:r>
        <w:rPr>
          <w:color w:val="000000"/>
        </w:rPr>
        <w:t xml:space="preserve">, NRC/Mila,</w:t>
      </w:r>
      <w:r>
        <w:rPr>
          <w:color w:val="000000"/>
        </w:rPr>
        <w:t xml:space="preserve"> </w:t>
      </w:r>
      <w:r>
        <w:rPr>
          <w:color w:val="000000"/>
        </w:rPr>
        <w:t xml:space="preserve">2025) for releasing the curated solid-electrolyte benchmark, and the</w:t>
      </w:r>
      <w:r>
        <w:rPr>
          <w:color w:val="000000"/>
        </w:rPr>
        <w:t xml:space="preserve"> </w:t>
      </w:r>
      <w:r>
        <w:rPr>
          <w:color w:val="000000"/>
        </w:rPr>
        <w:t xml:space="preserve">Materials Project consortium for the public crystal-structure database</w:t>
      </w:r>
      <w:r>
        <w:rPr>
          <w:color w:val="000000"/>
        </w:rPr>
        <w:t xml:space="preserve"> </w:t>
      </w:r>
      <w:r>
        <w:rPr>
          <w:color w:val="000000"/>
        </w:rPr>
        <w:t xml:space="preserve">that supported encoder pretraining and virtual screening.</w:t>
      </w:r>
    </w:p>
    <w:bookmarkEnd w:id="53"/>
    <w:bookmarkStart w:id="54" w:name="use-of-ai-tools-per-elsevier-policy"/>
    <w:p>
      <w:pPr>
        <w:pStyle w:val="Heading2"/>
      </w:pPr>
      <w:r>
        <w:rPr>
          <w:color w:val="000000"/>
        </w:rPr>
        <w:t xml:space="preserve">Use of AI tools (per Elsevier policy)</w:t>
      </w:r>
    </w:p>
    <w:p>
      <w:pPr>
        <w:pStyle w:val="FirstParagraph"/>
      </w:pPr>
      <w:r>
        <w:rPr>
          <w:color w:val="000000"/>
        </w:rPr>
        <w:t xml:space="preserve">AI-assisted writing tools were used in preparation of this manuscript.</w:t>
      </w:r>
      <w:r>
        <w:rPr>
          <w:color w:val="000000"/>
        </w:rPr>
        <w:t xml:space="preserve"> </w:t>
      </w:r>
      <w:r>
        <w:rPr>
          <w:color w:val="000000"/>
        </w:rPr>
        <w:t xml:space="preserve">The author takes full responsibility for the research design, code,</w:t>
      </w:r>
      <w:r>
        <w:rPr>
          <w:color w:val="000000"/>
        </w:rPr>
        <w:t xml:space="preserve"> </w:t>
      </w:r>
      <w:r>
        <w:rPr>
          <w:color w:val="000000"/>
        </w:rPr>
        <w:t xml:space="preserve">experimental results, conclusions, and any errors. All scientific</w:t>
      </w:r>
      <w:r>
        <w:rPr>
          <w:color w:val="000000"/>
        </w:rPr>
        <w:t xml:space="preserve"> </w:t>
      </w:r>
      <w:r>
        <w:rPr>
          <w:color w:val="000000"/>
        </w:rPr>
        <w:t xml:space="preserve">content (architectures, training, benchmarks, ablations,</w:t>
      </w:r>
      <w:r>
        <w:rPr>
          <w:color w:val="000000"/>
        </w:rPr>
        <w:t xml:space="preserve"> </w:t>
      </w:r>
      <w:r>
        <w:rPr>
          <w:color w:val="000000"/>
        </w:rPr>
        <w:t xml:space="preserve">interpretability, virtual screening, learning curves) is the author’s</w:t>
      </w:r>
      <w:r>
        <w:rPr>
          <w:color w:val="000000"/>
        </w:rPr>
        <w:t xml:space="preserve"> </w:t>
      </w:r>
      <w:r>
        <w:rPr>
          <w:color w:val="000000"/>
        </w:rPr>
        <w:t xml:space="preserve">original work; AI assistance was limited to drafting and editing of</w:t>
      </w:r>
      <w:r>
        <w:rPr>
          <w:color w:val="000000"/>
        </w:rPr>
        <w:t xml:space="preserve"> </w:t>
      </w:r>
      <w:r>
        <w:rPr>
          <w:color w:val="000000"/>
        </w:rPr>
        <w:t xml:space="preserve">manuscript prose.</w:t>
      </w:r>
    </w:p>
    <w:bookmarkEnd w:id="54"/>
    <w:bookmarkStart w:id="55" w:name="figure-captions"/>
    <w:p>
      <w:pPr>
        <w:pStyle w:val="Heading2"/>
      </w:pPr>
      <w:r>
        <w:rPr>
          <w:color w:val="000000"/>
        </w:rPr>
        <w:t xml:space="preserve">Figure captions</w:t>
      </w:r>
    </w:p>
    <w:p>
      <w:pPr>
        <w:pStyle w:val="FirstParagraph"/>
      </w:pPr>
      <w:r>
        <w:rPr>
          <w:b/>
          <w:bCs/>
          <w:color w:val="000000"/>
        </w:rPr>
        <w:t xml:space="preserve">Figure 1.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Architecture overview.</w:t>
      </w:r>
      <w:r>
        <w:rPr>
          <w:color w:val="000000"/>
        </w:rPr>
        <w:t xml:space="preserve"> </w:t>
      </w:r>
      <w:r>
        <w:rPr>
          <w:color w:val="000000"/>
        </w:rPr>
        <w:t xml:space="preserve">Two-stream block diagram of the</w:t>
      </w:r>
      <w:r>
        <w:rPr>
          <w:color w:val="000000"/>
        </w:rPr>
        <w:t xml:space="preserve"> </w:t>
      </w:r>
      <w:r>
        <w:rPr>
          <w:color w:val="000000"/>
        </w:rPr>
        <w:t xml:space="preserve">joint k-SEC + DBVF model. The k-SEC encoder (top) consumes atomic</w:t>
      </w:r>
      <w:r>
        <w:rPr>
          <w:color w:val="000000"/>
        </w:rPr>
        <w:t xml:space="preserve"> </w:t>
      </w:r>
      <w:r>
        <w:rPr>
          <w:color w:val="000000"/>
        </w:rPr>
        <w:t xml:space="preserve">positions and atomic numbers, computes complex structure factors on a</w:t>
      </w:r>
      <w:r>
        <w:rPr>
          <w:color w:val="000000"/>
        </w:rPr>
        <w:t xml:space="preserve"> </w:t>
      </w:r>
      <w:r>
        <w:rPr>
          <w:color w:val="000000"/>
        </w:rPr>
        <w:t xml:space="preserve">cubic-symmetrised wavevector grid, and processes them through three</w:t>
      </w:r>
      <w:r>
        <w:rPr>
          <w:color w:val="000000"/>
        </w:rPr>
        <w:t xml:space="preserve"> </w:t>
      </w:r>
      <w:r>
        <w:rPr>
          <w:color w:val="000000"/>
        </w:rPr>
        <w:t xml:space="preserve">blocks of cubic-harmonic directional filtering and cross-shell gated</w:t>
      </w:r>
      <w:r>
        <w:rPr>
          <w:color w:val="000000"/>
        </w:rPr>
        <w:t xml:space="preserve"> </w:t>
      </w:r>
      <w:r>
        <w:rPr>
          <w:color w:val="000000"/>
        </w:rPr>
        <w:t xml:space="preserve">attention. The DBVF module (bottom) computes per-Li bond-valence sums</w:t>
      </w:r>
      <w:r>
        <w:rPr>
          <w:color w:val="000000"/>
        </w:rPr>
        <w:t xml:space="preserve"> </w:t>
      </w:r>
      <w:r>
        <w:rPr>
          <w:color w:val="000000"/>
        </w:rPr>
        <w:t xml:space="preserve">with learnable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(r₀, b)</w:t>
      </w:r>
      <w:r>
        <w:rPr>
          <w:color w:val="000000"/>
        </w:rPr>
        <w:t xml:space="preserve"> </w:t>
      </w:r>
      <w:r>
        <w:rPr>
          <w:color w:val="000000"/>
        </w:rPr>
        <w:t xml:space="preserve">per anion species and pools them into an 8-d</w:t>
      </w:r>
      <w:r>
        <w:rPr>
          <w:color w:val="000000"/>
        </w:rPr>
        <w:t xml:space="preserve"> </w:t>
      </w:r>
      <w:r>
        <w:rPr>
          <w:color w:val="000000"/>
        </w:rPr>
        <w:t xml:space="preserve">valence descriptor. Both streams are concatenated with hand-crafted</w:t>
      </w:r>
      <w:r>
        <w:rPr>
          <w:color w:val="000000"/>
        </w:rPr>
        <w:t xml:space="preserve"> </w:t>
      </w:r>
      <w:r>
        <w:rPr>
          <w:color w:val="000000"/>
        </w:rPr>
        <w:t xml:space="preserve">descriptors (Magpie + lattice + geometric) and consumed by a 3-layer</w:t>
      </w:r>
      <w:r>
        <w:rPr>
          <w:color w:val="000000"/>
        </w:rPr>
        <w:t xml:space="preserve"> </w:t>
      </w:r>
      <w:r>
        <w:rPr>
          <w:color w:val="000000"/>
        </w:rPr>
        <w:t xml:space="preserve">MLP that regresses log₁₀σ. All k-SEC operations are cubic-equivariant</w:t>
      </w:r>
      <w:r>
        <w:rPr>
          <w:color w:val="000000"/>
        </w:rPr>
        <w:t xml:space="preserve"> </w:t>
      </w:r>
      <w:r>
        <w:rPr>
          <w:color w:val="000000"/>
        </w:rPr>
        <w:t xml:space="preserve">by construction (Section 3.2).</w:t>
      </w:r>
    </w:p>
    <w:p>
      <w:pPr>
        <w:pStyle w:val="BodyText"/>
      </w:pPr>
      <w:r>
        <w:rPr>
          <w:b/>
          <w:bCs/>
          <w:color w:val="000000"/>
        </w:rPr>
        <w:t xml:space="preserve">Figure 2.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Headline benchmark on OBELiX.</w:t>
      </w:r>
      <w:r>
        <w:rPr>
          <w:color w:val="000000"/>
        </w:rPr>
        <w:t xml:space="preserve"> </w:t>
      </w:r>
      <w:r>
        <w:rPr>
          <w:color w:val="000000"/>
        </w:rPr>
        <w:t xml:space="preserve">Mean absolute error on</w:t>
      </w:r>
      <w:r>
        <w:rPr>
          <w:color w:val="000000"/>
        </w:rPr>
        <w:t xml:space="preserve"> </w:t>
      </w:r>
      <w:r>
        <w:rPr>
          <w:color w:val="000000"/>
        </w:rPr>
        <w:t xml:space="preserve">log₁₀σ across all configurations (n = 281, 5-fold stratified CV × 5</w:t>
      </w:r>
      <w:r>
        <w:rPr>
          <w:color w:val="000000"/>
        </w:rPr>
        <w:t xml:space="preserve"> </w:t>
      </w:r>
      <w:r>
        <w:rPr>
          <w:color w:val="000000"/>
        </w:rPr>
        <w:t xml:space="preserve">seeds, ensemble across seeds). The dotted lines mark the stacked</w:t>
      </w:r>
      <w:r>
        <w:rPr>
          <w:color w:val="000000"/>
        </w:rPr>
        <w:t xml:space="preserve"> </w:t>
      </w:r>
      <w:r>
        <w:rPr>
          <w:color w:val="000000"/>
        </w:rPr>
        <w:t xml:space="preserve">headline (0.980) and the LightGBM full-features tabular ceiling</w:t>
      </w:r>
      <w:r>
        <w:rPr>
          <w:color w:val="000000"/>
        </w:rPr>
        <w:t xml:space="preserve"> </w:t>
      </w:r>
      <w:r>
        <w:rPr>
          <w:color w:val="000000"/>
        </w:rPr>
        <w:t xml:space="preserve">(0.924). Error bars are per-seed standard deviations where 5-seed</w:t>
      </w:r>
      <w:r>
        <w:rPr>
          <w:color w:val="000000"/>
        </w:rPr>
        <w:t xml:space="preserve"> </w:t>
      </w:r>
      <w:r>
        <w:rPr>
          <w:color w:val="000000"/>
        </w:rPr>
        <w:t xml:space="preserve">runs were performed. The k-SEC + DBVF standalone bar (1.047) is, to</w:t>
      </w:r>
      <w:r>
        <w:rPr>
          <w:color w:val="000000"/>
        </w:rPr>
        <w:t xml:space="preserve"> </w:t>
      </w:r>
      <w:r>
        <w:rPr>
          <w:color w:val="000000"/>
        </w:rPr>
        <w:t xml:space="preserve">my knowledge, the lowest MAE reported for a neural model on this</w:t>
      </w:r>
      <w:r>
        <w:rPr>
          <w:color w:val="000000"/>
        </w:rPr>
        <w:t xml:space="preserve"> </w:t>
      </w:r>
      <w:r>
        <w:rPr>
          <w:color w:val="000000"/>
        </w:rPr>
        <w:t xml:space="preserve">filter; the stacked bar (0.980) is the lowest MAE I obtain in this</w:t>
      </w:r>
      <w:r>
        <w:rPr>
          <w:color w:val="000000"/>
        </w:rPr>
        <w:t xml:space="preserve"> </w:t>
      </w:r>
      <w:r>
        <w:rPr>
          <w:color w:val="000000"/>
        </w:rPr>
        <w:t xml:space="preserve">work.</w:t>
      </w:r>
    </w:p>
    <w:p>
      <w:pPr>
        <w:pStyle w:val="BodyText"/>
      </w:pPr>
      <w:r>
        <w:rPr>
          <w:b/>
          <w:bCs/>
          <w:color w:val="000000"/>
        </w:rPr>
        <w:t xml:space="preserve">Figure 3.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Architectural ablation of the k-SEC encoder.</w:t>
      </w:r>
      <w:r>
        <w:rPr>
          <w:color w:val="000000"/>
        </w:rPr>
        <w:t xml:space="preserve"> </w:t>
      </w:r>
      <w:r>
        <w:rPr>
          <w:color w:val="000000"/>
        </w:rPr>
        <w:t xml:space="preserve">4-cell</w:t>
      </w:r>
      <w:r>
        <w:rPr>
          <w:color w:val="000000"/>
        </w:rPr>
        <w:t xml:space="preserve"> </w:t>
      </w:r>
      <w:r>
        <w:rPr>
          <w:color w:val="000000"/>
        </w:rPr>
        <w:t xml:space="preserve">ablation over filter type (radial vs. cubic-harmonic) and attention</w:t>
      </w:r>
      <w:r>
        <w:rPr>
          <w:color w:val="000000"/>
        </w:rPr>
        <w:t xml:space="preserve"> </w:t>
      </w:r>
      <w:r>
        <w:rPr>
          <w:color w:val="000000"/>
        </w:rPr>
        <w:t xml:space="preserve">type (shell-restricted vs. cross-shell gated). Cross-shell gated</w:t>
      </w:r>
      <w:r>
        <w:rPr>
          <w:color w:val="000000"/>
        </w:rPr>
        <w:t xml:space="preserve"> </w:t>
      </w:r>
      <w:r>
        <w:rPr>
          <w:color w:val="000000"/>
        </w:rPr>
        <w:t xml:space="preserve">attention contributes 62 % of the v1→v2 gain and the cubic-harmonic</w:t>
      </w:r>
      <w:r>
        <w:rPr>
          <w:color w:val="000000"/>
        </w:rPr>
        <w:t xml:space="preserve"> </w:t>
      </w:r>
      <w:r>
        <w:rPr>
          <w:color w:val="000000"/>
        </w:rPr>
        <w:t xml:space="preserve">filter 29 %, with a +9 % synergy.</w:t>
      </w:r>
    </w:p>
    <w:p>
      <w:pPr>
        <w:pStyle w:val="BodyText"/>
      </w:pPr>
      <w:r>
        <w:rPr>
          <w:b/>
          <w:bCs/>
          <w:color w:val="000000"/>
        </w:rPr>
        <w:t xml:space="preserve">Figure 4.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DBVF is architecture, not feature.</w:t>
      </w:r>
      <w:r>
        <w:rPr>
          <w:color w:val="000000"/>
        </w:rPr>
        <w:t xml:space="preserve"> </w:t>
      </w:r>
      <w:r>
        <w:rPr>
          <w:color w:val="000000"/>
        </w:rPr>
        <w:t xml:space="preserve">Three bars showing</w:t>
      </w:r>
      <w:r>
        <w:rPr>
          <w:color w:val="000000"/>
        </w:rPr>
        <w:t xml:space="preserve"> </w:t>
      </w:r>
      <w:r>
        <w:rPr>
          <w:color w:val="000000"/>
        </w:rPr>
        <w:t xml:space="preserve">that (i) LightGBM with hand-crafted features alone attains MAE 0.924,</w:t>
      </w:r>
      <w:r>
        <w:rPr>
          <w:color w:val="000000"/>
        </w:rPr>
        <w:t xml:space="preserve"> </w:t>
      </w:r>
      <w:r>
        <w:rPr>
          <w:color w:val="000000"/>
        </w:rPr>
        <w:t xml:space="preserve">(ii) adding DBVF features extracted from a trained checkpoint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worsens</w:t>
      </w:r>
      <w:r>
        <w:rPr>
          <w:color w:val="000000"/>
        </w:rPr>
        <w:t xml:space="preserve"> </w:t>
      </w:r>
      <w:r>
        <w:rPr>
          <w:color w:val="000000"/>
        </w:rPr>
        <w:t xml:space="preserve">LightGBM to 0.933, while (iii) k-SEC + DBVF trained</w:t>
      </w:r>
      <w:r>
        <w:rPr>
          <w:color w:val="000000"/>
        </w:rPr>
        <w:t xml:space="preserve"> </w:t>
      </w:r>
      <w:r>
        <w:rPr>
          <w:color w:val="000000"/>
        </w:rPr>
        <w:t xml:space="preserve">end-to-end attains 1.047. The tiny worsening (+0.009) under feature</w:t>
      </w:r>
      <w:r>
        <w:rPr>
          <w:color w:val="000000"/>
        </w:rPr>
        <w:t xml:space="preserve"> </w:t>
      </w:r>
      <w:r>
        <w:rPr>
          <w:color w:val="000000"/>
        </w:rPr>
        <w:t xml:space="preserve">extraction is within fold-to-fold variance, but importantly DBVF as a</w:t>
      </w:r>
      <w:r>
        <w:rPr>
          <w:color w:val="000000"/>
        </w:rPr>
        <w:t xml:space="preserve"> </w:t>
      </w:r>
      <w:r>
        <w:rPr>
          <w:color w:val="000000"/>
        </w:rPr>
        <w:t xml:space="preserve">feature does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not</w:t>
      </w:r>
      <w:r>
        <w:rPr>
          <w:color w:val="000000"/>
        </w:rPr>
        <w:t xml:space="preserve"> </w:t>
      </w:r>
      <w:r>
        <w:rPr>
          <w:color w:val="000000"/>
        </w:rPr>
        <w:t xml:space="preserve">help — the gain in (iii) is realised only</w:t>
      </w:r>
      <w:r>
        <w:rPr>
          <w:color w:val="000000"/>
        </w:rPr>
        <w:t xml:space="preserve"> </w:t>
      </w:r>
      <w:r>
        <w:rPr>
          <w:color w:val="000000"/>
        </w:rPr>
        <w:t xml:space="preserve">through end-to-end training-time gradient flow.</w:t>
      </w:r>
    </w:p>
    <w:p>
      <w:pPr>
        <w:pStyle w:val="BodyText"/>
      </w:pPr>
      <w:r>
        <w:rPr>
          <w:b/>
          <w:bCs/>
          <w:color w:val="000000"/>
        </w:rPr>
        <w:t xml:space="preserve">Figure 5.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Headline parity and per-σ-bin error.</w:t>
      </w:r>
      <w:r>
        <w:rPr>
          <w:color w:val="000000"/>
        </w:rPr>
        <w:t xml:space="preserve"> </w:t>
      </w:r>
      <w:r>
        <w:rPr>
          <w:color w:val="000000"/>
        </w:rPr>
        <w:t xml:space="preserve">Left: scatter of</w:t>
      </w:r>
      <w:r>
        <w:rPr>
          <w:color w:val="000000"/>
        </w:rPr>
        <w:t xml:space="preserve"> </w:t>
      </w:r>
      <w:r>
        <w:rPr>
          <w:color w:val="000000"/>
        </w:rPr>
        <w:t xml:space="preserve">predicted vs. true log₁₀σ for all 281 OOF predictions; Spearman</w:t>
      </w:r>
      <w:r>
        <w:rPr>
          <w:color w:val="000000"/>
        </w:rPr>
        <w:t xml:space="preserve"> </w:t>
      </w:r>
      <w:r>
        <w:rPr>
          <w:color w:val="000000"/>
        </w:rPr>
        <w:t xml:space="preserve">ρ = 0.78. Right: MAE decomposed by σ-magnitude bin. The model is</w:t>
      </w:r>
      <w:r>
        <w:rPr>
          <w:color w:val="000000"/>
        </w:rPr>
        <w:t xml:space="preserve"> </w:t>
      </w:r>
      <w:r>
        <w:rPr>
          <w:color w:val="000000"/>
        </w:rPr>
        <w:t xml:space="preserve">most accurate in the screening-relevant top-σ regime (log₁₀σ &gt; −7,</w:t>
      </w:r>
      <w:r>
        <w:rPr>
          <w:color w:val="000000"/>
        </w:rPr>
        <w:t xml:space="preserve"> </w:t>
      </w:r>
      <w:r>
        <w:rPr>
          <w:color w:val="000000"/>
        </w:rPr>
        <w:t xml:space="preserve">MAE 0.81) and least accurate in the noise-floor regime</w:t>
      </w:r>
      <w:r>
        <w:rPr>
          <w:color w:val="000000"/>
        </w:rPr>
        <w:t xml:space="preserve"> </w:t>
      </w:r>
      <w:r>
        <w:rPr>
          <w:color w:val="000000"/>
        </w:rPr>
        <w:t xml:space="preserve">(log₁₀σ &lt; −10, MAE 3.6).</w:t>
      </w:r>
    </w:p>
    <w:p>
      <w:pPr>
        <w:pStyle w:val="BodyText"/>
      </w:pPr>
      <w:r>
        <w:rPr>
          <w:b/>
          <w:bCs/>
          <w:color w:val="000000"/>
        </w:rPr>
        <w:t xml:space="preserve">Figure 6.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Virtual screen of 18,574 Materials Project crystals.</w:t>
      </w:r>
      <w:r>
        <w:rPr>
          <w:color w:val="000000"/>
        </w:rPr>
        <w:t xml:space="preserve"> </w:t>
      </w:r>
      <w:r>
        <w:rPr>
          <w:color w:val="000000"/>
        </w:rPr>
        <w:t xml:space="preserve">Top-15 predicted fast Li-ion conductors, colour-coded by canonical</w:t>
      </w:r>
      <w:r>
        <w:rPr>
          <w:color w:val="000000"/>
        </w:rPr>
        <w:t xml:space="preserve"> </w:t>
      </w:r>
      <w:r>
        <w:rPr>
          <w:color w:val="000000"/>
        </w:rPr>
        <w:t xml:space="preserve">fast-conductor family. The four known families (anti-perovskites,</w:t>
      </w:r>
      <w:r>
        <w:rPr>
          <w:color w:val="000000"/>
        </w:rPr>
        <w:t xml:space="preserve"> </w:t>
      </w:r>
      <w:r>
        <w:rPr>
          <w:color w:val="000000"/>
        </w:rPr>
        <w:t xml:space="preserve">LGPS, argyrodites, chloride double-perovskites) are identified</w:t>
      </w:r>
      <w:r>
        <w:rPr>
          <w:color w:val="000000"/>
        </w:rPr>
        <w:t xml:space="preserve"> </w:t>
      </w:r>
      <w:r>
        <w:rPr>
          <w:color w:val="000000"/>
        </w:rPr>
        <w:t xml:space="preserve">without family-level supervision; one fluoride (Li₂Cu₃F₁₁, rank 11)</w:t>
      </w:r>
      <w:r>
        <w:rPr>
          <w:color w:val="000000"/>
        </w:rPr>
        <w:t xml:space="preserve"> </w:t>
      </w:r>
      <w:r>
        <w:rPr>
          <w:color w:val="000000"/>
        </w:rPr>
        <w:t xml:space="preserve">does not belong to a canonical fast-conductor family.</w:t>
      </w:r>
    </w:p>
    <w:p>
      <w:pPr>
        <w:pStyle w:val="BodyText"/>
      </w:pPr>
      <w:r>
        <w:rPr>
          <w:b/>
          <w:bCs/>
          <w:color w:val="000000"/>
        </w:rPr>
        <w:t xml:space="preserve">Figure 7.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Out-of-distribution by structural family.</w:t>
      </w:r>
      <w:r>
        <w:rPr>
          <w:color w:val="000000"/>
        </w:rPr>
        <w:t xml:space="preserve"> </w:t>
      </w:r>
      <w:r>
        <w:rPr>
          <w:color w:val="000000"/>
        </w:rPr>
        <w:t xml:space="preserve">Hold-out-</w:t>
      </w:r>
      <w:r>
        <w:rPr>
          <w:color w:val="000000"/>
        </w:rPr>
        <w:t xml:space="preserve"> </w:t>
      </w:r>
      <w:r>
        <w:rPr>
          <w:color w:val="000000"/>
        </w:rPr>
        <w:t xml:space="preserve">family MAE for the three families with n_test ≥ 10. Both argyrodite</w:t>
      </w:r>
      <w:r>
        <w:rPr>
          <w:color w:val="000000"/>
        </w:rPr>
        <w:t xml:space="preserve"> </w:t>
      </w:r>
      <w:r>
        <w:rPr>
          <w:color w:val="000000"/>
        </w:rPr>
        <w:t xml:space="preserve">and garnet held-out folds achieve lower MAE than the in-distribution</w:t>
      </w:r>
      <w:r>
        <w:rPr>
          <w:color w:val="000000"/>
        </w:rPr>
        <w:t xml:space="preserve"> </w:t>
      </w:r>
      <w:r>
        <w:rPr>
          <w:color w:val="000000"/>
        </w:rPr>
        <w:t xml:space="preserve">per-seed mean of 1.233 (dashed line), supporting the claim that the</w:t>
      </w:r>
      <w:r>
        <w:rPr>
          <w:color w:val="000000"/>
        </w:rPr>
        <w:t xml:space="preserve"> </w:t>
      </w:r>
      <w:r>
        <w:rPr>
          <w:color w:val="000000"/>
        </w:rPr>
        <w:t xml:space="preserve">architecture learns transferable structural features rather than</w:t>
      </w:r>
      <w:r>
        <w:rPr>
          <w:color w:val="000000"/>
        </w:rPr>
        <w:t xml:space="preserve"> </w:t>
      </w:r>
      <w:r>
        <w:rPr>
          <w:color w:val="000000"/>
        </w:rPr>
        <w:t xml:space="preserve">family-specific chemistry.</w:t>
      </w:r>
    </w:p>
    <w:p>
      <w:pPr>
        <w:pStyle w:val="BodyText"/>
      </w:pPr>
      <w:r>
        <w:rPr>
          <w:b/>
          <w:bCs/>
          <w:color w:val="000000"/>
        </w:rPr>
        <w:t xml:space="preserve">Figure 8.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Learned bond-valence parameters.</w:t>
      </w:r>
      <w:r>
        <w:rPr>
          <w:color w:val="000000"/>
        </w:rPr>
        <w:t xml:space="preserve"> </w:t>
      </w:r>
      <w:r>
        <w:rPr>
          <w:color w:val="000000"/>
        </w:rPr>
        <w:t xml:space="preserve">Per-anion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r₀</w:t>
      </w:r>
      <w:r>
        <w:rPr>
          <w:color w:val="000000"/>
        </w:rPr>
        <w:t xml:space="preserve"> </w:t>
      </w:r>
      <w:r>
        <w:rPr>
          <w:color w:val="000000"/>
        </w:rPr>
        <w:t xml:space="preserve">(left) and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b</w:t>
      </w:r>
      <w:r>
        <w:rPr>
          <w:color w:val="000000"/>
        </w:rPr>
        <w:t xml:space="preserve"> </w:t>
      </w:r>
      <w:r>
        <w:rPr>
          <w:color w:val="000000"/>
        </w:rPr>
        <w:t xml:space="preserve">(right) from each of the five Phase B1 seed</w:t>
      </w:r>
      <w:r>
        <w:rPr>
          <w:color w:val="000000"/>
        </w:rPr>
        <w:t xml:space="preserve"> </w:t>
      </w:r>
      <w:r>
        <w:rPr>
          <w:color w:val="000000"/>
        </w:rPr>
        <w:t xml:space="preserve">checkpoints, compared against the Brown 2002 tabulated initialisation.</w:t>
      </w:r>
      <w:r>
        <w:rPr>
          <w:color w:val="000000"/>
        </w:rPr>
        <w:t xml:space="preserve"> </w:t>
      </w:r>
      <w:r>
        <w:rPr>
          <w:color w:val="000000"/>
        </w:rPr>
        <w:t xml:space="preserve">For seven of the eight species the learned values stay within</w:t>
      </w:r>
      <w:r>
        <w:rPr>
          <w:color w:val="000000"/>
        </w:rPr>
        <w:t xml:space="preserve"> </w:t>
      </w:r>
      <w:r>
        <w:rPr>
          <w:color w:val="000000"/>
        </w:rPr>
        <w:t xml:space="preserve">± 0.04 Å of the init; the only notable shift is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Br</w:t>
      </w:r>
      <w:r>
        <w:rPr>
          <w:color w:val="000000"/>
        </w:rPr>
        <w:t xml:space="preserve"> </w:t>
      </w:r>
      <w:r>
        <w:rPr>
          <w:color w:val="000000"/>
        </w:rPr>
        <w:t xml:space="preserve">(</w:t>
      </w:r>
      <w:r>
        <w:rPr>
          <w:rStyle w:val="VerbatimChar"/>
          <w:color w:val="000000"/>
        </w:rPr>
        <w:t xml:space="preserve">r₀: 1.92 → 1.84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b: 0.40 → 0.37</w:t>
      </w:r>
      <w:r>
        <w:rPr>
          <w:color w:val="000000"/>
        </w:rPr>
        <w:t xml:space="preserve">). The architecture preserves</w:t>
      </w:r>
      <w:r>
        <w:rPr>
          <w:color w:val="000000"/>
        </w:rPr>
        <w:t xml:space="preserve"> </w:t>
      </w:r>
      <w:r>
        <w:rPr>
          <w:color w:val="000000"/>
        </w:rPr>
        <w:t xml:space="preserve">rather than overrides the chemical inductive bias.</w:t>
      </w:r>
    </w:p>
    <w:p>
      <w:pPr>
        <w:pStyle w:val="BodyText"/>
      </w:pPr>
      <w:r>
        <w:rPr>
          <w:b/>
          <w:bCs/>
          <w:color w:val="000000"/>
        </w:rPr>
        <w:t xml:space="preserve">Figure 9.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Learning curve on OBELiX.</w:t>
      </w:r>
      <w:r>
        <w:rPr>
          <w:color w:val="000000"/>
        </w:rPr>
        <w:t xml:space="preserve"> </w:t>
      </w:r>
      <w:r>
        <w:rPr>
          <w:color w:val="000000"/>
        </w:rPr>
        <w:t xml:space="preserve">Per-seed mean MAE as a</w:t>
      </w:r>
      <w:r>
        <w:rPr>
          <w:color w:val="000000"/>
        </w:rPr>
        <w:t xml:space="preserve"> </w:t>
      </w:r>
      <w:r>
        <w:rPr>
          <w:color w:val="000000"/>
        </w:rPr>
        <w:t xml:space="preserve">function of training-set size for k-SEC + DBVF (blue, this work) and</w:t>
      </w:r>
      <w:r>
        <w:rPr>
          <w:color w:val="000000"/>
        </w:rPr>
        <w:t xml:space="preserve"> </w:t>
      </w:r>
      <w:r>
        <w:rPr>
          <w:color w:val="000000"/>
        </w:rPr>
        <w:t xml:space="preserve">LightGBM on hand-crafted features (gray) at four training fractions</w:t>
      </w:r>
      <w:r>
        <w:rPr>
          <w:color w:val="000000"/>
        </w:rPr>
        <w:t xml:space="preserve"> </w:t>
      </w:r>
      <w:r>
        <w:rPr>
          <w:color w:val="000000"/>
        </w:rPr>
        <w:t xml:space="preserve">{0.4, 0.6, 0.8, 1.0} (n_train per fold ≈ {90, 135, 180, 225}). Test</w:t>
      </w:r>
      <w:r>
        <w:rPr>
          <w:color w:val="000000"/>
        </w:rPr>
        <w:t xml:space="preserve"> </w:t>
      </w:r>
      <w:r>
        <w:rPr>
          <w:color w:val="000000"/>
        </w:rPr>
        <w:t xml:space="preserve">fold and stratification are held fixed across n; only the training</w:t>
      </w:r>
      <w:r>
        <w:rPr>
          <w:color w:val="000000"/>
        </w:rPr>
        <w:t xml:space="preserve"> </w:t>
      </w:r>
      <w:r>
        <w:rPr>
          <w:color w:val="000000"/>
        </w:rPr>
        <w:t xml:space="preserve">fold is subsampled. Error bars are per-seed standard deviations</w:t>
      </w:r>
      <w:r>
        <w:rPr>
          <w:color w:val="000000"/>
        </w:rPr>
        <w:t xml:space="preserve"> </w:t>
      </w:r>
      <w:r>
        <w:rPr>
          <w:color w:val="000000"/>
        </w:rPr>
        <w:t xml:space="preserve">(3 seeds for k-SEC, 5 for LightGBM, except n_train = 135 where the</w:t>
      </w:r>
      <w:r>
        <w:rPr>
          <w:color w:val="000000"/>
        </w:rPr>
        <w:t xml:space="preserve"> </w:t>
      </w:r>
      <w:r>
        <w:rPr>
          <w:color w:val="000000"/>
        </w:rPr>
        <w:t xml:space="preserve">k-SEC point used 2 seeds — see SI-12b). The k-SEC curve drops</w:t>
      </w:r>
      <w:r>
        <w:rPr>
          <w:color w:val="000000"/>
        </w:rPr>
        <w:t xml:space="preserve"> </w:t>
      </w:r>
      <w:r>
        <w:rPr>
          <w:color w:val="000000"/>
        </w:rPr>
        <w:t xml:space="preserve">steeply from n = 90 to n = 135 (a 0.19 MAE reduction with 45 added</w:t>
      </w:r>
      <w:r>
        <w:rPr>
          <w:color w:val="000000"/>
        </w:rPr>
        <w:t xml:space="preserve"> </w:t>
      </w:r>
      <w:r>
        <w:rPr>
          <w:color w:val="000000"/>
        </w:rPr>
        <w:t xml:space="preserve">samples) and then plateaus near 1.27 MAE; the LightGBM curve</w:t>
      </w:r>
      <w:r>
        <w:rPr>
          <w:color w:val="000000"/>
        </w:rPr>
        <w:t xml:space="preserve"> </w:t>
      </w:r>
      <w:r>
        <w:rPr>
          <w:color w:val="000000"/>
        </w:rPr>
        <w:t xml:space="preserve">decreases roughly linearly. The gap (Δ) shrinks from +0.31 at</w:t>
      </w:r>
      <w:r>
        <w:rPr>
          <w:color w:val="000000"/>
        </w:rPr>
        <w:t xml:space="preserve"> </w:t>
      </w:r>
      <w:r>
        <w:rPr>
          <w:color w:val="000000"/>
        </w:rPr>
        <w:t xml:space="preserve">n = 90 to +0.17 at n = 135, then re-widens slightly to +0.20–0.22 at</w:t>
      </w:r>
      <w:r>
        <w:rPr>
          <w:color w:val="000000"/>
        </w:rPr>
        <w:t xml:space="preserve"> </w:t>
      </w:r>
      <w:r>
        <w:rPr>
          <w:color w:val="000000"/>
        </w:rPr>
        <w:t xml:space="preserve">n ≥ 135. I read this as evidence of a few-shot transfer benefit from</w:t>
      </w:r>
      <w:r>
        <w:rPr>
          <w:color w:val="000000"/>
        </w:rPr>
        <w:t xml:space="preserve"> </w:t>
      </w:r>
      <w:r>
        <w:rPr>
          <w:color w:val="000000"/>
        </w:rPr>
        <w:t xml:space="preserve">the architectural priors at very small n, with the gap plateauing</w:t>
      </w:r>
      <w:r>
        <w:rPr>
          <w:color w:val="000000"/>
        </w:rPr>
        <w:t xml:space="preserve"> </w:t>
      </w:r>
      <w:r>
        <w:rPr>
          <w:color w:val="000000"/>
        </w:rPr>
        <w:t xml:space="preserve">rather than closing within the OBELiX data range.</w:t>
      </w:r>
    </w:p>
    <w:bookmarkEnd w:id="55"/>
    <w:bookmarkStart w:id="56" w:name="references"/>
    <w:p>
      <w:pPr>
        <w:pStyle w:val="Heading2"/>
      </w:pPr>
      <w:r>
        <w:rPr>
          <w:color w:val="000000"/>
        </w:rPr>
        <w:t xml:space="preserve">References</w:t>
      </w:r>
    </w:p>
    <w:p>
      <w:pPr>
        <w:pStyle w:val="FirstParagraph"/>
      </w:pPr>
      <w:r>
        <w:rPr>
          <w:color w:val="000000"/>
        </w:rPr>
        <w:t xml:space="preserve">(Camera-ready BibTeX is provided as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refs.bib</w:t>
      </w:r>
      <w:r>
        <w:rPr>
          <w:color w:val="000000"/>
        </w:rPr>
        <w:t xml:space="preserve">. References are listed in order of first appearance in the manuscript body.)</w:t>
      </w:r>
    </w:p>
    <w:p>
      <w:pPr>
        <w:pStyle w:val="BodyText"/>
      </w:pPr>
      <w:r>
        <w:rPr>
          <w:color w:val="000000"/>
        </w:rPr>
        <w:t xml:space="preserve">[1]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Grinsztajn, L.; Oyallon, E.; Varoquaux, G.</w:t>
      </w:r>
      <w:r>
        <w:rPr>
          <w:color w:val="000000"/>
        </w:rPr>
        <w:t xml:space="preserve"> </w:t>
      </w:r>
      <w:r>
        <w:rPr>
          <w:color w:val="000000"/>
        </w:rPr>
        <w:t xml:space="preserve">(2022). Why do tree-based models still outperform deep learning on tabular data?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Adv. Neural Inf. Process. Syst.</w:t>
      </w:r>
      <w:r>
        <w:rPr>
          <w:color w:val="000000"/>
        </w:rPr>
        <w:t xml:space="preserve"> </w:t>
      </w:r>
      <w:r>
        <w:rPr>
          <w:color w:val="000000"/>
        </w:rPr>
        <w:t xml:space="preserve">35.</w:t>
      </w:r>
    </w:p>
    <w:p>
      <w:pPr>
        <w:pStyle w:val="BodyText"/>
      </w:pPr>
      <w:r>
        <w:rPr>
          <w:color w:val="000000"/>
        </w:rPr>
        <w:t xml:space="preserve">[2]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McElfresh, D.; Khandagale, S.; Valverde, J.; Prasad C, V.; Ramakrishnan, G.; Goldblum, M.; White, C.</w:t>
      </w:r>
      <w:r>
        <w:rPr>
          <w:color w:val="000000"/>
        </w:rPr>
        <w:t xml:space="preserve"> </w:t>
      </w:r>
      <w:r>
        <w:rPr>
          <w:color w:val="000000"/>
        </w:rPr>
        <w:t xml:space="preserve">(2023). When do neural nets outperform boosted trees on tabular data?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Adv. Neural Inf. Process. Syst.</w:t>
      </w:r>
      <w:r>
        <w:rPr>
          <w:color w:val="000000"/>
        </w:rPr>
        <w:t xml:space="preserve"> </w:t>
      </w:r>
      <w:r>
        <w:rPr>
          <w:color w:val="000000"/>
        </w:rPr>
        <w:t xml:space="preserve">36.</w:t>
      </w:r>
    </w:p>
    <w:p>
      <w:pPr>
        <w:pStyle w:val="BodyText"/>
      </w:pPr>
      <w:r>
        <w:rPr>
          <w:color w:val="000000"/>
        </w:rPr>
        <w:t xml:space="preserve">[3]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Hollmann, N.; Müller, S.; Eggensperger, K.; Hutter, F.</w:t>
      </w:r>
      <w:r>
        <w:rPr>
          <w:color w:val="000000"/>
        </w:rPr>
        <w:t xml:space="preserve"> </w:t>
      </w:r>
      <w:r>
        <w:rPr>
          <w:color w:val="000000"/>
        </w:rPr>
        <w:t xml:space="preserve">(2025). Accurate predictions on small data with a tabular foundation model (TabPFN).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Nature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[4]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Xie, T.; Grossman, J. C.</w:t>
      </w:r>
      <w:r>
        <w:rPr>
          <w:color w:val="000000"/>
        </w:rPr>
        <w:t xml:space="preserve"> </w:t>
      </w:r>
      <w:r>
        <w:rPr>
          <w:color w:val="000000"/>
        </w:rPr>
        <w:t xml:space="preserve">(2018). Crystal graph convolutional neural networks for accurate and interpretable prediction of material properties (CGCNN).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Phys. Rev. Lett.</w:t>
      </w:r>
      <w:r>
        <w:rPr>
          <w:color w:val="000000"/>
        </w:rPr>
        <w:t xml:space="preserve"> </w:t>
      </w:r>
      <w:r>
        <w:rPr>
          <w:color w:val="000000"/>
        </w:rPr>
        <w:t xml:space="preserve">120, 145301.</w:t>
      </w:r>
    </w:p>
    <w:p>
      <w:pPr>
        <w:pStyle w:val="BodyText"/>
      </w:pPr>
      <w:r>
        <w:rPr>
          <w:color w:val="000000"/>
        </w:rPr>
        <w:t xml:space="preserve">[5]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Choudhary, K.; DeCost, B.</w:t>
      </w:r>
      <w:r>
        <w:rPr>
          <w:color w:val="000000"/>
        </w:rPr>
        <w:t xml:space="preserve"> </w:t>
      </w:r>
      <w:r>
        <w:rPr>
          <w:color w:val="000000"/>
        </w:rPr>
        <w:t xml:space="preserve">(2021). Atomistic line graph neural network for improved materials property predictions (ALIGNN).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npj Comput. Mater.</w:t>
      </w:r>
      <w:r>
        <w:rPr>
          <w:color w:val="000000"/>
        </w:rPr>
        <w:t xml:space="preserve"> </w:t>
      </w:r>
      <w:r>
        <w:rPr>
          <w:color w:val="000000"/>
        </w:rPr>
        <w:t xml:space="preserve">7, 185.</w:t>
      </w:r>
    </w:p>
    <w:p>
      <w:pPr>
        <w:pStyle w:val="BodyText"/>
      </w:pPr>
      <w:r>
        <w:rPr>
          <w:color w:val="000000"/>
        </w:rPr>
        <w:t xml:space="preserve">[6]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Chen, C.; Ye, W.; Zuo, Y.; Zheng, C.; Ong, S. P.</w:t>
      </w:r>
      <w:r>
        <w:rPr>
          <w:color w:val="000000"/>
        </w:rPr>
        <w:t xml:space="preserve"> </w:t>
      </w:r>
      <w:r>
        <w:rPr>
          <w:color w:val="000000"/>
        </w:rPr>
        <w:t xml:space="preserve">(2019). Graph networks as a universal machine learning framework for molecules and crystals (MEGNet).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Chem. Mater.</w:t>
      </w:r>
      <w:r>
        <w:rPr>
          <w:color w:val="000000"/>
        </w:rPr>
        <w:t xml:space="preserve"> </w:t>
      </w:r>
      <w:r>
        <w:rPr>
          <w:color w:val="000000"/>
        </w:rPr>
        <w:t xml:space="preserve">31, 3564-3572.</w:t>
      </w:r>
    </w:p>
    <w:p>
      <w:pPr>
        <w:pStyle w:val="BodyText"/>
      </w:pPr>
      <w:r>
        <w:rPr>
          <w:color w:val="000000"/>
        </w:rPr>
        <w:t xml:space="preserve">[7]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Chen, C.; Ong, S. P.</w:t>
      </w:r>
      <w:r>
        <w:rPr>
          <w:color w:val="000000"/>
        </w:rPr>
        <w:t xml:space="preserve"> </w:t>
      </w:r>
      <w:r>
        <w:rPr>
          <w:color w:val="000000"/>
        </w:rPr>
        <w:t xml:space="preserve">(2022). A universal graph deep learning interatomic potential for the periodic table (M3GNet).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Nat. Comput. Sci.</w:t>
      </w:r>
      <w:r>
        <w:rPr>
          <w:color w:val="000000"/>
        </w:rPr>
        <w:t xml:space="preserve"> </w:t>
      </w:r>
      <w:r>
        <w:rPr>
          <w:color w:val="000000"/>
        </w:rPr>
        <w:t xml:space="preserve">2, 718-728.</w:t>
      </w:r>
    </w:p>
    <w:p>
      <w:pPr>
        <w:pStyle w:val="BodyText"/>
      </w:pPr>
      <w:r>
        <w:rPr>
          <w:color w:val="000000"/>
        </w:rPr>
        <w:t xml:space="preserve">[8]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Batzner, S.; Musaelian, A.; Sun, L.; Geiger, M.; Mailoa, J. P.; Kornbluth, M.; Molinari, N.; Smidt, T. E.; Kozinsky, B.</w:t>
      </w:r>
      <w:r>
        <w:rPr>
          <w:color w:val="000000"/>
        </w:rPr>
        <w:t xml:space="preserve"> </w:t>
      </w:r>
      <w:r>
        <w:rPr>
          <w:color w:val="000000"/>
        </w:rPr>
        <w:t xml:space="preserve">(2022). E(3)-equivariant graph neural networks for data-efficient and accurate interatomic potentials (NequIP).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Nat. Commun.</w:t>
      </w:r>
      <w:r>
        <w:rPr>
          <w:color w:val="000000"/>
        </w:rPr>
        <w:t xml:space="preserve"> </w:t>
      </w:r>
      <w:r>
        <w:rPr>
          <w:color w:val="000000"/>
        </w:rPr>
        <w:t xml:space="preserve">13, 2453.</w:t>
      </w:r>
    </w:p>
    <w:p>
      <w:pPr>
        <w:pStyle w:val="BodyText"/>
      </w:pPr>
      <w:r>
        <w:rPr>
          <w:color w:val="000000"/>
        </w:rPr>
        <w:t xml:space="preserve">[9]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Batatia, I.; Kovács, D. P.; Simm, G. N. C.; Ortner, C.; Csányi, G.</w:t>
      </w:r>
      <w:r>
        <w:rPr>
          <w:color w:val="000000"/>
        </w:rPr>
        <w:t xml:space="preserve"> </w:t>
      </w:r>
      <w:r>
        <w:rPr>
          <w:color w:val="000000"/>
        </w:rPr>
        <w:t xml:space="preserve">(2022). MACE: Higher order equivariant message passing neural networks for fast and accurate force fields.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Adv. Neural Inf. Process. Syst.</w:t>
      </w:r>
      <w:r>
        <w:rPr>
          <w:color w:val="000000"/>
        </w:rPr>
        <w:t xml:space="preserve"> </w:t>
      </w:r>
      <w:r>
        <w:rPr>
          <w:color w:val="000000"/>
        </w:rPr>
        <w:t xml:space="preserve">35.</w:t>
      </w:r>
    </w:p>
    <w:p>
      <w:pPr>
        <w:pStyle w:val="BodyText"/>
      </w:pPr>
      <w:r>
        <w:rPr>
          <w:color w:val="000000"/>
        </w:rPr>
        <w:t xml:space="preserve">[10]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Deng, B.; Zhong, P.; Jun, K.; Riebesell, J.; Han, K.; Bartel, C. J.; Ceder, G.</w:t>
      </w:r>
      <w:r>
        <w:rPr>
          <w:color w:val="000000"/>
        </w:rPr>
        <w:t xml:space="preserve"> </w:t>
      </w:r>
      <w:r>
        <w:rPr>
          <w:color w:val="000000"/>
        </w:rPr>
        <w:t xml:space="preserve">(2023). CHGNet as a pretrained universal neural network potential for charge-informed atomistic modeling.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Nat. Mach. Intell.</w:t>
      </w:r>
      <w:r>
        <w:rPr>
          <w:color w:val="000000"/>
        </w:rPr>
        <w:t xml:space="preserve"> </w:t>
      </w:r>
      <w:r>
        <w:rPr>
          <w:color w:val="000000"/>
        </w:rPr>
        <w:t xml:space="preserve">5, 1031-1041.</w:t>
      </w:r>
    </w:p>
    <w:p>
      <w:pPr>
        <w:pStyle w:val="BodyText"/>
      </w:pPr>
      <w:r>
        <w:rPr>
          <w:color w:val="000000"/>
        </w:rPr>
        <w:t xml:space="preserve">[11]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Yan, K.</w:t>
      </w:r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 xml:space="preserve">et al.</w:t>
      </w:r>
      <w:r>
        <w:rPr>
          <w:color w:val="000000"/>
        </w:rPr>
        <w:t xml:space="preserve"> </w:t>
      </w:r>
      <w:r>
        <w:rPr>
          <w:color w:val="000000"/>
        </w:rPr>
        <w:t xml:space="preserve">(2025). ReGNet: Reciprocal-space neural networks for crystal property prediction.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arXiv:2502.02748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[12]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Brown, I. D.</w:t>
      </w:r>
      <w:r>
        <w:rPr>
          <w:color w:val="000000"/>
        </w:rPr>
        <w:t xml:space="preserve"> </w:t>
      </w:r>
      <w:r>
        <w:rPr>
          <w:color w:val="000000"/>
        </w:rPr>
        <w:t xml:space="preserve">(2002).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The Chemical Bond in Inorganic Chemistry: The Bond Valence Model</w:t>
      </w:r>
      <w:r>
        <w:rPr>
          <w:color w:val="000000"/>
        </w:rPr>
        <w:t xml:space="preserve">. IUCr Monographs on Crystallography 12, Oxford University Press.</w:t>
      </w:r>
    </w:p>
    <w:p>
      <w:pPr>
        <w:pStyle w:val="BodyText"/>
      </w:pPr>
      <w:r>
        <w:rPr>
          <w:color w:val="000000"/>
        </w:rPr>
        <w:t xml:space="preserve">[13]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Adams, S.</w:t>
      </w:r>
      <w:r>
        <w:rPr>
          <w:color w:val="000000"/>
        </w:rPr>
        <w:t xml:space="preserve"> </w:t>
      </w:r>
      <w:r>
        <w:rPr>
          <w:color w:val="000000"/>
        </w:rPr>
        <w:t xml:space="preserve">(2022). Bond valence pathway analysis for ionic conductors.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Acta Crystallographica B</w:t>
      </w:r>
      <w:r>
        <w:rPr>
          <w:color w:val="000000"/>
        </w:rPr>
        <w:t xml:space="preserve"> </w:t>
      </w:r>
      <w:r>
        <w:rPr>
          <w:color w:val="000000"/>
        </w:rPr>
        <w:t xml:space="preserve">78, 16-30.</w:t>
      </w:r>
    </w:p>
    <w:p>
      <w:pPr>
        <w:pStyle w:val="BodyText"/>
      </w:pPr>
      <w:r>
        <w:rPr>
          <w:color w:val="000000"/>
        </w:rPr>
        <w:t xml:space="preserve">[14]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Filsø, M. Ø.; Turner, M. J.; Gibbs, G. V.; Adams, S.; Spackman, M. A.; Iversen, B. B.</w:t>
      </w:r>
      <w:r>
        <w:rPr>
          <w:color w:val="000000"/>
        </w:rPr>
        <w:t xml:space="preserve"> </w:t>
      </w:r>
      <w:r>
        <w:rPr>
          <w:color w:val="000000"/>
        </w:rPr>
        <w:t xml:space="preserve">(2013). Visualizing lithium-ion migration pathways by bond-valence-energy landscapes.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Chem. Eur. J.</w:t>
      </w:r>
      <w:r>
        <w:rPr>
          <w:color w:val="000000"/>
        </w:rPr>
        <w:t xml:space="preserve"> </w:t>
      </w:r>
      <w:r>
        <w:rPr>
          <w:color w:val="000000"/>
        </w:rPr>
        <w:t xml:space="preserve">19, 15535-15544.</w:t>
      </w:r>
    </w:p>
    <w:p>
      <w:pPr>
        <w:pStyle w:val="BodyText"/>
      </w:pPr>
      <w:r>
        <w:rPr>
          <w:color w:val="000000"/>
        </w:rPr>
        <w:t xml:space="preserve">[15]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Pizarro, F.</w:t>
      </w:r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 xml:space="preserve">et al.</w:t>
      </w:r>
      <w:r>
        <w:rPr>
          <w:color w:val="000000"/>
        </w:rPr>
        <w:t xml:space="preserve"> </w:t>
      </w:r>
      <w:r>
        <w:rPr>
          <w:color w:val="000000"/>
        </w:rPr>
        <w:t xml:space="preserve">(2025). OBELiX: a curated benchmark for crystal-structured Li-ion solid electrolytes.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arXiv:2502.14234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[16]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Li, Z.; Kovachki, N.; Azizzadenesheli, K.; Liu, B.; Bhattacharya, K.; Stuart, A.; Anandkumar, A.</w:t>
      </w:r>
      <w:r>
        <w:rPr>
          <w:color w:val="000000"/>
        </w:rPr>
        <w:t xml:space="preserve"> </w:t>
      </w:r>
      <w:r>
        <w:rPr>
          <w:color w:val="000000"/>
        </w:rPr>
        <w:t xml:space="preserve">(2020). Fourier neural operator for parametric partial differential equations.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arXiv:2010.08895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[17]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Batatia, I.</w:t>
      </w:r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 xml:space="preserve">et al.</w:t>
      </w:r>
      <w:r>
        <w:rPr>
          <w:color w:val="000000"/>
        </w:rPr>
        <w:t xml:space="preserve"> </w:t>
      </w:r>
      <w:r>
        <w:rPr>
          <w:color w:val="000000"/>
        </w:rPr>
        <w:t xml:space="preserve">(2024). A foundation model for atomistic materials chemistry (MACE-MP-0).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arXiv:2401.00096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[18]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Hargreaves, J.</w:t>
      </w:r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 xml:space="preserve">et al.</w:t>
      </w:r>
      <w:r>
        <w:rPr>
          <w:color w:val="000000"/>
        </w:rPr>
        <w:t xml:space="preserve"> </w:t>
      </w:r>
      <w:r>
        <w:rPr>
          <w:color w:val="000000"/>
        </w:rPr>
        <w:t xml:space="preserve">(2023). A database of experimentally measured lithium solid electrolyte conductivities.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Sci. Data</w:t>
      </w:r>
      <w:r>
        <w:rPr>
          <w:color w:val="000000"/>
        </w:rPr>
        <w:t xml:space="preserve"> </w:t>
      </w:r>
      <w:r>
        <w:rPr>
          <w:color w:val="000000"/>
        </w:rPr>
        <w:t xml:space="preserve">10, 471.</w:t>
      </w:r>
    </w:p>
    <w:p>
      <w:pPr>
        <w:pStyle w:val="BodyText"/>
      </w:pPr>
      <w:r>
        <w:rPr>
          <w:color w:val="000000"/>
        </w:rPr>
        <w:t xml:space="preserve">[19]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Wang, A. Y.-T.; Kauwe, S. K.; Murdock, R. J.; Sparks, T. D.</w:t>
      </w:r>
      <w:r>
        <w:rPr>
          <w:color w:val="000000"/>
        </w:rPr>
        <w:t xml:space="preserve"> </w:t>
      </w:r>
      <w:r>
        <w:rPr>
          <w:color w:val="000000"/>
        </w:rPr>
        <w:t xml:space="preserve">(2021). Compositionally restricted attention-based network for materials property prediction (CrabNet).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npj Comput. Mater.</w:t>
      </w:r>
      <w:r>
        <w:rPr>
          <w:color w:val="000000"/>
        </w:rPr>
        <w:t xml:space="preserve"> </w:t>
      </w:r>
      <w:r>
        <w:rPr>
          <w:color w:val="000000"/>
        </w:rPr>
        <w:t xml:space="preserve">7, 77.</w:t>
      </w:r>
    </w:p>
    <w:p>
      <w:pPr>
        <w:pStyle w:val="BodyText"/>
      </w:pPr>
      <w:r>
        <w:rPr>
          <w:color w:val="000000"/>
        </w:rPr>
        <w:t xml:space="preserve">[20]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Adams, S.</w:t>
      </w:r>
      <w:r>
        <w:rPr>
          <w:color w:val="000000"/>
        </w:rPr>
        <w:t xml:space="preserve"> </w:t>
      </w:r>
      <w:r>
        <w:rPr>
          <w:color w:val="000000"/>
        </w:rPr>
        <w:t xml:space="preserve">(2002). Bond valence analysis of structural preferences.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Solid State Ionics</w:t>
      </w:r>
      <w:r>
        <w:rPr>
          <w:color w:val="000000"/>
        </w:rPr>
        <w:t xml:space="preserve"> </w:t>
      </w:r>
      <w:r>
        <w:rPr>
          <w:color w:val="000000"/>
        </w:rPr>
        <w:t xml:space="preserve">154-155, 151-159.</w:t>
      </w:r>
    </w:p>
    <w:bookmarkEnd w:id="56"/>
    <w:bookmarkEnd w:id="57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2026-04-28T05:18:41Z</dcterms:created>
  <dcterms:modified xsi:type="dcterms:W3CDTF">2026-04-28T05:18:41Z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