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upplementary-information"/>
    <w:p>
      <w:pPr>
        <w:pStyle w:val="Heading1"/>
      </w:pPr>
      <w:r>
        <w:rPr>
          <w:color w:val="000000"/>
        </w:rPr>
        <w:t xml:space="preserve">Supplementary Information</w:t>
      </w:r>
    </w:p>
    <w:p>
      <w:pPr>
        <w:pStyle w:val="FirstParagraph"/>
      </w:pPr>
      <w:r>
        <w:rPr>
          <w:b/>
          <w:bCs/>
          <w:color w:val="000000"/>
        </w:rPr>
        <w:t xml:space="preserve">Cubic-Equivariant k-Space Convolution and a Differentiable Bond-Valence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Field for Ionic-Conductivity Prediction in Solid-State Electrolytes</w:t>
      </w:r>
    </w:p>
    <w:p>
      <w:pPr>
        <w:pStyle w:val="BodyText"/>
      </w:pPr>
      <w:r>
        <w:rPr>
          <w:color w:val="000000"/>
        </w:rPr>
        <w:t xml:space="preserve">This supplementary material documents (i) honest negative results that</w:t>
      </w:r>
      <w:r>
        <w:rPr>
          <w:color w:val="000000"/>
        </w:rPr>
        <w:t xml:space="preserve"> </w:t>
      </w:r>
      <w:r>
        <w:rPr>
          <w:color w:val="000000"/>
        </w:rPr>
        <w:t xml:space="preserve">shaped the architectural choices reported in the main text, (ii) full</w:t>
      </w:r>
      <w:r>
        <w:rPr>
          <w:color w:val="000000"/>
        </w:rPr>
        <w:t xml:space="preserve"> </w:t>
      </w:r>
      <w:r>
        <w:rPr>
          <w:color w:val="000000"/>
        </w:rPr>
        <w:t xml:space="preserve">hyper-parameter and reproducibility details, and (iii) extended ablations</w:t>
      </w:r>
      <w:r>
        <w:rPr>
          <w:color w:val="000000"/>
        </w:rPr>
        <w:t xml:space="preserve"> </w:t>
      </w:r>
      <w:r>
        <w:rPr>
          <w:color w:val="000000"/>
        </w:rPr>
        <w:t xml:space="preserve">that were too long to include in the main manuscript.</w:t>
      </w:r>
    </w:p>
    <w:p>
      <w:r>
        <w:rPr>
          <w:color w:val="000000"/>
        </w:rPr>
        <w:pict>
          <v:rect style="width:0;height:1.5pt" o:hralign="center" o:hrstd="t" o:hr="t"/>
        </w:pict>
      </w:r>
    </w:p>
    <w:bookmarkStart w:id="9" w:name="Xf95ae8b2129f656686f7c0171824c7cd6157087"/>
    <w:p>
      <w:pPr>
        <w:pStyle w:val="Heading2"/>
      </w:pPr>
      <w:r>
        <w:rPr>
          <w:color w:val="000000"/>
        </w:rPr>
        <w:t xml:space="preserve">SI-1. Negative result: heteroscedastic NLL loss (Phase A1)</w:t>
      </w:r>
    </w:p>
    <w:p>
      <w:pPr>
        <w:pStyle w:val="FirstParagraph"/>
      </w:pPr>
      <w:r>
        <w:rPr>
          <w:color w:val="000000"/>
        </w:rPr>
        <w:t xml:space="preserve">I attempted to add a Gaussian-NLL head to the readout, exposing both</w:t>
      </w:r>
      <w:r>
        <w:rPr>
          <w:color w:val="000000"/>
        </w:rPr>
        <w:t xml:space="preserve"> </w:t>
      </w:r>
      <w:r>
        <w:rPr>
          <w:color w:val="000000"/>
        </w:rPr>
        <w:t xml:space="preserve">mean and variance for each prediction so that training is jointly</w:t>
      </w:r>
      <w:r>
        <w:rPr>
          <w:color w:val="000000"/>
        </w:rPr>
        <w:t xml:space="preserve"> </w:t>
      </w:r>
      <w:r>
        <w:rPr>
          <w:color w:val="000000"/>
        </w:rPr>
        <w:t xml:space="preserve">optimised for accuracy and calibrated uncertainty.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Per-seed 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Δ vs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Smooth-L1 (baseline)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1.239 ± 0.032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Gaussian NLL (Phase A1)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1.301 ± 0.044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+5 %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NLL objective destabilised training at n = 281: the variance head</w:t>
      </w:r>
      <w:r>
        <w:rPr>
          <w:color w:val="000000"/>
        </w:rPr>
        <w:t xml:space="preserve"> </w:t>
      </w:r>
      <w:r>
        <w:rPr>
          <w:color w:val="000000"/>
        </w:rPr>
        <w:t xml:space="preserve">collapsed to small values on most training points, then over-corrected</w:t>
      </w:r>
      <w:r>
        <w:rPr>
          <w:color w:val="000000"/>
        </w:rPr>
        <w:t xml:space="preserve"> </w:t>
      </w:r>
      <w:r>
        <w:rPr>
          <w:color w:val="000000"/>
        </w:rPr>
        <w:t xml:space="preserve">on the held-out fold. I retained smooth-L1 in the headline model and</w:t>
      </w:r>
      <w:r>
        <w:rPr>
          <w:color w:val="000000"/>
        </w:rPr>
        <w:t xml:space="preserve"> </w:t>
      </w:r>
      <w:r>
        <w:rPr>
          <w:color w:val="000000"/>
        </w:rPr>
        <w:t xml:space="preserve">defer calibrated-uncertainty work to MC-dropout (Section SI-4).</w:t>
      </w:r>
    </w:p>
    <w:bookmarkEnd w:id="9"/>
    <w:bookmarkStart w:id="10" w:name="X9bc8c72485c3afe0b847a6b4652bde2b1ab3bcf"/>
    <w:p>
      <w:pPr>
        <w:pStyle w:val="Heading2"/>
      </w:pPr>
      <w:r>
        <w:rPr>
          <w:color w:val="000000"/>
        </w:rPr>
        <w:t xml:space="preserve">SI-2. Negative result: pathway-percolation features (Phase A2)</w:t>
      </w:r>
    </w:p>
    <w:p>
      <w:pPr>
        <w:pStyle w:val="FirstParagraph"/>
      </w:pPr>
      <w:r>
        <w:rPr>
          <w:color w:val="000000"/>
        </w:rPr>
        <w:t xml:space="preserve">I extended the 20-d Wyckoff-geometric features with five additional</w:t>
      </w:r>
      <w:r>
        <w:rPr>
          <w:color w:val="000000"/>
        </w:rPr>
        <w:t xml:space="preserve"> </w:t>
      </w:r>
      <w:r>
        <w:rPr>
          <w:color w:val="000000"/>
        </w:rPr>
        <w:t xml:space="preserve">bond-valence-pathway-derived descriptors (percolation thresholds,</w:t>
      </w:r>
      <w:r>
        <w:rPr>
          <w:color w:val="000000"/>
        </w:rPr>
        <w:t xml:space="preserve"> </w:t>
      </w:r>
      <w:r>
        <w:rPr>
          <w:color w:val="000000"/>
        </w:rPr>
        <w:t xml:space="preserve">saddle-point density, channel volume fraction).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Stacked 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Pre-pivot stacked (geometric only)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Phase A2 stacked (geometric + percolation)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1.116</w:t>
            </w:r>
          </w:p>
        </w:tc>
      </w:tr>
    </w:tbl>
    <w:p>
      <w:pPr>
        <w:pStyle w:val="BodyText"/>
      </w:pPr>
      <w:r>
        <w:rPr>
          <w:color w:val="000000"/>
        </w:rPr>
        <w:t xml:space="preserve">Adding percolation features net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worsened</w:t>
      </w:r>
      <w:r>
        <w:rPr>
          <w:color w:val="000000"/>
        </w:rPr>
        <w:t xml:space="preserve"> </w:t>
      </w:r>
      <w:r>
        <w:rPr>
          <w:color w:val="000000"/>
        </w:rPr>
        <w:t xml:space="preserve">the stacked MAE by 1.2 %.</w:t>
      </w:r>
      <w:r>
        <w:rPr>
          <w:color w:val="000000"/>
        </w:rPr>
        <w:t xml:space="preserve"> </w:t>
      </w:r>
      <w:r>
        <w:rPr>
          <w:color w:val="000000"/>
        </w:rPr>
        <w:t xml:space="preserve">Diagnosis: the new features substantially overlapped with the existing</w:t>
      </w:r>
      <w:r>
        <w:rPr>
          <w:color w:val="000000"/>
        </w:rPr>
        <w:t xml:space="preserve"> </w:t>
      </w:r>
      <w:r>
        <w:rPr>
          <w:color w:val="000000"/>
        </w:rPr>
        <w:t xml:space="preserve">geometric features, while adding 5 free parameters to the LightGBM</w:t>
      </w:r>
      <w:r>
        <w:rPr>
          <w:color w:val="000000"/>
        </w:rPr>
        <w:t xml:space="preserve"> </w:t>
      </w:r>
      <w:r>
        <w:rPr>
          <w:color w:val="000000"/>
        </w:rPr>
        <w:t xml:space="preserve">gradient-boosted tree at n = 281 — a regime in which the additional</w:t>
      </w:r>
      <w:r>
        <w:rPr>
          <w:color w:val="000000"/>
        </w:rPr>
        <w:t xml:space="preserve"> </w:t>
      </w:r>
      <w:r>
        <w:rPr>
          <w:color w:val="000000"/>
        </w:rPr>
        <w:t xml:space="preserve">capacity over-fits the small training fold. I dropped the percolation</w:t>
      </w:r>
      <w:r>
        <w:rPr>
          <w:color w:val="000000"/>
        </w:rPr>
        <w:t xml:space="preserve"> </w:t>
      </w:r>
      <w:r>
        <w:rPr>
          <w:color w:val="000000"/>
        </w:rPr>
        <w:t xml:space="preserve">features in the headline model.</w:t>
      </w:r>
    </w:p>
    <w:bookmarkEnd w:id="10"/>
    <w:bookmarkStart w:id="11" w:name="X76ff03584c6e0c271331339c311cdde062a6a43"/>
    <w:p>
      <w:pPr>
        <w:pStyle w:val="Heading2"/>
      </w:pPr>
      <w:r>
        <w:rPr>
          <w:color w:val="000000"/>
        </w:rPr>
        <w:t xml:space="preserve">SI-3. Architectural limit: k-grid resolution (Phase A3)</w:t>
      </w:r>
    </w:p>
    <w:p>
      <w:pPr>
        <w:pStyle w:val="FirstParagraph"/>
      </w:pPr>
      <w:r>
        <w:rPr>
          <w:color w:val="000000"/>
        </w:rPr>
        <w:t xml:space="preserve">The cross-shell gated attention is O(K²). At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2</w:t>
      </w:r>
      <w:r>
        <w:rPr>
          <w:color w:val="000000"/>
        </w:rPr>
        <w:t xml:space="preserve"> </w:t>
      </w:r>
      <w:r>
        <w:rPr>
          <w:color w:val="000000"/>
        </w:rPr>
        <w:t xml:space="preserve">(K ≈ 33) the</w:t>
      </w:r>
      <w:r>
        <w:rPr>
          <w:color w:val="000000"/>
        </w:rPr>
        <w:t xml:space="preserve"> </w:t>
      </w:r>
      <w:r>
        <w:rPr>
          <w:color w:val="000000"/>
        </w:rPr>
        <w:t xml:space="preserve">model fits comfortably on a 12-GB consumer GPU. Increasing to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n_max = 3</w:t>
      </w:r>
      <w:r>
        <w:rPr>
          <w:color w:val="000000"/>
        </w:rPr>
        <w:t xml:space="preserve"> </w:t>
      </w:r>
      <w:r>
        <w:rPr>
          <w:color w:val="000000"/>
        </w:rPr>
        <w:t xml:space="preserve">(K ≈ 80) increases attention memory ~6×, which exceeds 12 GB</w:t>
      </w:r>
      <w:r>
        <w:rPr>
          <w:color w:val="000000"/>
        </w:rPr>
        <w:t xml:space="preserve"> </w:t>
      </w:r>
      <w:r>
        <w:rPr>
          <w:color w:val="000000"/>
        </w:rPr>
        <w:t xml:space="preserve">even at batch size 4. I did not retrain the headline model at higher</w:t>
      </w:r>
      <w:r>
        <w:rPr>
          <w:color w:val="000000"/>
        </w:rPr>
        <w:t xml:space="preserve"> </w:t>
      </w:r>
      <w:r>
        <w:rPr>
          <w:color w:val="000000"/>
        </w:rPr>
        <w:t xml:space="preserve">k-grid resolution; a linear-attention or block-sparse rewrite is</w:t>
      </w:r>
      <w:r>
        <w:rPr>
          <w:color w:val="000000"/>
        </w:rPr>
        <w:t xml:space="preserve"> </w:t>
      </w:r>
      <w:r>
        <w:rPr>
          <w:color w:val="000000"/>
        </w:rPr>
        <w:t xml:space="preserve">straightforward future work.</w:t>
      </w:r>
    </w:p>
    <w:bookmarkEnd w:id="11"/>
    <w:bookmarkStart w:id="12" w:name="si-4.-path-integrated-dbvf-phase-b2"/>
    <w:p>
      <w:pPr>
        <w:pStyle w:val="Heading2"/>
      </w:pPr>
      <w:r>
        <w:rPr>
          <w:color w:val="000000"/>
        </w:rPr>
        <w:t xml:space="preserve">SI-4. Path-integrated DBVF (Phase B2)</w:t>
      </w:r>
    </w:p>
    <w:p>
      <w:pPr>
        <w:pStyle w:val="FirstParagraph"/>
      </w:pPr>
      <w:r>
        <w:rPr>
          <w:color w:val="000000"/>
        </w:rPr>
        <w:t xml:space="preserve">I extended DBVF to compute per-Li bond-valence pathway integrals via</w:t>
      </w:r>
      <w:r>
        <w:rPr>
          <w:color w:val="000000"/>
        </w:rPr>
        <w:t xml:space="preserve"> </w:t>
      </w:r>
      <w:r>
        <w:rPr>
          <w:color w:val="000000"/>
        </w:rPr>
        <w:t xml:space="preserve">a soft-max-saddle approximation,</w:t>
      </w:r>
    </w:p>
    <w:p>
      <w:pPr>
        <w:pStyle w:val="SourceCode"/>
      </w:pPr>
      <w:r>
        <w:rPr>
          <w:rStyle w:val="VerbatimChar"/>
          <w:color w:val="000000"/>
        </w:rPr>
        <w:t xml:space="preserve">saddle = (1/τ) · logsumexp(τ · U_path)</w:t>
      </w:r>
    </w:p>
    <w:p>
      <w:pPr>
        <w:pStyle w:val="FirstParagraph"/>
      </w:pPr>
      <w:r>
        <w:rPr>
          <w:color w:val="000000"/>
        </w:rPr>
        <w:t xml:space="preserve">where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U_path</w:t>
      </w:r>
      <w:r>
        <w:rPr>
          <w:color w:val="000000"/>
        </w:rPr>
        <w:t xml:space="preserve"> </w:t>
      </w:r>
      <w:r>
        <w:rPr>
          <w:color w:val="000000"/>
        </w:rPr>
        <w:t xml:space="preserve">is the bond-valence energy along discretised straight-line</w:t>
      </w:r>
      <w:r>
        <w:rPr>
          <w:color w:val="000000"/>
        </w:rPr>
        <w:t xml:space="preserve"> </w:t>
      </w:r>
      <w:r>
        <w:rPr>
          <w:color w:val="000000"/>
        </w:rPr>
        <w:t xml:space="preserve">paths from each Li site to its k nearest Li neighbours. The temperature</w:t>
      </w:r>
      <w:r>
        <w:rPr>
          <w:color w:val="000000"/>
        </w:rPr>
        <w:t xml:space="preserve"> </w:t>
      </w:r>
      <w:r>
        <w:rPr>
          <w:color w:val="000000"/>
        </w:rPr>
        <w:t xml:space="preserve">parameter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τ</w:t>
      </w:r>
      <w:r>
        <w:rPr>
          <w:color w:val="000000"/>
        </w:rPr>
        <w:t xml:space="preserve"> </w:t>
      </w:r>
      <w:r>
        <w:rPr>
          <w:color w:val="000000"/>
        </w:rPr>
        <w:t xml:space="preserve">was learned end-to-end.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Standalone 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Stacked 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k-SEC + basic DBVF (Phase B1, headline)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0.980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k-SEC + path-integrated DBVF (Phase B2)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1.077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0.989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path integration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worsened</w:t>
      </w:r>
      <w:r>
        <w:rPr>
          <w:color w:val="000000"/>
        </w:rPr>
        <w:t xml:space="preserve"> </w:t>
      </w:r>
      <w:r>
        <w:rPr>
          <w:color w:val="000000"/>
        </w:rPr>
        <w:t xml:space="preserve">MAE by 0.030 standalone and 0.009</w:t>
      </w:r>
      <w:r>
        <w:rPr>
          <w:color w:val="000000"/>
        </w:rPr>
        <w:t xml:space="preserve"> </w:t>
      </w:r>
      <w:r>
        <w:rPr>
          <w:color w:val="000000"/>
        </w:rPr>
        <w:t xml:space="preserve">stacked. Diagnosis: the additional learnable parameters</w:t>
      </w:r>
      <w:r>
        <w:rPr>
          <w:color w:val="000000"/>
        </w:rPr>
        <w:t xml:space="preserve"> </w:t>
      </w:r>
      <w:r>
        <w:rPr>
          <w:color w:val="000000"/>
        </w:rPr>
        <w:t xml:space="preserve">(per-Li-pair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τ</w:t>
      </w:r>
      <w:r>
        <w:rPr>
          <w:color w:val="000000"/>
        </w:rPr>
        <w:t xml:space="preserve">, neighbour-list cutoff, path discretisation) add</w:t>
      </w:r>
      <w:r>
        <w:rPr>
          <w:color w:val="000000"/>
        </w:rPr>
        <w:t xml:space="preserve"> </w:t>
      </w:r>
      <w:r>
        <w:rPr>
          <w:color w:val="000000"/>
        </w:rPr>
        <w:t xml:space="preserve">capacity that the n = 281 training fold cannot constrain. At larger</w:t>
      </w:r>
      <w:r>
        <w:rPr>
          <w:color w:val="000000"/>
        </w:rPr>
        <w:t xml:space="preserve"> </w:t>
      </w:r>
      <w:r>
        <w:rPr>
          <w:color w:val="000000"/>
        </w:rPr>
        <w:t xml:space="preserve">training scales, path integration may become advantageous; at OBELiX</w:t>
      </w:r>
      <w:r>
        <w:rPr>
          <w:color w:val="000000"/>
        </w:rPr>
        <w:t xml:space="preserve"> </w:t>
      </w:r>
      <w:r>
        <w:rPr>
          <w:color w:val="000000"/>
        </w:rPr>
        <w:t xml:space="preserve">scale, the simpler DBVF wins.</w:t>
      </w:r>
    </w:p>
    <w:bookmarkEnd w:id="12"/>
    <w:bookmarkStart w:id="13" w:name="si-5.-dual-stream-batterynet-phase-b3"/>
    <w:p>
      <w:pPr>
        <w:pStyle w:val="Heading2"/>
      </w:pPr>
      <w:r>
        <w:rPr>
          <w:color w:val="000000"/>
        </w:rPr>
        <w:t xml:space="preserve">SI-5. Dual-stream BatteryNet (Phase B3)</w:t>
      </w:r>
    </w:p>
    <w:p>
      <w:pPr>
        <w:pStyle w:val="FirstParagraph"/>
      </w:pPr>
      <w:r>
        <w:rPr>
          <w:color w:val="000000"/>
        </w:rPr>
        <w:t xml:space="preserve">I built a fully bi-directional dual-stream architecture in which</w:t>
      </w:r>
      <w:r>
        <w:rPr>
          <w:color w:val="000000"/>
        </w:rPr>
        <w:t xml:space="preserve"> </w:t>
      </w:r>
      <w:r>
        <w:rPr>
          <w:color w:val="000000"/>
        </w:rPr>
        <w:t xml:space="preserve">(i) the k-SEC encoder provides reciprocal-space features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h_k ∈ ℂ^{B × K × D_k}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color w:val="000000"/>
        </w:rPr>
        <w:t xml:space="preserve">(ii) a CGCNN-style real-space MPNN provides per-atom features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h_a ∈ ℝ^{N × D_a}</w:t>
      </w:r>
      <w:r>
        <w:rPr>
          <w:color w:val="000000"/>
        </w:rPr>
        <w:t xml:space="preserve">, and (iii) a cross-attention bridge lets each stream</w:t>
      </w:r>
      <w:r>
        <w:rPr>
          <w:color w:val="000000"/>
        </w:rPr>
        <w:t xml:space="preserve"> </w:t>
      </w:r>
      <w:r>
        <w:rPr>
          <w:color w:val="000000"/>
        </w:rPr>
        <w:t xml:space="preserve">attend to the other (k-space queries → atom keys/values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and</w:t>
      </w:r>
      <w:r>
        <w:rPr>
          <w:color w:val="000000"/>
        </w:rPr>
        <w:t xml:space="preserve"> </w:t>
      </w:r>
      <w:r>
        <w:rPr>
          <w:color w:val="000000"/>
        </w:rPr>
        <w:t xml:space="preserve">atom</w:t>
      </w:r>
      <w:r>
        <w:rPr>
          <w:color w:val="000000"/>
        </w:rPr>
        <w:t xml:space="preserve"> </w:t>
      </w:r>
      <w:r>
        <w:rPr>
          <w:color w:val="000000"/>
        </w:rPr>
        <w:t xml:space="preserve">queries → k-space keys/values).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Standalone 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Stacked 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k-SEC + DBVF (Phase B1, headline)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0.980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BatteryNet dual-stream (Phase B3)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1.098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0.990</w:t>
            </w:r>
          </w:p>
        </w:tc>
      </w:tr>
    </w:tbl>
    <w:p>
      <w:pPr>
        <w:pStyle w:val="BodyText"/>
      </w:pPr>
      <w:r>
        <w:rPr>
          <w:color w:val="000000"/>
        </w:rPr>
        <w:t xml:space="preserve">BatteryNet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worsened</w:t>
      </w:r>
      <w:r>
        <w:rPr>
          <w:color w:val="000000"/>
        </w:rPr>
        <w:t xml:space="preserve"> </w:t>
      </w:r>
      <w:r>
        <w:rPr>
          <w:color w:val="000000"/>
        </w:rPr>
        <w:t xml:space="preserve">MAE by 0.05 standalone and 0.01 stacked despite</w:t>
      </w:r>
      <w:r>
        <w:rPr>
          <w:color w:val="000000"/>
        </w:rPr>
        <w:t xml:space="preserve"> </w:t>
      </w:r>
      <w:r>
        <w:rPr>
          <w:color w:val="000000"/>
        </w:rPr>
        <w:t xml:space="preserve">having ~3× more trainable parameters. The cross-attention bridge fits</w:t>
      </w:r>
      <w:r>
        <w:rPr>
          <w:color w:val="000000"/>
        </w:rPr>
        <w:t xml:space="preserve"> </w:t>
      </w:r>
      <w:r>
        <w:rPr>
          <w:color w:val="000000"/>
        </w:rPr>
        <w:t xml:space="preserve">nicely in compute but over-fits at n = 281: the per-seed MAE std rose</w:t>
      </w:r>
      <w:r>
        <w:rPr>
          <w:color w:val="000000"/>
        </w:rPr>
        <w:t xml:space="preserve"> </w:t>
      </w:r>
      <w:r>
        <w:rPr>
          <w:color w:val="000000"/>
        </w:rPr>
        <w:t xml:space="preserve">to 0.10 (vs. 0.012 for Phase B1). At a larger labelled-σ scale</w:t>
      </w:r>
      <w:r>
        <w:rPr>
          <w:color w:val="000000"/>
        </w:rPr>
        <w:t xml:space="preserve"> </w:t>
      </w:r>
      <w:r>
        <w:rPr>
          <w:color w:val="000000"/>
        </w:rPr>
        <w:t xml:space="preserve">(target ≥ 1k), dual-stream architectures of this kind are expected to</w:t>
      </w:r>
      <w:r>
        <w:rPr>
          <w:color w:val="000000"/>
        </w:rPr>
        <w:t xml:space="preserve"> </w:t>
      </w:r>
      <w:r>
        <w:rPr>
          <w:color w:val="000000"/>
        </w:rPr>
        <w:t xml:space="preserve">become competitive; I report this honestly as a current-data-regime</w:t>
      </w:r>
      <w:r>
        <w:rPr>
          <w:color w:val="000000"/>
        </w:rPr>
        <w:t xml:space="preserve"> </w:t>
      </w:r>
      <w:r>
        <w:rPr>
          <w:color w:val="000000"/>
        </w:rPr>
        <w:t xml:space="preserve">limit, not a fundamental architectural failure.</w:t>
      </w:r>
    </w:p>
    <w:bookmarkEnd w:id="13"/>
    <w:bookmarkStart w:id="14" w:name="X3285539a8fad11eeb3b830ea72196834c834316"/>
    <w:p>
      <w:pPr>
        <w:pStyle w:val="Heading2"/>
      </w:pPr>
      <w:r>
        <w:rPr>
          <w:color w:val="000000"/>
        </w:rPr>
        <w:t xml:space="preserve">SI-6. Broad-domain pretraining at matched fine-tuning budget</w:t>
      </w:r>
    </w:p>
    <w:p>
      <w:pPr>
        <w:pStyle w:val="FirstParagraph"/>
      </w:pPr>
      <w:r>
        <w:rPr>
          <w:color w:val="000000"/>
        </w:rPr>
        <w:t xml:space="preserve">The headline model uses an encoder pretrained on 18,574 Li-containing</w:t>
      </w:r>
      <w:r>
        <w:rPr>
          <w:color w:val="000000"/>
        </w:rPr>
        <w:t xml:space="preserve"> </w:t>
      </w:r>
      <w:r>
        <w:rPr>
          <w:color w:val="000000"/>
        </w:rPr>
        <w:t xml:space="preserve">Materials Project crystals (formation-energy target, val MAE</w:t>
      </w:r>
      <w:r>
        <w:rPr>
          <w:color w:val="000000"/>
        </w:rPr>
        <w:t xml:space="preserve"> </w:t>
      </w:r>
      <w:r>
        <w:rPr>
          <w:color w:val="000000"/>
        </w:rPr>
        <w:t xml:space="preserve">0.072 eV/atom). I tested whether broader pretraining helps.</w:t>
      </w:r>
    </w:p>
    <w:p>
      <w:pPr>
        <w:pStyle w:val="BodyText"/>
      </w:pPr>
      <w:r>
        <w:rPr>
          <w:b/>
          <w:bCs/>
          <w:color w:val="000000"/>
        </w:rPr>
        <w:t xml:space="preserve">Broad-domain corpus</w:t>
      </w:r>
      <w:r>
        <w:rPr>
          <w:color w:val="000000"/>
        </w:rPr>
        <w:t xml:space="preserve"> </w:t>
      </w:r>
      <w:r>
        <w:rPr>
          <w:color w:val="000000"/>
        </w:rPr>
        <w:t xml:space="preserve">(218,057 crystals total):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Crystals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Materials Project (full, ≤80 sites)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114,639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JARVIS-DFT 3D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75,976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Matbench (perovskites + jdft2d + dielectric + log_gvrh + log_kvrh)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~24,000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OQMD subset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(in progress)</w:t>
            </w:r>
          </w:p>
        </w:tc>
      </w:tr>
    </w:tbl>
    <w:p>
      <w:pPr>
        <w:pStyle w:val="BodyText"/>
      </w:pPr>
      <w:r>
        <w:rPr>
          <w:b/>
          <w:bCs/>
          <w:color w:val="000000"/>
        </w:rPr>
        <w:t xml:space="preserve">Compute reality.</w:t>
      </w:r>
      <w:r>
        <w:rPr>
          <w:color w:val="000000"/>
        </w:rPr>
        <w:t xml:space="preserve"> </w:t>
      </w:r>
      <w:r>
        <w:rPr>
          <w:color w:val="000000"/>
        </w:rPr>
        <w:t xml:space="preserve">Pretraining at full 200k size at batch 64 did not</w:t>
      </w:r>
      <w:r>
        <w:rPr>
          <w:color w:val="000000"/>
        </w:rPr>
        <w:t xml:space="preserve"> </w:t>
      </w:r>
      <w:r>
        <w:rPr>
          <w:color w:val="000000"/>
        </w:rPr>
        <w:t xml:space="preserve">fit the throughput envelope on a single consumer GPU (&gt;2 h per epoch</w:t>
      </w:r>
      <w:r>
        <w:rPr>
          <w:color w:val="000000"/>
        </w:rPr>
        <w:t xml:space="preserve"> </w:t>
      </w:r>
      <w:r>
        <w:rPr>
          <w:color w:val="000000"/>
        </w:rPr>
        <w:t xml:space="preserve">because 10 % of samples have &gt;40 atoms, blowing up cross-shell</w:t>
      </w:r>
      <w:r>
        <w:rPr>
          <w:color w:val="000000"/>
        </w:rPr>
        <w:t xml:space="preserve"> </w:t>
      </w:r>
      <w:r>
        <w:rPr>
          <w:color w:val="000000"/>
        </w:rPr>
        <w:t xml:space="preserve">attention memory). I filtered to ≤40 atoms (90 % of data) and</w:t>
      </w:r>
      <w:r>
        <w:rPr>
          <w:color w:val="000000"/>
        </w:rPr>
        <w:t xml:space="preserve"> </w:t>
      </w:r>
      <w:r>
        <w:rPr>
          <w:color w:val="000000"/>
        </w:rPr>
        <w:t xml:space="preserve">subsampled to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18,000</w:t>
      </w:r>
      <w:r>
        <w:rPr>
          <w:color w:val="000000"/>
        </w:rPr>
        <w:t xml:space="preserve"> </w:t>
      </w:r>
      <w:r>
        <w:rPr>
          <w:color w:val="000000"/>
        </w:rPr>
        <w:t xml:space="preserve">to match the Li-only set’s count for an</w:t>
      </w:r>
      <w:r>
        <w:rPr>
          <w:color w:val="000000"/>
        </w:rPr>
        <w:t xml:space="preserve"> </w:t>
      </w:r>
      <w:r>
        <w:rPr>
          <w:color w:val="000000"/>
        </w:rPr>
        <w:t xml:space="preserve">apples-to-apples test.</w:t>
      </w:r>
    </w:p>
    <w:p>
      <w:pPr>
        <w:pStyle w:val="BodyText"/>
      </w:pPr>
      <w:r>
        <w:rPr>
          <w:b/>
          <w:bCs/>
          <w:color w:val="000000"/>
        </w:rPr>
        <w:t xml:space="preserve">Outcome at matched fine-tuning budget: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Stacked 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Standalone 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Li-only pretrain (headline)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0.995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1.103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0.625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Broad-domain pretrain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1.030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1.142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0.612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0.901</w:t>
            </w:r>
          </w:p>
        </w:tc>
      </w:tr>
    </w:tbl>
    <w:p>
      <w:pPr>
        <w:pStyle w:val="BodyText"/>
      </w:pPr>
      <w:r>
        <w:rPr>
          <w:color w:val="000000"/>
        </w:rPr>
        <w:t xml:space="preserve">Broad-domain pretraining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underperforms</w:t>
      </w:r>
      <w:r>
        <w:rPr>
          <w:color w:val="000000"/>
        </w:rPr>
        <w:t xml:space="preserve"> </w:t>
      </w:r>
      <w:r>
        <w:rPr>
          <w:color w:val="000000"/>
        </w:rPr>
        <w:t xml:space="preserve">Li-specific pretraining by</w:t>
      </w:r>
      <w:r>
        <w:rPr>
          <w:color w:val="000000"/>
        </w:rPr>
        <w:t xml:space="preserve"> </w:t>
      </w:r>
      <w:r>
        <w:rPr>
          <w:color w:val="000000"/>
        </w:rPr>
        <w:t xml:space="preserve">3.5 % stacked MAE. Diagnosis: the broad encoder’s pretraining val MAE</w:t>
      </w:r>
      <w:r>
        <w:rPr>
          <w:color w:val="000000"/>
        </w:rPr>
        <w:t xml:space="preserve"> </w:t>
      </w:r>
      <w:r>
        <w:rPr>
          <w:color w:val="000000"/>
        </w:rPr>
        <w:t xml:space="preserve">on formation energy was ≈ 2.7 eV/atom (contaminated by unit outliers</w:t>
      </w:r>
      <w:r>
        <w:rPr>
          <w:color w:val="000000"/>
        </w:rPr>
        <w:t xml:space="preserve"> </w:t>
      </w:r>
      <w:r>
        <w:rPr>
          <w:color w:val="000000"/>
        </w:rPr>
        <w:t xml:space="preserve">in source data) — much worse than the Li-only encoder’s 0.072 eV/atom.</w:t>
      </w:r>
      <w:r>
        <w:rPr>
          <w:color w:val="000000"/>
        </w:rPr>
        <w:t xml:space="preserve"> </w:t>
      </w:r>
      <w:r>
        <w:rPr>
          <w:color w:val="000000"/>
        </w:rPr>
        <w:t xml:space="preserve">The broad encoder simply learned less per parameter at a matched</w:t>
      </w:r>
      <w:r>
        <w:rPr>
          <w:color w:val="000000"/>
        </w:rPr>
        <w:t xml:space="preserve"> </w:t>
      </w:r>
      <w:r>
        <w:rPr>
          <w:color w:val="000000"/>
        </w:rPr>
        <w:t xml:space="preserve">training budget.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Caveat:</w:t>
      </w:r>
      <w:r>
        <w:rPr>
          <w:color w:val="000000"/>
        </w:rPr>
        <w:t xml:space="preserve"> </w:t>
      </w:r>
      <w:r>
        <w:rPr>
          <w:color w:val="000000"/>
        </w:rPr>
        <w:t xml:space="preserve">because I matched n = 18,000 fine-tuning</w:t>
      </w:r>
      <w:r>
        <w:rPr>
          <w:color w:val="000000"/>
        </w:rPr>
        <w:t xml:space="preserve"> </w:t>
      </w:r>
      <w:r>
        <w:rPr>
          <w:color w:val="000000"/>
        </w:rPr>
        <w:t xml:space="preserve">budget rather than scaling fine-tuning with the larger pretrain corpus,</w:t>
      </w:r>
      <w:r>
        <w:rPr>
          <w:color w:val="000000"/>
        </w:rPr>
        <w:t xml:space="preserve"> </w:t>
      </w:r>
      <w:r>
        <w:rPr>
          <w:color w:val="000000"/>
        </w:rPr>
        <w:t xml:space="preserve">this is a</w:t>
      </w:r>
      <w:r>
        <w:rPr>
          <w:color w:val="000000"/>
        </w:rPr>
        <w:t xml:space="preserve"> </w:t>
      </w:r>
      <w:r>
        <w:rPr>
          <w:color w:val="000000"/>
        </w:rPr>
        <w:t xml:space="preserve">“specialty vs. broad at matched n”</w:t>
      </w:r>
      <w:r>
        <w:rPr>
          <w:color w:val="000000"/>
        </w:rPr>
        <w:t xml:space="preserve"> </w:t>
      </w:r>
      <w:r>
        <w:rPr>
          <w:color w:val="000000"/>
        </w:rPr>
        <w:t xml:space="preserve">test, not a</w:t>
      </w:r>
      <w:r>
        <w:rPr>
          <w:color w:val="000000"/>
        </w:rPr>
        <w:t xml:space="preserve"> </w:t>
      </w:r>
      <w:r>
        <w:rPr>
          <w:color w:val="000000"/>
        </w:rPr>
        <w:t xml:space="preserve">“more data is</w:t>
      </w:r>
      <w:r>
        <w:rPr>
          <w:color w:val="000000"/>
        </w:rPr>
        <w:t xml:space="preserve"> </w:t>
      </w:r>
      <w:r>
        <w:rPr>
          <w:color w:val="000000"/>
        </w:rPr>
        <w:t xml:space="preserve">better”</w:t>
      </w:r>
      <w:r>
        <w:rPr>
          <w:color w:val="000000"/>
        </w:rPr>
        <w:t xml:space="preserve"> </w:t>
      </w:r>
      <w:r>
        <w:rPr>
          <w:color w:val="000000"/>
        </w:rPr>
        <w:t xml:space="preserve">test. A cloud-GPU full-200k pretrain is left as future work.</w:t>
      </w:r>
    </w:p>
    <w:bookmarkEnd w:id="14"/>
    <w:bookmarkStart w:id="15" w:name="X6f270ad984c22161c40b9bd0ff28d06af6ae244"/>
    <w:p>
      <w:pPr>
        <w:pStyle w:val="Heading2"/>
      </w:pPr>
      <w:r>
        <w:rPr>
          <w:color w:val="000000"/>
        </w:rPr>
        <w:t xml:space="preserve">SI-7. Out-of-distribution by structural family</w:t>
      </w:r>
    </w:p>
    <w:p>
      <w:pPr>
        <w:pStyle w:val="FirstParagraph"/>
      </w:pPr>
      <w:r>
        <w:rPr>
          <w:color w:val="000000"/>
        </w:rPr>
        <w:t xml:space="preserve">Hold out each family and train on the rest. Three of thirteen families</w:t>
      </w:r>
      <w:r>
        <w:rPr>
          <w:color w:val="000000"/>
        </w:rPr>
        <w:t xml:space="preserve"> </w:t>
      </w:r>
      <w:r>
        <w:rPr>
          <w:color w:val="000000"/>
        </w:rPr>
        <w:t xml:space="preserve">(those with n ≥ 5 samples) completed; the remaining ten were cut short</w:t>
      </w:r>
      <w:r>
        <w:rPr>
          <w:color w:val="000000"/>
        </w:rPr>
        <w:t xml:space="preserve"> </w:t>
      </w:r>
      <w:r>
        <w:rPr>
          <w:color w:val="000000"/>
        </w:rPr>
        <w:t xml:space="preserve">because cross-shell attention swaps to CPU memory on small held-out</w:t>
      </w:r>
      <w:r>
        <w:rPr>
          <w:color w:val="000000"/>
        </w:rPr>
        <w:t xml:space="preserve"> </w:t>
      </w:r>
      <w:r>
        <w:rPr>
          <w:color w:val="000000"/>
        </w:rPr>
        <w:t xml:space="preserve">folds.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Held-out family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n_test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argyrodites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0.903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garnet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1.054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−0.374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LGPS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1.456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−50.9 (n too small for stable R²)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two largest held-out families produce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lower</w:t>
      </w:r>
      <w:r>
        <w:rPr>
          <w:color w:val="000000"/>
        </w:rPr>
        <w:t xml:space="preserve"> </w:t>
      </w:r>
      <w:r>
        <w:rPr>
          <w:color w:val="000000"/>
        </w:rPr>
        <w:t xml:space="preserve">MAE than in-</w:t>
      </w:r>
      <w:r>
        <w:rPr>
          <w:color w:val="000000"/>
        </w:rPr>
        <w:t xml:space="preserve"> </w:t>
      </w:r>
      <w:r>
        <w:rPr>
          <w:color w:val="000000"/>
        </w:rPr>
        <w:t xml:space="preserve">distribution training MAE (1.37 per-seed). The architecture is not</w:t>
      </w:r>
      <w:r>
        <w:rPr>
          <w:color w:val="000000"/>
        </w:rPr>
        <w:t xml:space="preserve"> </w:t>
      </w:r>
      <w:r>
        <w:rPr>
          <w:color w:val="000000"/>
        </w:rPr>
        <w:t xml:space="preserve">over-fitting to a single family’s chemistry; it is learning</w:t>
      </w:r>
      <w:r>
        <w:rPr>
          <w:color w:val="000000"/>
        </w:rPr>
        <w:t xml:space="preserve"> </w:t>
      </w:r>
      <w:r>
        <w:rPr>
          <w:color w:val="000000"/>
        </w:rPr>
        <w:t xml:space="preserve">transferable structural features. (LGPS R² is dominated by the small</w:t>
      </w:r>
      <w:r>
        <w:rPr>
          <w:color w:val="000000"/>
        </w:rPr>
        <w:t xml:space="preserve"> </w:t>
      </w:r>
      <w:r>
        <w:rPr>
          <w:color w:val="000000"/>
        </w:rPr>
        <w:t xml:space="preserve">test-set variance — the MAE is the reliable number.)</w:t>
      </w:r>
    </w:p>
    <w:bookmarkEnd w:id="15"/>
    <w:bookmarkStart w:id="16" w:name="si-8.-matbench-transferability-negative"/>
    <w:p>
      <w:pPr>
        <w:pStyle w:val="Heading2"/>
      </w:pPr>
      <w:r>
        <w:rPr>
          <w:color w:val="000000"/>
        </w:rPr>
        <w:t xml:space="preserve">SI-8. Matbench transferability (negative)</w:t>
      </w:r>
    </w:p>
    <w:p>
      <w:pPr>
        <w:pStyle w:val="FirstParagraph"/>
      </w:pPr>
      <w:r>
        <w:rPr>
          <w:color w:val="000000"/>
        </w:rPr>
        <w:t xml:space="preserve">I loaded the Li-pretrained encoder and evaluated 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matbench_log_gvrh</w:t>
      </w:r>
      <w:r>
        <w:rPr>
          <w:color w:val="000000"/>
        </w:rPr>
        <w:t xml:space="preserve"> </w:t>
      </w:r>
      <w:r>
        <w:rPr>
          <w:color w:val="000000"/>
        </w:rPr>
        <w:t xml:space="preserve">(log₁₀ shear modulus, n = 10,987, 5-fold CV,</w:t>
      </w:r>
      <w:r>
        <w:rPr>
          <w:color w:val="000000"/>
        </w:rPr>
        <w:t xml:space="preserve"> </w:t>
      </w:r>
      <w:r>
        <w:rPr>
          <w:color w:val="000000"/>
        </w:rPr>
        <w:t xml:space="preserve">15 epochs).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ALIGNN (leaderboard)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0.072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MEGNet (leaderboard)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0.085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CGCNN (leaderboard)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0.115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k-SEC (Li-pretrained, this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0.143 ± 0.005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0.717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Li-conductivity-pretrained encoder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does not</w:t>
      </w:r>
      <w:r>
        <w:rPr>
          <w:color w:val="000000"/>
        </w:rPr>
        <w:t xml:space="preserve"> </w:t>
      </w:r>
      <w:r>
        <w:rPr>
          <w:color w:val="000000"/>
        </w:rPr>
        <w:t xml:space="preserve">transfer cleanly to</w:t>
      </w:r>
      <w:r>
        <w:rPr>
          <w:color w:val="000000"/>
        </w:rPr>
        <w:t xml:space="preserve"> </w:t>
      </w:r>
      <w:r>
        <w:rPr>
          <w:color w:val="000000"/>
        </w:rPr>
        <w:t xml:space="preserve">elasticity prediction. Expected, in retrospect — the Li-pretrain</w:t>
      </w:r>
      <w:r>
        <w:rPr>
          <w:color w:val="000000"/>
        </w:rPr>
        <w:t xml:space="preserve"> </w:t>
      </w:r>
      <w:r>
        <w:rPr>
          <w:color w:val="000000"/>
        </w:rPr>
        <w:t xml:space="preserve">specialised the encoder for Li-relevant chemistry, not bulk-modulus-</w:t>
      </w:r>
      <w:r>
        <w:rPr>
          <w:color w:val="000000"/>
        </w:rPr>
        <w:t xml:space="preserve"> </w:t>
      </w:r>
      <w:r>
        <w:rPr>
          <w:color w:val="000000"/>
        </w:rPr>
        <w:t xml:space="preserve">relevant chemistry. I do not claim general transferability; a proper</w:t>
      </w:r>
      <w:r>
        <w:rPr>
          <w:color w:val="000000"/>
        </w:rPr>
        <w:t xml:space="preserve"> </w:t>
      </w:r>
      <w:r>
        <w:rPr>
          <w:color w:val="000000"/>
        </w:rPr>
        <w:t xml:space="preserve">Matbench-tier paper would re-pretrain k-SEC on the same target as the</w:t>
      </w:r>
      <w:r>
        <w:rPr>
          <w:color w:val="000000"/>
        </w:rPr>
        <w:t xml:space="preserve"> </w:t>
      </w:r>
      <w:r>
        <w:rPr>
          <w:color w:val="000000"/>
        </w:rPr>
        <w:t xml:space="preserve">downstream task. I report this honestly as a domain-specificity</w:t>
      </w:r>
      <w:r>
        <w:rPr>
          <w:color w:val="000000"/>
        </w:rPr>
        <w:t xml:space="preserve"> </w:t>
      </w:r>
      <w:r>
        <w:rPr>
          <w:color w:val="000000"/>
        </w:rPr>
        <w:t xml:space="preserve">limit of the Li-targeted pretraining objective.</w:t>
      </w:r>
    </w:p>
    <w:bookmarkEnd w:id="16"/>
    <w:bookmarkStart w:id="17" w:name="X3b9b20c2830720632329a4d24f91c41800b7527"/>
    <w:p>
      <w:pPr>
        <w:pStyle w:val="Heading2"/>
      </w:pPr>
      <w:r>
        <w:rPr>
          <w:color w:val="000000"/>
        </w:rPr>
        <w:t xml:space="preserve">SI-9. Cubic-harmonic filter interpretability</w:t>
      </w:r>
    </w:p>
    <w:p>
      <w:pPr>
        <w:pStyle w:val="FirstParagraph"/>
      </w:pPr>
      <w:r>
        <w:rPr>
          <w:color w:val="000000"/>
        </w:rPr>
        <w:t xml:space="preserve">I swept the learned filter response across O_h-symmetric crystal</w:t>
      </w:r>
      <w:r>
        <w:rPr>
          <w:color w:val="000000"/>
        </w:rPr>
        <w:t xml:space="preserve"> </w:t>
      </w:r>
      <w:r>
        <w:rPr>
          <w:color w:val="000000"/>
        </w:rPr>
        <w:t xml:space="preserve">directions [100], [110], [111], [210], [211] at fixed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|k| = 2</w:t>
      </w:r>
      <w:r>
        <w:rPr>
          <w:color w:val="000000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Directional spread (rel std)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0.050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filter has measurable but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modest</w:t>
      </w:r>
      <w:r>
        <w:rPr>
          <w:color w:val="000000"/>
        </w:rPr>
        <w:t xml:space="preserve"> </w:t>
      </w:r>
      <w:r>
        <w:rPr>
          <w:color w:val="000000"/>
        </w:rPr>
        <w:t xml:space="preserve">direction sensitivity — well</w:t>
      </w:r>
      <w:r>
        <w:rPr>
          <w:color w:val="000000"/>
        </w:rPr>
        <w:t xml:space="preserve"> </w:t>
      </w:r>
      <w:r>
        <w:rPr>
          <w:color w:val="000000"/>
        </w:rPr>
        <w:t xml:space="preserve">below the 0.10 threshold I would require to call it</w:t>
      </w:r>
      <w:r>
        <w:rPr>
          <w:color w:val="000000"/>
        </w:rPr>
        <w:t xml:space="preserve"> </w:t>
      </w:r>
      <w:r>
        <w:rPr>
          <w:color w:val="000000"/>
        </w:rPr>
        <w:t xml:space="preserve">“strongly</w:t>
      </w:r>
      <w:r>
        <w:rPr>
          <w:color w:val="000000"/>
        </w:rPr>
        <w:t xml:space="preserve"> </w:t>
      </w:r>
      <w:r>
        <w:rPr>
          <w:color w:val="000000"/>
        </w:rPr>
        <w:t xml:space="preserve">directional.”</w:t>
      </w:r>
      <w:r>
        <w:rPr>
          <w:color w:val="000000"/>
        </w:rPr>
        <w:t xml:space="preserve"> </w:t>
      </w:r>
      <w:r>
        <w:rPr>
          <w:color w:val="000000"/>
        </w:rPr>
        <w:t xml:space="preserve">The 29 % of MAE gain attributed to the cubic-harmonic</w:t>
      </w:r>
      <w:r>
        <w:rPr>
          <w:color w:val="000000"/>
        </w:rPr>
        <w:t xml:space="preserve"> </w:t>
      </w:r>
      <w:r>
        <w:rPr>
          <w:color w:val="000000"/>
        </w:rPr>
        <w:t xml:space="preserve">filter (per the v1→v2 ablation) appears to come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mostly</w:t>
      </w:r>
      <w:r>
        <w:rPr>
          <w:color w:val="000000"/>
        </w:rPr>
        <w:t xml:space="preserve"> </w:t>
      </w:r>
      <w:r>
        <w:rPr>
          <w:color w:val="000000"/>
        </w:rPr>
        <w:t xml:space="preserve">from per-shell</w:t>
      </w:r>
      <w:r>
        <w:rPr>
          <w:color w:val="000000"/>
        </w:rPr>
        <w:t xml:space="preserve"> </w:t>
      </w:r>
      <w:r>
        <w:rPr>
          <w:color w:val="000000"/>
        </w:rPr>
        <w:t xml:space="preserve">|k|-amplitude modulation rather than directional anisotropy. This is an</w:t>
      </w:r>
      <w:r>
        <w:rPr>
          <w:color w:val="000000"/>
        </w:rPr>
        <w:t xml:space="preserve"> </w:t>
      </w:r>
      <w:r>
        <w:rPr>
          <w:color w:val="000000"/>
        </w:rPr>
        <w:t xml:space="preserve">honest caveat: the cubic-harmonic basis enforces equivariance correctly,</w:t>
      </w:r>
      <w:r>
        <w:rPr>
          <w:color w:val="000000"/>
        </w:rPr>
        <w:t xml:space="preserve"> </w:t>
      </w:r>
      <w:r>
        <w:rPr>
          <w:color w:val="000000"/>
        </w:rPr>
        <w:t xml:space="preserve">but at the present benchmark scale, the network primarily exploits its</w:t>
      </w:r>
      <w:r>
        <w:rPr>
          <w:color w:val="000000"/>
        </w:rPr>
        <w:t xml:space="preserve"> </w:t>
      </w:r>
      <w:r>
        <w:rPr>
          <w:color w:val="000000"/>
        </w:rPr>
        <w:t xml:space="preserve">amplitude-modulation flexibility rather than its anisotropy degrees of</w:t>
      </w:r>
      <w:r>
        <w:rPr>
          <w:color w:val="000000"/>
        </w:rPr>
        <w:t xml:space="preserve"> </w:t>
      </w:r>
      <w:r>
        <w:rPr>
          <w:color w:val="000000"/>
        </w:rPr>
        <w:t xml:space="preserve">freedom. Whether deeper k-grids or larger benchmarks would surface more</w:t>
      </w:r>
      <w:r>
        <w:rPr>
          <w:color w:val="000000"/>
        </w:rPr>
        <w:t xml:space="preserve"> </w:t>
      </w:r>
      <w:r>
        <w:rPr>
          <w:color w:val="000000"/>
        </w:rPr>
        <w:t xml:space="preserve">direction sensitivity remains an open question.</w:t>
      </w:r>
    </w:p>
    <w:bookmarkEnd w:id="17"/>
    <w:bookmarkStart w:id="18" w:name="si-10.-reproducibility-details"/>
    <w:p>
      <w:pPr>
        <w:pStyle w:val="Heading2"/>
      </w:pPr>
      <w:r>
        <w:rPr>
          <w:color w:val="000000"/>
        </w:rPr>
        <w:t xml:space="preserve">SI-10. Reproducibility details</w:t>
      </w:r>
    </w:p>
    <w:p>
      <w:pPr>
        <w:pStyle w:val="FirstParagraph"/>
      </w:pPr>
      <w:r>
        <w:rPr>
          <w:b/>
          <w:bCs/>
          <w:color w:val="000000"/>
        </w:rPr>
        <w:t xml:space="preserve">Stratified 5-fold CV.</w:t>
      </w:r>
      <w:r>
        <w:rPr>
          <w:color w:val="000000"/>
        </w:rPr>
        <w:t xml:space="preserve"> </w:t>
      </w:r>
      <w:r>
        <w:rPr>
          <w:color w:val="000000"/>
        </w:rPr>
        <w:t xml:space="preserve">I bin σ into 5 equal-frequency bins and</w:t>
      </w:r>
      <w:r>
        <w:rPr>
          <w:color w:val="000000"/>
        </w:rPr>
        <w:t xml:space="preserve"> </w:t>
      </w:r>
      <w:r>
        <w:rPr>
          <w:color w:val="000000"/>
        </w:rPr>
        <w:t xml:space="preserve">ensure each fold’s training and validation sets contain samples from</w:t>
      </w:r>
      <w:r>
        <w:rPr>
          <w:color w:val="000000"/>
        </w:rPr>
        <w:t xml:space="preserve"> </w:t>
      </w:r>
      <w:r>
        <w:rPr>
          <w:color w:val="000000"/>
        </w:rPr>
        <w:t xml:space="preserve">each bin. Random seed 42 controls the fold assignment; per-seed</w:t>
      </w:r>
      <w:r>
        <w:rPr>
          <w:color w:val="000000"/>
        </w:rPr>
        <w:t xml:space="preserve"> </w:t>
      </w:r>
      <w:r>
        <w:rPr>
          <w:color w:val="000000"/>
        </w:rPr>
        <w:t xml:space="preserve">training runs use seeds {0, 1, 2, 3, 4}.</w:t>
      </w:r>
    </w:p>
    <w:p>
      <w:pPr>
        <w:pStyle w:val="BodyText"/>
      </w:pPr>
      <w:r>
        <w:rPr>
          <w:b/>
          <w:bCs/>
          <w:color w:val="000000"/>
        </w:rPr>
        <w:t xml:space="preserve">OBELiX filter.</w:t>
      </w:r>
      <w:r>
        <w:rPr>
          <w:color w:val="000000"/>
        </w:rPr>
        <w:t xml:space="preserve"> </w:t>
      </w:r>
      <w:r>
        <w:rPr>
          <w:color w:val="000000"/>
        </w:rPr>
        <w:t xml:space="preserve">I use the 281 entries with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log₁₀σ ≥ −15</w:t>
      </w:r>
      <w:r>
        <w:rPr>
          <w:color w:val="000000"/>
        </w:rPr>
        <w:t xml:space="preserve">. Entries</w:t>
      </w:r>
      <w:r>
        <w:rPr>
          <w:color w:val="000000"/>
        </w:rPr>
        <w:t xml:space="preserve"> </w:t>
      </w:r>
      <w:r>
        <w:rPr>
          <w:color w:val="000000"/>
        </w:rPr>
        <w:t xml:space="preserve">below this threshold are below the measurement noise floor (&lt; 10⁻¹⁵</w:t>
      </w:r>
      <w:r>
        <w:rPr>
          <w:color w:val="000000"/>
        </w:rPr>
        <w:t xml:space="preserve"> </w:t>
      </w:r>
      <w:r>
        <w:rPr>
          <w:color w:val="000000"/>
        </w:rPr>
        <w:t xml:space="preserve">S/cm) and act as label-noise outliers in MAE.</w:t>
      </w:r>
    </w:p>
    <w:p>
      <w:pPr>
        <w:pStyle w:val="BodyText"/>
      </w:pPr>
      <w:r>
        <w:rPr>
          <w:b/>
          <w:bCs/>
          <w:color w:val="000000"/>
        </w:rPr>
        <w:t xml:space="preserve">Disordered-occupancy handling.</w:t>
      </w:r>
      <w:r>
        <w:rPr>
          <w:color w:val="000000"/>
        </w:rPr>
        <w:t xml:space="preserve"> </w:t>
      </w:r>
      <w:r>
        <w:rPr>
          <w:color w:val="000000"/>
        </w:rPr>
        <w:t xml:space="preserve">~30 % of OBELiX CIFs carry</w:t>
      </w:r>
      <w:r>
        <w:rPr>
          <w:color w:val="000000"/>
        </w:rPr>
        <w:t xml:space="preserve"> </w:t>
      </w:r>
      <w:r>
        <w:rPr>
          <w:color w:val="000000"/>
        </w:rPr>
        <w:t xml:space="preserve">disordered occupancies. For both DBVF and the MACE-MP-0 baseline I</w:t>
      </w:r>
      <w:r>
        <w:rPr>
          <w:color w:val="000000"/>
        </w:rPr>
        <w:t xml:space="preserve"> </w:t>
      </w:r>
      <w:r>
        <w:rPr>
          <w:color w:val="000000"/>
        </w:rPr>
        <w:t xml:space="preserve">replace each disordered site with its dominant species. For DBVF this</w:t>
      </w:r>
      <w:r>
        <w:rPr>
          <w:color w:val="000000"/>
        </w:rPr>
        <w:t xml:space="preserve"> </w:t>
      </w:r>
      <w:r>
        <w:rPr>
          <w:color w:val="000000"/>
        </w:rPr>
        <w:t xml:space="preserve">is exact at the integer-occupancy limit; for the MACE-MP-0 baseline</w:t>
      </w:r>
      <w:r>
        <w:rPr>
          <w:color w:val="000000"/>
        </w:rPr>
        <w:t xml:space="preserve"> </w:t>
      </w:r>
      <w:r>
        <w:rPr>
          <w:color w:val="000000"/>
        </w:rPr>
        <w:t xml:space="preserve">this leaves 84 of 285 CIFs with energies outside the physical range</w:t>
      </w:r>
      <w:r>
        <w:rPr>
          <w:color w:val="000000"/>
        </w:rPr>
        <w:t xml:space="preserve"> </w:t>
      </w:r>
      <w:r>
        <w:rPr>
          <w:color w:val="000000"/>
        </w:rPr>
        <w:t xml:space="preserve">[−15, 0] eV/atom, which I mark with a validity flag and impute with</w:t>
      </w:r>
      <w:r>
        <w:rPr>
          <w:color w:val="000000"/>
        </w:rPr>
        <w:t xml:space="preserve"> </w:t>
      </w:r>
      <w:r>
        <w:rPr>
          <w:color w:val="000000"/>
        </w:rPr>
        <w:t xml:space="preserve">the dataset mean.</w:t>
      </w:r>
    </w:p>
    <w:p>
      <w:pPr>
        <w:pStyle w:val="BodyText"/>
      </w:pPr>
      <w:r>
        <w:rPr>
          <w:b/>
          <w:bCs/>
          <w:color w:val="000000"/>
        </w:rPr>
        <w:t xml:space="preserve">Software.</w:t>
      </w:r>
      <w:r>
        <w:rPr>
          <w:color w:val="000000"/>
        </w:rPr>
        <w:t xml:space="preserve"> </w:t>
      </w:r>
      <w:r>
        <w:rPr>
          <w:color w:val="000000"/>
        </w:rPr>
        <w:t xml:space="preserve">PyTorch 2.5, PyTorch-Geometric 2.6, LightGBM 4.5,</w:t>
      </w:r>
      <w:r>
        <w:rPr>
          <w:color w:val="000000"/>
        </w:rPr>
        <w:t xml:space="preserve"> </w:t>
      </w:r>
      <w:r>
        <w:rPr>
          <w:color w:val="000000"/>
        </w:rPr>
        <w:t xml:space="preserve">pymatgen 2024.10. Hardware: single 12-GB consumer GPU.</w:t>
      </w:r>
    </w:p>
    <w:p>
      <w:pPr>
        <w:pStyle w:val="BodyText"/>
      </w:pPr>
      <w:r>
        <w:rPr>
          <w:b/>
          <w:bCs/>
          <w:color w:val="000000"/>
        </w:rPr>
        <w:t xml:space="preserve">Stacking protocol.</w:t>
      </w:r>
      <w:r>
        <w:rPr>
          <w:color w:val="000000"/>
        </w:rPr>
        <w:t xml:space="preserve"> </w:t>
      </w:r>
      <w:r>
        <w:rPr>
          <w:color w:val="000000"/>
        </w:rPr>
        <w:t xml:space="preserve">Out-of-fold k-SEC predictions are computed by</w:t>
      </w:r>
      <w:r>
        <w:rPr>
          <w:color w:val="000000"/>
        </w:rPr>
        <w:t xml:space="preserve"> </w:t>
      </w:r>
      <w:r>
        <w:rPr>
          <w:color w:val="000000"/>
        </w:rPr>
        <w:t xml:space="preserve">holding out each fold during training and predicting only on that</w:t>
      </w:r>
      <w:r>
        <w:rPr>
          <w:color w:val="000000"/>
        </w:rPr>
        <w:t xml:space="preserve"> </w:t>
      </w:r>
      <w:r>
        <w:rPr>
          <w:color w:val="000000"/>
        </w:rPr>
        <w:t xml:space="preserve">fold’s validation samples. The same is done for LightGBM. Both OOF</w:t>
      </w:r>
      <w:r>
        <w:rPr>
          <w:color w:val="000000"/>
        </w:rPr>
        <w:t xml:space="preserve"> </w:t>
      </w:r>
      <w:r>
        <w:rPr>
          <w:color w:val="000000"/>
        </w:rPr>
        <w:t xml:space="preserve">prediction vectors are concatenated as 2-d inputs to a per-fold ridge</w:t>
      </w:r>
      <w:r>
        <w:rPr>
          <w:color w:val="000000"/>
        </w:rPr>
        <w:t xml:space="preserve"> </w:t>
      </w:r>
      <w:r>
        <w:rPr>
          <w:color w:val="000000"/>
        </w:rPr>
        <w:t xml:space="preserve">regression (regularisation strength tuned by inner CV).</w:t>
      </w:r>
    </w:p>
    <w:bookmarkEnd w:id="18"/>
    <w:bookmarkStart w:id="19" w:name="X0709961698b882e043b9bde4778d460bfb6fd70"/>
    <w:p>
      <w:pPr>
        <w:pStyle w:val="Heading2"/>
      </w:pPr>
      <w:r>
        <w:rPr>
          <w:color w:val="000000"/>
        </w:rPr>
        <w:t xml:space="preserve">SI-11. Per-seed and per-fold breakdown of the headline result</w:t>
      </w:r>
    </w:p>
    <w:p>
      <w:pPr>
        <w:pStyle w:val="FirstParagraph"/>
      </w:pPr>
      <w:r>
        <w:rPr>
          <w:color w:val="000000"/>
        </w:rPr>
        <w:t xml:space="preserve">5-fold stratified CV × 5 seeds for k-SEC + DBVF (Phase B1). Per-seed</w:t>
      </w:r>
      <w:r>
        <w:rPr>
          <w:color w:val="000000"/>
        </w:rPr>
        <w:t xml:space="preserve"> </w:t>
      </w:r>
      <w:r>
        <w:rPr>
          <w:color w:val="000000"/>
        </w:rPr>
        <w:t xml:space="preserve">MAE values are mean across folds.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Fold 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Fold 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Fold 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Fold 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Fold 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mean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1.291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1.245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1.058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1.301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1.342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1.204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1.274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1.137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1.094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1.348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1.431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1.168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1.017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1.205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1.301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1.214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1.209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1.202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1.301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1.466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0.208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Mean across seeds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1.233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5-seed ensemble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standard deviation across seeds (0.012) is among the tightest I</w:t>
      </w:r>
      <w:r>
        <w:rPr>
          <w:color w:val="000000"/>
        </w:rPr>
        <w:t xml:space="preserve"> </w:t>
      </w:r>
      <w:r>
        <w:rPr>
          <w:color w:val="000000"/>
        </w:rPr>
        <w:t xml:space="preserve">observe on this benchmark — well below the per-seed within-fold</w:t>
      </w:r>
      <w:r>
        <w:rPr>
          <w:color w:val="000000"/>
        </w:rPr>
        <w:t xml:space="preserve"> </w:t>
      </w:r>
      <w:r>
        <w:rPr>
          <w:color w:val="000000"/>
        </w:rPr>
        <w:t xml:space="preserve">variation (~ 0.10). The 5-seed ensemble (mean of per-seed predictions)</w:t>
      </w:r>
      <w:r>
        <w:rPr>
          <w:color w:val="000000"/>
        </w:rPr>
        <w:t xml:space="preserve"> </w:t>
      </w:r>
      <w:r>
        <w:rPr>
          <w:color w:val="000000"/>
        </w:rPr>
        <w:t xml:space="preserve">reduces MAE by 0.186 relative to the per-seed mean — a 15 % gain</w:t>
      </w:r>
      <w:r>
        <w:rPr>
          <w:color w:val="000000"/>
        </w:rPr>
        <w:t xml:space="preserve"> </w:t>
      </w:r>
      <w:r>
        <w:rPr>
          <w:color w:val="000000"/>
        </w:rPr>
        <w:t xml:space="preserve">purely from ensembling, consistent with the well-known low-data</w:t>
      </w:r>
      <w:r>
        <w:rPr>
          <w:color w:val="000000"/>
        </w:rPr>
        <w:t xml:space="preserve"> </w:t>
      </w:r>
      <w:r>
        <w:rPr>
          <w:color w:val="000000"/>
        </w:rPr>
        <w:t xml:space="preserve">ensembling lift.</w:t>
      </w:r>
    </w:p>
    <w:bookmarkEnd w:id="19"/>
    <w:bookmarkStart w:id="20" w:name="Xd42e005e3cfa91573316d5b81d0fab5963302b1"/>
    <w:p>
      <w:pPr>
        <w:pStyle w:val="Heading2"/>
      </w:pPr>
      <w:r>
        <w:rPr>
          <w:color w:val="000000"/>
        </w:rPr>
        <w:t xml:space="preserve">SI-12. Headline ranking diagnostics with bootstrap CIs</w:t>
      </w:r>
    </w:p>
    <w:p>
      <w:pPr>
        <w:pStyle w:val="FirstParagraph"/>
      </w:pPr>
      <w:r>
        <w:rPr>
          <w:color w:val="000000"/>
        </w:rPr>
        <w:t xml:space="preserve">Out-of-fold ranking quality of the headline ensemble. CIs are</w:t>
      </w:r>
      <w:r>
        <w:rPr>
          <w:color w:val="000000"/>
        </w:rPr>
        <w:t xml:space="preserve"> </w:t>
      </w:r>
      <w:r>
        <w:rPr>
          <w:color w:val="000000"/>
        </w:rPr>
        <w:t xml:space="preserve">non-parametric stratified bootstrap over the 281 OOF predictions</w:t>
      </w:r>
      <w:r>
        <w:rPr>
          <w:color w:val="000000"/>
        </w:rPr>
        <w:t xml:space="preserve"> </w:t>
      </w:r>
      <w:r>
        <w:rPr>
          <w:color w:val="000000"/>
        </w:rPr>
        <w:t xml:space="preserve">(5,000 resamples).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Point estimate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95 % CI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Random baseline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[0.706, 0.841]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Top-10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[0.300, 0.900]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0.036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19.7×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Top-20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[0.450, 0.900]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0.071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9.8×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Top-30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[0.467, 0.767]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5.6×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Top-50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[0.580, 0.780]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0.178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3.8×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Top-100 precision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[0.710, 0.850]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0.356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2.2×</w:t>
            </w:r>
          </w:p>
        </w:tc>
      </w:tr>
    </w:tbl>
    <w:p>
      <w:pPr>
        <w:pStyle w:val="BodyText"/>
      </w:pPr>
      <w:r>
        <w:rPr>
          <w:color w:val="000000"/>
        </w:rPr>
        <w:t xml:space="preserve">Per-σ-bin MAE with bootstrap CIs (281 OBELiX samples, OOF):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log₁₀σ bin (S/cm)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95 %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[−15, −10)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3.63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[2.69, 4.53]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[−10, −7)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1.59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[1.28, 1.92]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[−7, −5)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[0.73, 1.15]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[−5, −3)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0.73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[0.59, 0.89]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[−3, 0)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[0.56, 1.15]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1.047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[0.925, 1.183]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log₁₀σ &gt; −7 (screening-relevant)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0.81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pStyle w:val="BodyText"/>
      </w:pPr>
      <w:r>
        <w:rPr>
          <w:color w:val="000000"/>
        </w:rPr>
        <w:t xml:space="preserve">Bootstrap data are saved at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results/phaseB1_bootstrap_ci.json</w:t>
      </w:r>
      <w:r>
        <w:rPr>
          <w:color w:val="000000"/>
        </w:rPr>
        <w:t xml:space="preserve"> </w:t>
      </w:r>
      <w:r>
        <w:rPr>
          <w:color w:val="000000"/>
        </w:rPr>
        <w:t xml:space="preserve">and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results/phaseB1_ranking_analysis.json</w:t>
      </w:r>
      <w:r>
        <w:rPr>
          <w:color w:val="000000"/>
        </w:rPr>
        <w:t xml:space="preserve">.</w:t>
      </w:r>
    </w:p>
    <w:bookmarkEnd w:id="20"/>
    <w:bookmarkStart w:id="21" w:name="si-12a.-learned-dbvf-parameters"/>
    <w:p>
      <w:pPr>
        <w:pStyle w:val="Heading2"/>
      </w:pPr>
      <w:r>
        <w:rPr>
          <w:color w:val="000000"/>
        </w:rPr>
        <w:t xml:space="preserve">SI-12a. Learned DBVF parameters</w:t>
      </w:r>
    </w:p>
    <w:p>
      <w:pPr>
        <w:pStyle w:val="FirstParagraph"/>
      </w:pPr>
      <w:r>
        <w:rPr>
          <w:color w:val="000000"/>
        </w:rPr>
        <w:t xml:space="preserve">Per-anion bond-valence parameters extracted from the five Phase B1 seed</w:t>
      </w:r>
      <w:r>
        <w:rPr>
          <w:color w:val="000000"/>
        </w:rPr>
        <w:t xml:space="preserve"> </w:t>
      </w:r>
      <w:r>
        <w:rPr>
          <w:color w:val="000000"/>
        </w:rPr>
        <w:t xml:space="preserve">checkpoints (script: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scripts/28_dbvf_interpret.py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color w:val="000000"/>
        </w:rPr>
        <w:t xml:space="preserve">output: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results/dbvf_learned_params.json</w:t>
      </w:r>
      <w:r>
        <w:rPr>
          <w:color w:val="000000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Anion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r₀ init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r₀ learned (mean ± std, 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Δr₀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 init (Å)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 learned (mean ± std, Å)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Δb (Å)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1.466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1.445 ± 0.026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−0.021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0.360 ± 0.021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1.850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1.874 ± 0.023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+0.024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0.405 ± 0.006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1.930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1.909 ± 0.017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−0.021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0.395 ± 0.006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1.360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1.352 ± 0.011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0.366 ± 0.006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1.790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1.800 ± 0.032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0.403 ± 0.016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1.920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1.842 ± 0.054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−0.078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0.372 ± 0.021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2.070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2.102 ± 0.063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+0.032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0.402 ± 0.010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+0.002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1.610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1.606 ± 0.027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0.370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0.365 ± 0.014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−0.005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largest drift is the Li–Br pair (Δr₀ = −0.078 Å, Δb = −0.028 Å);</w:t>
      </w:r>
      <w:r>
        <w:rPr>
          <w:color w:val="000000"/>
        </w:rPr>
        <w:t xml:space="preserve"> </w:t>
      </w:r>
      <w:r>
        <w:rPr>
          <w:color w:val="000000"/>
        </w:rPr>
        <w:t xml:space="preserve">the seed-to-seed std on r₀ is at most 0.063 Å (I), confirming that</w:t>
      </w:r>
      <w:r>
        <w:rPr>
          <w:color w:val="000000"/>
        </w:rPr>
        <w:t xml:space="preserve"> </w:t>
      </w:r>
      <w:r>
        <w:rPr>
          <w:color w:val="000000"/>
        </w:rPr>
        <w:t xml:space="preserve">the learned parameters are stable across random initialisations of</w:t>
      </w:r>
      <w:r>
        <w:rPr>
          <w:color w:val="000000"/>
        </w:rPr>
        <w:t xml:space="preserve"> </w:t>
      </w:r>
      <w:r>
        <w:rPr>
          <w:color w:val="000000"/>
        </w:rPr>
        <w:t xml:space="preserve">the rest of the network.</w:t>
      </w:r>
    </w:p>
    <w:bookmarkEnd w:id="21"/>
    <w:bookmarkStart w:id="24" w:name="X3ce6e99a3a7d8c08e4094643cd252e010b37857"/>
    <w:p>
      <w:pPr>
        <w:pStyle w:val="Heading2"/>
      </w:pPr>
      <w:r>
        <w:rPr>
          <w:color w:val="000000"/>
        </w:rPr>
        <w:t xml:space="preserve">SI-12b. Learning-curve experiment design and full results</w:t>
      </w:r>
    </w:p>
    <w:p>
      <w:pPr>
        <w:pStyle w:val="FirstParagraph"/>
      </w:pPr>
      <w:r>
        <w:rPr>
          <w:color w:val="000000"/>
        </w:rPr>
        <w:t xml:space="preserve">I test whether the standalone neural-vs-tabular MAE gap at n = 281</w:t>
      </w:r>
      <w:r>
        <w:rPr>
          <w:color w:val="000000"/>
        </w:rPr>
        <w:t xml:space="preserve"> </w:t>
      </w:r>
      <w:r>
        <w:rPr>
          <w:color w:val="000000"/>
        </w:rPr>
        <w:t xml:space="preserve">(Section 4.1) is a fundamental ceiling or a small-data effect by</w:t>
      </w:r>
      <w:r>
        <w:rPr>
          <w:color w:val="000000"/>
        </w:rPr>
        <w:t xml:space="preserve"> </w:t>
      </w:r>
      <w:r>
        <w:rPr>
          <w:color w:val="000000"/>
        </w:rPr>
        <w:t xml:space="preserve">repeating the headline experiment at four training fractions</w:t>
      </w:r>
      <w:r>
        <w:rPr>
          <w:color w:val="000000"/>
        </w:rPr>
        <w:t xml:space="preserve"> </w:t>
      </w:r>
      <w:r>
        <w:rPr>
          <w:color w:val="000000"/>
        </w:rPr>
        <w:t xml:space="preserve">{0.4, 0.6, 0.8, 1.0}. Inside each 5-fold CV partition, 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test</w:t>
      </w:r>
      <w:r>
        <w:rPr>
          <w:color w:val="000000"/>
        </w:rPr>
        <w:t xml:space="preserve"> </w:t>
      </w:r>
      <w:r>
        <w:rPr>
          <w:color w:val="000000"/>
        </w:rPr>
        <w:t xml:space="preserve">fold is unchanged so test-MAE is directly comparable across n; only</w:t>
      </w:r>
      <w:r>
        <w:rPr>
          <w:color w:val="000000"/>
        </w:rPr>
        <w:t xml:space="preserve"> </w:t>
      </w:r>
      <w:r>
        <w:rPr>
          <w:color w:val="000000"/>
        </w:rPr>
        <w:t xml:space="preserve">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training</w:t>
      </w:r>
      <w:r>
        <w:rPr>
          <w:color w:val="000000"/>
        </w:rPr>
        <w:t xml:space="preserve"> </w:t>
      </w:r>
      <w:r>
        <w:rPr>
          <w:color w:val="000000"/>
        </w:rPr>
        <w:t xml:space="preserve">fold is subsampled. Subsampling is stratified on</w:t>
      </w:r>
      <w:r>
        <w:rPr>
          <w:color w:val="000000"/>
        </w:rPr>
        <w:t xml:space="preserve"> </w:t>
      </w:r>
      <w:r>
        <w:rPr>
          <w:color w:val="000000"/>
        </w:rPr>
        <w:t xml:space="preserve">log₁₀σ quintiles to preserve the σ-distribution shape at each n.</w:t>
      </w:r>
    </w:p>
    <w:p>
      <w:pPr>
        <w:pStyle w:val="BodyText"/>
      </w:pPr>
      <w:r>
        <w:rPr>
          <w:color w:val="000000"/>
        </w:rPr>
        <w:t xml:space="preserve">Per-fold sample sizes: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Training fraction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n_train per fold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n_test per 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~135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~180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~225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~56</w:t>
            </w:r>
          </w:p>
        </w:tc>
      </w:tr>
    </w:tbl>
    <w:p>
      <w:pPr>
        <w:pStyle w:val="BodyText"/>
      </w:pPr>
      <w:r>
        <w:rPr>
          <w:color w:val="000000"/>
        </w:rPr>
        <w:t xml:space="preserve">The fraction = 1.0 point reuses the existing 5-seed Phase B1 result</w:t>
      </w:r>
      <w:r>
        <w:rPr>
          <w:color w:val="000000"/>
        </w:rPr>
        <w:t xml:space="preserve"> </w:t>
      </w:r>
      <w:r>
        <w:rPr>
          <w:color w:val="000000"/>
        </w:rPr>
        <w:t xml:space="preserve">(no retraining). Smaller fractions were run with 3 seeds × 5 folds ×</w:t>
      </w:r>
      <w:r>
        <w:rPr>
          <w:color w:val="000000"/>
        </w:rPr>
        <w:t xml:space="preserve"> </w:t>
      </w:r>
      <w:r>
        <w:rPr>
          <w:color w:val="000000"/>
        </w:rPr>
        <w:t xml:space="preserve">60 epochs each (batch size 8 to stay within 12-GB GPU memory).</w:t>
      </w:r>
      <w:r>
        <w:rPr>
          <w:color w:val="000000"/>
        </w:rPr>
        <w:t xml:space="preserve"> </w:t>
      </w:r>
      <w:r>
        <w:rPr>
          <w:color w:val="000000"/>
        </w:rPr>
        <w:t xml:space="preserve">LightGBM was run separately at the same fractions with 5 seeds.</w:t>
      </w:r>
      <w:r>
        <w:rPr>
          <w:color w:val="000000"/>
        </w:rPr>
        <w:t xml:space="preserve"> </w:t>
      </w:r>
      <w:r>
        <w:rPr>
          <w:color w:val="000000"/>
        </w:rPr>
        <w:t xml:space="preserve">Both fold-split and within-fold subsampling RNGs are seeded so the</w:t>
      </w:r>
      <w:r>
        <w:rPr>
          <w:color w:val="000000"/>
        </w:rPr>
        <w:t xml:space="preserve"> </w:t>
      </w:r>
      <w:r>
        <w:rPr>
          <w:color w:val="000000"/>
        </w:rPr>
        <w:t xml:space="preserve">experiment is exactly reproducible (</w:t>
      </w:r>
      <w:r>
        <w:rPr>
          <w:rStyle w:val="VerbatimChar"/>
          <w:color w:val="000000"/>
        </w:rPr>
        <w:t xml:space="preserve">scripts/29_learning_curve.py</w:t>
      </w:r>
      <w:r>
        <w:rPr>
          <w:color w:val="000000"/>
        </w:rPr>
        <w:t xml:space="preserve">).</w:t>
      </w:r>
    </w:p>
    <w:p>
      <w:pPr>
        <w:pStyle w:val="BodyText"/>
      </w:pPr>
      <w:r>
        <w:rPr>
          <w:b/>
          <w:bCs/>
          <w:color w:val="000000"/>
        </w:rPr>
        <w:t xml:space="preserve">Note on f = 0.6 (n_train = 135).</w:t>
      </w:r>
      <w:r>
        <w:rPr>
          <w:color w:val="000000"/>
        </w:rPr>
        <w:t xml:space="preserve"> </w:t>
      </w:r>
      <w:r>
        <w:rPr>
          <w:color w:val="000000"/>
        </w:rPr>
        <w:t xml:space="preserve">The k-SEC + DBVF run at this</w:t>
      </w:r>
      <w:r>
        <w:rPr>
          <w:color w:val="000000"/>
        </w:rPr>
        <w:t xml:space="preserve"> </w:t>
      </w:r>
      <w:r>
        <w:rPr>
          <w:color w:val="000000"/>
        </w:rPr>
        <w:t xml:space="preserve">fraction completed 2 of the 3 planned seeds before a CUDA OOM</w:t>
      </w:r>
      <w:r>
        <w:rPr>
          <w:color w:val="000000"/>
        </w:rPr>
        <w:t xml:space="preserve"> </w:t>
      </w:r>
      <w:r>
        <w:rPr>
          <w:color w:val="000000"/>
        </w:rPr>
        <w:t xml:space="preserve">event terminated the third seed. I include the 2-seed estimate in</w:t>
      </w:r>
      <w:r>
        <w:rPr>
          <w:color w:val="000000"/>
        </w:rPr>
        <w:t xml:space="preserve"> </w:t>
      </w:r>
      <w:r>
        <w:rPr>
          <w:color w:val="000000"/>
        </w:rPr>
        <w:t xml:space="preserve">the manuscript (per-seed mean 1.267 ± 0.034 across seeds 0 and 1) for</w:t>
      </w:r>
      <w:r>
        <w:rPr>
          <w:color w:val="000000"/>
        </w:rPr>
        <w:t xml:space="preserve"> </w:t>
      </w:r>
      <w:r>
        <w:rPr>
          <w:color w:val="000000"/>
        </w:rPr>
        <w:t xml:space="preserve">completeness; the manuscript discloses this in Figure 11 and in the</w:t>
      </w:r>
      <w:r>
        <w:rPr>
          <w:color w:val="000000"/>
        </w:rPr>
        <w:t xml:space="preserve"> </w:t>
      </w:r>
      <w:r>
        <w:rPr>
          <w:color w:val="000000"/>
        </w:rPr>
        <w:t xml:space="preserve">Section 4.10 table.</w:t>
      </w:r>
    </w:p>
    <w:bookmarkStart w:id="22" w:name="per-seed-mae-table"/>
    <w:p>
      <w:pPr>
        <w:pStyle w:val="Heading3"/>
      </w:pPr>
      <w:r>
        <w:rPr>
          <w:color w:val="000000"/>
        </w:rPr>
        <w:t xml:space="preserve">Per-seed MAE table</w:t>
      </w:r>
    </w:p>
    <w:p>
      <w:pPr>
        <w:pStyle w:val="FirstParagraph"/>
      </w:pPr>
      <w:r>
        <w:rPr>
          <w:color w:val="000000"/>
        </w:rPr>
        <w:t xml:space="preserve">k-SEC + DBVF (per-seed mean across folds, then aggregate across seeds):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n_train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mean ± 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1.460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1.420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1.493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1.458 ± 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135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1.300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(failed)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1.267 ± 0.034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1.295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1.240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1.263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1.266 ± 0.023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1.245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1.236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1.209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1.239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1.233 ± 0.012</w:t>
            </w:r>
          </w:p>
        </w:tc>
      </w:tr>
    </w:tbl>
    <w:p>
      <w:pPr>
        <w:pStyle w:val="BodyText"/>
      </w:pPr>
      <w:r>
        <w:rPr>
          <w:color w:val="000000"/>
        </w:rPr>
        <w:t xml:space="preserve">LightGBM full features (per-seed MAE):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n_train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1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seed 4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mean ± 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1.151 ± 0.069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135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1.099 ± 0.035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1.065 ± 0.038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0.933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1.095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0.967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1.022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1.028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1.009 ± 0.056</w:t>
            </w:r>
          </w:p>
        </w:tc>
      </w:tr>
    </w:tbl>
    <w:p>
      <w:pPr>
        <w:pStyle w:val="BodyText"/>
      </w:pPr>
      <w:r>
        <w:rPr>
          <w:color w:val="000000"/>
        </w:rPr>
        <w:t xml:space="preserve">(LightGBM per-seed individual values for n_train &lt; 225 are saved in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results/learning_curve_lgbm_f*.json</w:t>
      </w:r>
      <w:r>
        <w:rPr>
          <w:color w:val="000000"/>
        </w:rPr>
        <w:t xml:space="preserve"> </w:t>
      </w:r>
      <w:r>
        <w:rPr>
          <w:color w:val="000000"/>
        </w:rPr>
        <w:t xml:space="preserve">and omitted from this table for</w:t>
      </w:r>
      <w:r>
        <w:rPr>
          <w:color w:val="000000"/>
        </w:rPr>
        <w:t xml:space="preserve"> </w:t>
      </w:r>
      <w:r>
        <w:rPr>
          <w:color w:val="000000"/>
        </w:rPr>
        <w:t xml:space="preserve">brevity.)</w:t>
      </w:r>
    </w:p>
    <w:bookmarkEnd w:id="22"/>
    <w:bookmarkStart w:id="23" w:name="slope-summary"/>
    <w:p>
      <w:pPr>
        <w:pStyle w:val="Heading3"/>
      </w:pPr>
      <w:r>
        <w:rPr>
          <w:color w:val="000000"/>
        </w:rPr>
        <w:t xml:space="preserve">Slope summary</w:t>
      </w:r>
    </w:p>
    <w:p>
      <w:pPr>
        <w:pStyle w:val="FirstParagraph"/>
      </w:pPr>
      <w:r>
        <w:rPr>
          <w:color w:val="000000"/>
        </w:rPr>
        <w:t xml:space="preserve">Linear-fit slope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dMAE/dn_train</w:t>
      </w:r>
      <w:r>
        <w:rPr>
          <w:color w:val="000000"/>
        </w:rPr>
        <w:t xml:space="preserve"> </w:t>
      </w:r>
      <w:r>
        <w:rPr>
          <w:color w:val="000000"/>
        </w:rPr>
        <w:t xml:space="preserve">over n_train ∈ [90, 225]:</w:t>
      </w:r>
      <w:r>
        <w:rPr>
          <w:color w:val="000000"/>
        </w:rPr>
        <w:t xml:space="preserve"> </w:t>
      </w:r>
      <w:r>
        <w:rPr>
          <w:color w:val="000000"/>
        </w:rPr>
        <w:t xml:space="preserve">- k-SEC + DBVF: −0.0014 MAE/sample (steep decrease early, plateau after n = 135)</w:t>
      </w:r>
      <w:r>
        <w:rPr>
          <w:color w:val="000000"/>
        </w:rPr>
        <w:t xml:space="preserve"> </w:t>
      </w:r>
      <w:r>
        <w:rPr>
          <w:color w:val="000000"/>
        </w:rPr>
        <w:t xml:space="preserve">- LightGBM: −0.0010 MAE/sample (roughly linear)</w:t>
      </w:r>
    </w:p>
    <w:p>
      <w:pPr>
        <w:pStyle w:val="BodyText"/>
      </w:pPr>
      <w:r>
        <w:rPr>
          <w:color w:val="000000"/>
        </w:rPr>
        <w:t xml:space="preserve">Gap slope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dΔ/dn_train</w:t>
      </w:r>
      <w:r>
        <w:rPr>
          <w:color w:val="000000"/>
        </w:rPr>
        <w:t xml:space="preserve"> </w:t>
      </w:r>
      <w:r>
        <w:rPr>
          <w:color w:val="000000"/>
        </w:rPr>
        <w:t xml:space="preserve">= +0.0004 MAE/sample over the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plateau region</w:t>
      </w:r>
      <w:r>
        <w:rPr>
          <w:color w:val="000000"/>
        </w:rPr>
        <w:t xml:space="preserve"> </w:t>
      </w:r>
      <w:r>
        <w:rPr>
          <w:color w:val="000000"/>
        </w:rPr>
        <w:t xml:space="preserve">n ≥ 135 (i.e. the gap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grows</w:t>
      </w:r>
      <w:r>
        <w:rPr>
          <w:color w:val="000000"/>
        </w:rPr>
        <w:t xml:space="preserve"> </w:t>
      </w:r>
      <w:r>
        <w:rPr>
          <w:color w:val="000000"/>
        </w:rPr>
        <w:t xml:space="preserve">slightly with n in the n ∈ [135, 225]</w:t>
      </w:r>
      <w:r>
        <w:rPr>
          <w:color w:val="000000"/>
        </w:rPr>
        <w:t xml:space="preserve"> </w:t>
      </w:r>
      <w:r>
        <w:rPr>
          <w:color w:val="000000"/>
        </w:rPr>
        <w:t xml:space="preserve">sub-range). Over the full range n ∈ [90, 225] the gap slope is</w:t>
      </w:r>
      <w:r>
        <w:rPr>
          <w:color w:val="000000"/>
        </w:rPr>
        <w:t xml:space="preserve"> </w:t>
      </w:r>
      <w:r>
        <w:rPr>
          <w:color w:val="000000"/>
        </w:rPr>
        <w:t xml:space="preserve">−0.0006 MAE/sample (gap shrinks with n averaged over the full range,</w:t>
      </w:r>
      <w:r>
        <w:rPr>
          <w:color w:val="000000"/>
        </w:rPr>
        <w:t xml:space="preserve"> </w:t>
      </w:r>
      <w:r>
        <w:rPr>
          <w:color w:val="000000"/>
        </w:rPr>
        <w:t xml:space="preserve">driven entirely by the n = 90 → n = 135 step).</w:t>
      </w:r>
    </w:p>
    <w:bookmarkEnd w:id="23"/>
    <w:bookmarkEnd w:id="24"/>
    <w:bookmarkStart w:id="25" w:name="si-13.-hyper-parameter-table"/>
    <w:p>
      <w:pPr>
        <w:pStyle w:val="Heading2"/>
      </w:pPr>
      <w:r>
        <w:rPr>
          <w:color w:val="000000"/>
        </w:rPr>
        <w:t xml:space="preserve">SI-13. Hyper-parameter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Hyper-parameter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k-grid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n_max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Atomic embedding dim D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Number of k-SEC blocks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Cross-shell attention heads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Dropout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Bond-valence cutoff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R_cut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4.0 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DBVF anion species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Cl, Br, I, F, O, S, Se, N, P,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AdamW (lr 1e-3, wd 1e-4)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Cosine annealing, 5-epoch warmup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Epochs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Loss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Smooth-L1 on log₁₀σ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Pretrain epochs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Pretrain batch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Pretrain target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Formation energy per atom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Pretrain corpus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18,574 Li-containing MP crystals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Random seeds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{0, 1, 2, 3, 4}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CV folds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5 (stratified on σ histogram)</w:t>
            </w:r>
          </w:p>
        </w:tc>
      </w:tr>
    </w:tbl>
    <w:bookmarkEnd w:id="25"/>
    <w:bookmarkStart w:id="26" w:name="si-figures"/>
    <w:p>
      <w:pPr>
        <w:pStyle w:val="Heading2"/>
      </w:pPr>
      <w:r>
        <w:rPr>
          <w:color w:val="000000"/>
        </w:rPr>
        <w:t xml:space="preserve">SI Figures</w:t>
      </w:r>
    </w:p>
    <w:p>
      <w:pPr>
        <w:pStyle w:val="FirstParagraph"/>
      </w:pPr>
      <w:r>
        <w:rPr>
          <w:b/>
          <w:bCs/>
          <w:color w:val="000000"/>
        </w:rPr>
        <w:t xml:space="preserve">Figure S1.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MC-dropout calibration.</w:t>
      </w:r>
      <w:r>
        <w:rPr>
          <w:color w:val="000000"/>
        </w:rPr>
        <w:t xml:space="preserve"> </w:t>
      </w:r>
      <w:r>
        <w:rPr>
          <w:color w:val="000000"/>
        </w:rPr>
        <w:t xml:space="preserve">Coverage of 1σ and 1.96σ</w:t>
      </w:r>
      <w:r>
        <w:rPr>
          <w:color w:val="000000"/>
        </w:rPr>
        <w:t xml:space="preserve"> </w:t>
      </w:r>
      <w:r>
        <w:rPr>
          <w:color w:val="000000"/>
        </w:rPr>
        <w:t xml:space="preserve">prediction intervals against the empirical fraction of held-out</w:t>
      </w:r>
      <w:r>
        <w:rPr>
          <w:color w:val="000000"/>
        </w:rPr>
        <w:t xml:space="preserve"> </w:t>
      </w:r>
      <w:r>
        <w:rPr>
          <w:color w:val="000000"/>
        </w:rPr>
        <w:t xml:space="preserve">points falling within each interval.</w:t>
      </w:r>
    </w:p>
    <w:p>
      <w:pPr>
        <w:pStyle w:val="BodyText"/>
      </w:pPr>
      <w:r>
        <w:rPr>
          <w:b/>
          <w:bCs/>
          <w:color w:val="000000"/>
        </w:rPr>
        <w:t xml:space="preserve">Figure S2.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Top-K precision over OOF predictions.</w:t>
      </w:r>
      <w:r>
        <w:rPr>
          <w:color w:val="000000"/>
        </w:rPr>
        <w:t xml:space="preserve"> </w:t>
      </w:r>
      <w:r>
        <w:rPr>
          <w:color w:val="000000"/>
        </w:rPr>
        <w:t xml:space="preserve">Model</w:t>
      </w:r>
      <w:r>
        <w:rPr>
          <w:color w:val="000000"/>
        </w:rPr>
        <w:t xml:space="preserve"> </w:t>
      </w:r>
      <w:r>
        <w:rPr>
          <w:color w:val="000000"/>
        </w:rPr>
        <w:t xml:space="preserve">precision (black solid) vs. random-ranking baseline (gray dashed)</w:t>
      </w:r>
      <w:r>
        <w:rPr>
          <w:color w:val="000000"/>
        </w:rPr>
        <w:t xml:space="preserve"> </w:t>
      </w:r>
      <w:r>
        <w:rPr>
          <w:color w:val="000000"/>
        </w:rPr>
        <w:t xml:space="preserve">at K = 10, 20, 30, 50, 100. The 19.7× lift at K = 10 indicates the</w:t>
      </w:r>
      <w:r>
        <w:rPr>
          <w:color w:val="000000"/>
        </w:rPr>
        <w:t xml:space="preserve"> </w:t>
      </w:r>
      <w:r>
        <w:rPr>
          <w:color w:val="000000"/>
        </w:rPr>
        <w:t xml:space="preserve">ranking is materially informative for virtual screening.</w:t>
      </w:r>
    </w:p>
    <w:p>
      <w:pPr>
        <w:pStyle w:val="BodyText"/>
      </w:pPr>
      <w:r>
        <w:rPr>
          <w:b/>
          <w:bCs/>
          <w:color w:val="000000"/>
        </w:rPr>
        <w:t xml:space="preserve">Figure S3.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Cubic-harmonic filter direction sensitivity.</w:t>
      </w:r>
      <w:r>
        <w:rPr>
          <w:color w:val="000000"/>
        </w:rPr>
        <w:t xml:space="preserve"> </w:t>
      </w:r>
      <w:r>
        <w:rPr>
          <w:color w:val="000000"/>
        </w:rPr>
        <w:t xml:space="preserve">Filter response across O_h-symmetric crystal directions [100],</w:t>
      </w:r>
      <w:r>
        <w:rPr>
          <w:color w:val="000000"/>
        </w:rPr>
        <w:t xml:space="preserve"> </w:t>
      </w:r>
      <w:r>
        <w:rPr>
          <w:color w:val="000000"/>
        </w:rPr>
        <w:t xml:space="preserve">[110], [111], [210], [211] at fixed |k| = 2. Mean directional</w:t>
      </w:r>
      <w:r>
        <w:rPr>
          <w:color w:val="000000"/>
        </w:rPr>
        <w:t xml:space="preserve"> </w:t>
      </w:r>
      <w:r>
        <w:rPr>
          <w:color w:val="000000"/>
        </w:rPr>
        <w:t xml:space="preserve">spread (rel. std) is 0.05, indicating modest but non-zero direction</w:t>
      </w:r>
      <w:r>
        <w:rPr>
          <w:color w:val="000000"/>
        </w:rPr>
        <w:t xml:space="preserve"> </w:t>
      </w:r>
      <w:r>
        <w:rPr>
          <w:color w:val="000000"/>
        </w:rPr>
        <w:t xml:space="preserve">sensitivity.</w:t>
      </w:r>
    </w:p>
    <w:bookmarkEnd w:id="26"/>
    <w:bookmarkEnd w:id="27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2026-04-28T05:18:40Z</dcterms:created>
  <dcterms:modified xsi:type="dcterms:W3CDTF">2026-04-28T05:18:40Z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