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Cubic-Equivariant k-Space Convolution and a Differentiable Bond-Valence Field for Ionic-Conductivity Prediction in Solid-State Electrolytes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Sunwoo Lee</w:t>
      </w:r>
      <w:r>
        <w:rPr>
          <w:rFonts w:ascii="Times New Roman" w:hAnsi="Times New Roman"/>
          <w:b w:val="0"/>
          <w:i w:val="0"/>
          <w:color w:val="000000"/>
          <w:sz w:val="20"/>
        </w:rPr>
        <w:t>¹*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(corresponding author)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Affiliations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¹ Independent researcher, South Korea.</w:t>
      </w:r>
    </w:p>
    <w:p>
      <w:pPr>
        <w:spacing w:before="20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Corresponding author</w:t>
      </w:r>
    </w:p>
    <w:p>
      <w:pPr>
        <w:spacing w:before="0" w:after="8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* Sunwoo Lee</w:t>
        <w:br/>
        <w:t>Independent researcher, South Korea</w:t>
        <w:br/>
        <w:t>ORCID: 0009-0004-9159-367X</w:t>
        <w:br/>
        <w:t>Email: lee.11539@buckeyemail.osu.edu</w:t>
      </w:r>
    </w:p>
    <w:p>
      <w:pPr>
        <w:spacing w:before="20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Abstract</w:t>
      </w:r>
    </w:p>
    <w:p>
      <w:pPr>
        <w:spacing w:before="0" w:after="160" w:line="288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Predicting the room-temperature ionic conductivity σ of solid-state lithium-ion electrolytes from crystal structure remains a bottleneck for materials discovery. I introduce two architectural primitives. k-SEC is a neural encoder whose feature maps live in reciprocal space throughout the network and whose cubic-group equivariance is enforced by construction via cubic-harmonic directional filters and a cross-shell gated attention modulated only by k-magnitudes. DBVF (Differentiable Bond-Valence Field) embeds Brown’s bond-valence sum into the network as a learnable module — the first treatment of Brown’s tabulated parameters as trainable parameters of a neural network. On the OBELiX benchmark (281 labelled solid electrolytes, 5-fold cross-validation × 5 seeds) the joint model attains MAE 1.047 [95 % CI 0.925–1.183] standalone and 0.980 in a stacked ensemble with a gradient-boosted-tree baseline; Spearman ρ = 0.78 with 70 % top-10 precision. An unsupervised screen of 18,574 Li-containing Materials Project crystals identifies all four known fast-Li-ion conductor families in its top-15. A control experiment shows the DBVF gain is realised only through end-to-end training; a learning-curve experiment shows a 45 % gap reduction to the tabular baseline as training samples grow from 90 to 135 per fold, before plateauing at OBELiX scale.</w:t>
      </w:r>
    </w:p>
    <w:p>
      <w:pPr>
        <w:spacing w:before="200" w:after="4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Keywords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Solid electrolytes; Lithium-ion conductivity; Machine learning; Bond-valence model; Equivariant neural networks; OBELiX benchmark.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