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2591" w:rsidRPr="00EB2591" w:rsidRDefault="00F2247C" w:rsidP="006E4AA4">
      <w:pPr>
        <w:pStyle w:val="a3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b/>
          <w:sz w:val="28"/>
          <w:szCs w:val="28"/>
        </w:rPr>
      </w:pPr>
      <w:r w:rsidRPr="00EB2591">
        <w:rPr>
          <w:rFonts w:ascii="Times New Roman" w:hAnsi="Times New Roman" w:cs="Times New Roman"/>
          <w:b/>
          <w:sz w:val="28"/>
          <w:szCs w:val="28"/>
        </w:rPr>
        <w:t>Сравнительная характеристика систем глобального позиционирования</w:t>
      </w:r>
    </w:p>
    <w:p w:rsidR="00F36263" w:rsidRPr="00F36263" w:rsidRDefault="00F36263" w:rsidP="00A4022A">
      <w:pPr>
        <w:pStyle w:val="a3"/>
        <w:tabs>
          <w:tab w:val="left" w:pos="567"/>
          <w:tab w:val="left" w:pos="993"/>
        </w:tabs>
        <w:spacing w:before="120" w:after="12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 – </w:t>
      </w:r>
      <w:r w:rsidRPr="00F36263">
        <w:rPr>
          <w:rFonts w:ascii="Times New Roman" w:hAnsi="Times New Roman" w:cs="Times New Roman"/>
          <w:sz w:val="28"/>
          <w:szCs w:val="28"/>
        </w:rPr>
        <w:t>Сравнительная</w:t>
      </w:r>
      <w:r>
        <w:rPr>
          <w:rFonts w:ascii="Times New Roman" w:hAnsi="Times New Roman" w:cs="Times New Roman"/>
          <w:sz w:val="28"/>
          <w:szCs w:val="28"/>
        </w:rPr>
        <w:t xml:space="preserve"> характеристика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1153"/>
        <w:gridCol w:w="778"/>
        <w:gridCol w:w="1040"/>
        <w:gridCol w:w="1044"/>
        <w:gridCol w:w="1041"/>
        <w:gridCol w:w="667"/>
        <w:gridCol w:w="1002"/>
        <w:gridCol w:w="1235"/>
        <w:gridCol w:w="1248"/>
        <w:gridCol w:w="1248"/>
      </w:tblGrid>
      <w:tr w:rsidR="006E4AA4" w:rsidRPr="006E4AA4" w:rsidTr="00A4022A">
        <w:trPr>
          <w:trHeight w:val="2295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  <w:t>Характеристики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  <w:t>Страна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  <w:t>Количество спутников, используемых по целевому назначению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  <w:t>Покрытие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  <w:t>Первый запуск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  <w:t>Положение дел</w:t>
            </w:r>
          </w:p>
        </w:tc>
        <w:tc>
          <w:tcPr>
            <w:tcW w:w="0" w:type="auto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  <w:t>Точность</w:t>
            </w:r>
          </w:p>
        </w:tc>
      </w:tr>
      <w:tr w:rsidR="006E4AA4" w:rsidRPr="006E4AA4" w:rsidTr="00A4022A">
        <w:trPr>
          <w:trHeight w:val="76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  <w:t>ГЛОНАСС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  <w:t>РФ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  <w:t>Военный, гражданский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  <w:t>глобальный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  <w:t>1982 г.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  <w:t>Оперативный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  <w:t>2,8–7,38 м</w:t>
            </w:r>
          </w:p>
        </w:tc>
      </w:tr>
      <w:tr w:rsidR="006E4AA4" w:rsidRPr="006E4AA4" w:rsidTr="00A4022A">
        <w:trPr>
          <w:trHeight w:val="76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val="en-US" w:eastAsia="ru-RU"/>
              </w:rPr>
              <w:t>GPS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  <w:t>США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  <w:t>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  <w:t>Военный, гражданский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  <w:t>глобальный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  <w:t>1978 г.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  <w:t>Оперативный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  <w:t>500–30 см</w:t>
            </w:r>
          </w:p>
        </w:tc>
      </w:tr>
      <w:tr w:rsidR="006E4AA4" w:rsidRPr="006E4AA4" w:rsidTr="00A4022A">
        <w:trPr>
          <w:trHeight w:val="178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val="en-US" w:eastAsia="ru-RU"/>
              </w:rPr>
              <w:t>BIEDOU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  <w:t>КНР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  <w:t>Военный, коммерческий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  <w:t>глобальный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  <w:t>2000 г.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  <w:t>Оперативный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  <w:t>3,6 м (общедоступный)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  <w:t>2,6 м (Азиатско-Тихоокеанский регион, общедоступный)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  <w:t>10 см (зашифрованный)</w:t>
            </w:r>
          </w:p>
        </w:tc>
      </w:tr>
      <w:tr w:rsidR="006E4AA4" w:rsidRPr="006E4AA4" w:rsidTr="00A4022A">
        <w:trPr>
          <w:trHeight w:val="10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val="en-US" w:eastAsia="ru-RU"/>
              </w:rPr>
              <w:t>IRNSS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  <w:t>Индия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  <w:t>Военный, коммерческий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  <w:t>Региональный ( до 1600км от границ)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  <w:t>2013 г.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  <w:t>Оперативный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  <w:t>1 м (общедоступный)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  <w:t>10 см (зашифрованный)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  <w:t> </w:t>
            </w:r>
          </w:p>
        </w:tc>
      </w:tr>
      <w:tr w:rsidR="006E4AA4" w:rsidRPr="006E4AA4" w:rsidTr="00A4022A">
        <w:trPr>
          <w:trHeight w:val="1020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val="en-US" w:eastAsia="ru-RU"/>
              </w:rPr>
              <w:t>GALILEO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  <w:t>Евросоюз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  <w:t>гражданский, коммерческий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  <w:t>глобальный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  <w:t>2011 г.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  <w:t>Начальные услуги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  <w:t>1 м (общедоступный)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  <w:t>1 см (зашифрованный)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  <w:t> </w:t>
            </w:r>
          </w:p>
        </w:tc>
      </w:tr>
      <w:tr w:rsidR="006E4AA4" w:rsidRPr="006E4AA4" w:rsidTr="00A4022A">
        <w:trPr>
          <w:trHeight w:val="1035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val="en-US" w:eastAsia="ru-RU"/>
              </w:rPr>
              <w:t>QZSS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  <w:t>Япония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  <w:t>гражданский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  <w:t>региональный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  <w:t>2010 г.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  <w:t>Оперативный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  <w:t>PNT &lt;10 м (общедоступный)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  <w:t>SLAS &lt;1 м (общедоступный)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E4AA4" w:rsidRPr="006E4AA4" w:rsidRDefault="006E4AA4" w:rsidP="006E4A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</w:pPr>
            <w:r w:rsidRPr="006E4AA4">
              <w:rPr>
                <w:rFonts w:ascii="Times New Roman" w:eastAsia="Times New Roman" w:hAnsi="Times New Roman" w:cs="Times New Roman"/>
                <w:color w:val="000000"/>
                <w:szCs w:val="28"/>
                <w:lang w:eastAsia="ru-RU"/>
              </w:rPr>
              <w:t>CLAS &lt;10 см (общедоступный)</w:t>
            </w:r>
          </w:p>
        </w:tc>
      </w:tr>
    </w:tbl>
    <w:p w:rsidR="00F36263" w:rsidRPr="005B76FF" w:rsidRDefault="00F36263" w:rsidP="006E4AA4">
      <w:pPr>
        <w:tabs>
          <w:tab w:val="left" w:pos="993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F36263" w:rsidRPr="00EB2591" w:rsidRDefault="005B76FF" w:rsidP="006E4AA4">
      <w:pPr>
        <w:pStyle w:val="a3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rPr>
          <w:rFonts w:ascii="Times New Roman" w:hAnsi="Times New Roman" w:cs="Times New Roman"/>
          <w:b/>
          <w:sz w:val="28"/>
          <w:szCs w:val="28"/>
        </w:rPr>
      </w:pPr>
      <w:r w:rsidRPr="00EB2591">
        <w:rPr>
          <w:rFonts w:ascii="Times New Roman" w:hAnsi="Times New Roman" w:cs="Times New Roman"/>
          <w:b/>
          <w:sz w:val="28"/>
          <w:szCs w:val="28"/>
        </w:rPr>
        <w:t>Технологии и устройства для определения координат при помощи систем глобального позиционирования.</w:t>
      </w:r>
    </w:p>
    <w:p w:rsidR="00207B29" w:rsidRDefault="00207B29" w:rsidP="006E4A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</w:t>
      </w:r>
      <w:r w:rsidR="005B76FF" w:rsidRPr="005B76FF">
        <w:rPr>
          <w:rFonts w:ascii="Times New Roman" w:hAnsi="Times New Roman" w:cs="Times New Roman"/>
          <w:sz w:val="28"/>
          <w:szCs w:val="28"/>
        </w:rPr>
        <w:t>я определения географических координат текущего местоположения антенны приёмника, на основе данных о временных задержках прихода радиосигналов, излучаемых спутниками навигационных систем</w:t>
      </w:r>
      <w:r>
        <w:rPr>
          <w:rFonts w:ascii="Times New Roman" w:hAnsi="Times New Roman" w:cs="Times New Roman"/>
          <w:sz w:val="28"/>
          <w:szCs w:val="28"/>
        </w:rPr>
        <w:t>, используют радиоприемное устройство – с</w:t>
      </w:r>
      <w:r w:rsidRPr="00207B29">
        <w:rPr>
          <w:rFonts w:ascii="Times New Roman" w:hAnsi="Times New Roman" w:cs="Times New Roman"/>
          <w:sz w:val="28"/>
          <w:szCs w:val="28"/>
        </w:rPr>
        <w:t>путниковый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07B29">
        <w:rPr>
          <w:rFonts w:ascii="Times New Roman" w:hAnsi="Times New Roman" w:cs="Times New Roman"/>
          <w:sz w:val="28"/>
          <w:szCs w:val="28"/>
        </w:rPr>
        <w:t>приёмник (также GNSS-приёмник)</w:t>
      </w:r>
      <w:r w:rsidR="005B76FF" w:rsidRPr="005B76FF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6E4AA4" w:rsidRDefault="005B76FF" w:rsidP="00A4022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B76FF">
        <w:rPr>
          <w:rFonts w:ascii="Times New Roman" w:hAnsi="Times New Roman" w:cs="Times New Roman"/>
          <w:sz w:val="28"/>
          <w:szCs w:val="28"/>
        </w:rPr>
        <w:lastRenderedPageBreak/>
        <w:t xml:space="preserve">В зависимости от используемой системы навигации разделяются на GPS-приёмники, ГЛОНАСС-приёмники и </w:t>
      </w:r>
      <w:proofErr w:type="spellStart"/>
      <w:r w:rsidR="00207B29">
        <w:rPr>
          <w:rFonts w:ascii="Times New Roman" w:hAnsi="Times New Roman" w:cs="Times New Roman"/>
          <w:sz w:val="28"/>
          <w:szCs w:val="28"/>
        </w:rPr>
        <w:t>т.д</w:t>
      </w:r>
      <w:proofErr w:type="spellEnd"/>
      <w:r w:rsidRPr="005B76FF">
        <w:rPr>
          <w:rFonts w:ascii="Times New Roman" w:hAnsi="Times New Roman" w:cs="Times New Roman"/>
          <w:sz w:val="28"/>
          <w:szCs w:val="28"/>
        </w:rPr>
        <w:t>, однако в настоящее время большинство потребительских и профессиональных спутниковых приёмников умеют работать с несколькими спутниковыми системами навигации.</w:t>
      </w:r>
      <w:bookmarkStart w:id="0" w:name="_GoBack"/>
      <w:bookmarkEnd w:id="0"/>
    </w:p>
    <w:p w:rsidR="006E4AA4" w:rsidRDefault="006E4AA4" w:rsidP="006E4A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07B29" w:rsidRPr="00EB2591" w:rsidRDefault="00207B29" w:rsidP="006E4AA4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B2591">
        <w:rPr>
          <w:rFonts w:ascii="Times New Roman" w:hAnsi="Times New Roman" w:cs="Times New Roman"/>
          <w:b/>
          <w:sz w:val="28"/>
          <w:szCs w:val="28"/>
        </w:rPr>
        <w:t>Различие геодезических приемников</w:t>
      </w:r>
    </w:p>
    <w:p w:rsidR="00207B29" w:rsidRDefault="00207B29" w:rsidP="006E4AA4">
      <w:pPr>
        <w:pStyle w:val="a3"/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07B29">
        <w:rPr>
          <w:rFonts w:ascii="Times New Roman" w:hAnsi="Times New Roman" w:cs="Times New Roman"/>
          <w:sz w:val="28"/>
          <w:szCs w:val="28"/>
        </w:rPr>
        <w:t xml:space="preserve">GNSS приемники обеспечивают высокую точность определения координат в сантиметрах измерения. </w:t>
      </w:r>
    </w:p>
    <w:p w:rsidR="00207B29" w:rsidRDefault="00207B29" w:rsidP="006E4AA4">
      <w:pPr>
        <w:pStyle w:val="a3"/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07B29">
        <w:rPr>
          <w:rFonts w:ascii="Times New Roman" w:hAnsi="Times New Roman" w:cs="Times New Roman"/>
          <w:sz w:val="28"/>
          <w:szCs w:val="28"/>
        </w:rPr>
        <w:t xml:space="preserve">GPS приемники бывают одночастотными (L1) и двухчастотными (L1/L2); </w:t>
      </w:r>
      <w:proofErr w:type="spellStart"/>
      <w:r w:rsidRPr="00207B29">
        <w:rPr>
          <w:rFonts w:ascii="Times New Roman" w:hAnsi="Times New Roman" w:cs="Times New Roman"/>
          <w:sz w:val="28"/>
          <w:szCs w:val="28"/>
        </w:rPr>
        <w:t>односистемными</w:t>
      </w:r>
      <w:proofErr w:type="spellEnd"/>
      <w:r w:rsidRPr="00207B29">
        <w:rPr>
          <w:rFonts w:ascii="Times New Roman" w:hAnsi="Times New Roman" w:cs="Times New Roman"/>
          <w:sz w:val="28"/>
          <w:szCs w:val="28"/>
        </w:rPr>
        <w:t xml:space="preserve"> (GPS) и </w:t>
      </w:r>
      <w:proofErr w:type="spellStart"/>
      <w:r w:rsidRPr="00207B29">
        <w:rPr>
          <w:rFonts w:ascii="Times New Roman" w:hAnsi="Times New Roman" w:cs="Times New Roman"/>
          <w:sz w:val="28"/>
          <w:szCs w:val="28"/>
        </w:rPr>
        <w:t>двухсистемными</w:t>
      </w:r>
      <w:proofErr w:type="spellEnd"/>
      <w:r w:rsidRPr="00207B29">
        <w:rPr>
          <w:rFonts w:ascii="Times New Roman" w:hAnsi="Times New Roman" w:cs="Times New Roman"/>
          <w:sz w:val="28"/>
          <w:szCs w:val="28"/>
        </w:rPr>
        <w:t xml:space="preserve"> (GPS-ГЛОНАСС).</w:t>
      </w:r>
    </w:p>
    <w:p w:rsidR="00207B29" w:rsidRDefault="00207B29" w:rsidP="006E4AA4">
      <w:pPr>
        <w:pStyle w:val="a3"/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207B29">
        <w:rPr>
          <w:rFonts w:ascii="Times New Roman" w:hAnsi="Times New Roman" w:cs="Times New Roman"/>
          <w:sz w:val="28"/>
          <w:szCs w:val="28"/>
        </w:rPr>
        <w:t>дночастотные приемники используются для базовых линий, длина которых не превышает 15 км. Для базовых линий длиной свыше 15 км следует применять двухчастотные приемники. Двухчастотные приемники имеют два больших преимущества. Во-первых, измерения по двум частотам позволяют почти полностью устранить ионосферные погрешности измерениях фазы кода и несущей, обеспечивая большую точность, чем одночастотные приемники при определении длинных базисов и во время повышенной активности ионосферы (ионосферных штормов). Во-вторых, двухчастотным приемникам требуется значительно более короткие сеансы измерений для получения определений заданной точности.</w:t>
      </w:r>
    </w:p>
    <w:p w:rsidR="00A4022A" w:rsidRDefault="00A4022A" w:rsidP="006E4AA4">
      <w:pPr>
        <w:pStyle w:val="a3"/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07B29" w:rsidRPr="00EB2591" w:rsidRDefault="00734467" w:rsidP="006E4AA4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B2591">
        <w:rPr>
          <w:rFonts w:ascii="Times New Roman" w:hAnsi="Times New Roman" w:cs="Times New Roman"/>
          <w:b/>
          <w:sz w:val="28"/>
          <w:szCs w:val="28"/>
        </w:rPr>
        <w:t>Точность измерения</w:t>
      </w:r>
    </w:p>
    <w:p w:rsidR="00734467" w:rsidRPr="00734467" w:rsidRDefault="00734467" w:rsidP="006E4AA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4467">
        <w:rPr>
          <w:rFonts w:ascii="Times New Roman" w:hAnsi="Times New Roman" w:cs="Times New Roman"/>
          <w:sz w:val="28"/>
          <w:szCs w:val="28"/>
        </w:rPr>
        <w:t xml:space="preserve">Существует два принципиальных источника ошибок. Первый, это то, что в приёмнике, в отличие от спутника, используются менее точные кварцевые часы, требующие регулярной синхронизации. Устранить ошибку можно, если использовать атомные часы, аналогичные размещенным на спутнике. Другое решение — математически вычесть погрешность часов приёмника, приняв сигналы точного времени </w:t>
      </w:r>
      <w:proofErr w:type="gramStart"/>
      <w:r w:rsidRPr="00734467">
        <w:rPr>
          <w:rFonts w:ascii="Times New Roman" w:hAnsi="Times New Roman" w:cs="Times New Roman"/>
          <w:sz w:val="28"/>
          <w:szCs w:val="28"/>
        </w:rPr>
        <w:t>от минимум</w:t>
      </w:r>
      <w:proofErr w:type="gramEnd"/>
      <w:r w:rsidRPr="00734467">
        <w:rPr>
          <w:rFonts w:ascii="Times New Roman" w:hAnsi="Times New Roman" w:cs="Times New Roman"/>
          <w:sz w:val="28"/>
          <w:szCs w:val="28"/>
        </w:rPr>
        <w:t xml:space="preserve"> четырёх спутников. Этот метод и применяется в системах спутниковой навигации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34467" w:rsidRPr="00734467" w:rsidRDefault="00734467" w:rsidP="006E4AA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4467">
        <w:rPr>
          <w:rFonts w:ascii="Times New Roman" w:hAnsi="Times New Roman" w:cs="Times New Roman"/>
          <w:sz w:val="28"/>
          <w:szCs w:val="28"/>
        </w:rPr>
        <w:t xml:space="preserve">Второй источник ошибки — время обработки сигнала в приёмнике, так называемый бит-тайм. Для обычных GNSS-устройств заложена точность в один процент от бит-тайма, это соответствует 10 наносекундам, для скорости света — это расстояние </w:t>
      </w:r>
      <w:r w:rsidRPr="00734467">
        <w:rPr>
          <w:rFonts w:ascii="Times New Roman" w:hAnsi="Times New Roman" w:cs="Times New Roman"/>
          <w:sz w:val="28"/>
          <w:szCs w:val="28"/>
        </w:rPr>
        <w:lastRenderedPageBreak/>
        <w:t>3 метра. Такая точность достаточна для ориентирования на местности, но не годится для строительства. Более продвинутые приёмники в профессиональных геодезических устройствах или для военных целей имеют точность на несколько порядков выше и определяют поло</w:t>
      </w:r>
      <w:r>
        <w:rPr>
          <w:rFonts w:ascii="Times New Roman" w:hAnsi="Times New Roman" w:cs="Times New Roman"/>
          <w:sz w:val="28"/>
          <w:szCs w:val="28"/>
        </w:rPr>
        <w:t>жение с точностью до 300 мм.</w:t>
      </w:r>
    </w:p>
    <w:p w:rsidR="00734467" w:rsidRDefault="00734467" w:rsidP="006E4AA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4467">
        <w:rPr>
          <w:rFonts w:ascii="Times New Roman" w:hAnsi="Times New Roman" w:cs="Times New Roman"/>
          <w:sz w:val="28"/>
          <w:szCs w:val="28"/>
        </w:rPr>
        <w:t>Остальная погрешность набирается при прохождении сигналом атмосферы, то есть зависит от облачности и погоды, от различных препятствий, — лес, здания, тело самого владельца прибора и пр. На практике максимальная точность измерения бытовых приёмников всегда ограничена бит-таймом и составляет 3—5 м даже при использовании систем SBAS и местных систем передачи поправок от наземной станции на 1 км расстояния между станциями (дифференциальный метод). До 1 мая 2000 года точность GPS искусственно занижалась путём внесения в сигналы, передаваемые спутником, ложных поправок</w:t>
      </w:r>
    </w:p>
    <w:p w:rsidR="00A4022A" w:rsidRDefault="00A4022A" w:rsidP="006E4AA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34467" w:rsidRPr="00EB2591" w:rsidRDefault="00734467" w:rsidP="006E4AA4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B2591">
        <w:rPr>
          <w:rFonts w:ascii="Times New Roman" w:hAnsi="Times New Roman" w:cs="Times New Roman"/>
          <w:b/>
          <w:sz w:val="28"/>
          <w:szCs w:val="28"/>
        </w:rPr>
        <w:t>Государственная геодезическая сеть</w:t>
      </w:r>
    </w:p>
    <w:p w:rsidR="00734467" w:rsidRDefault="00734467" w:rsidP="006E4AA4">
      <w:pPr>
        <w:pStyle w:val="a3"/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34467">
        <w:rPr>
          <w:rFonts w:ascii="Times New Roman" w:hAnsi="Times New Roman" w:cs="Times New Roman"/>
          <w:sz w:val="28"/>
          <w:szCs w:val="28"/>
        </w:rPr>
        <w:t xml:space="preserve">Государственная геодезическая сеть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734467">
        <w:rPr>
          <w:rFonts w:ascii="Times New Roman" w:hAnsi="Times New Roman" w:cs="Times New Roman"/>
          <w:sz w:val="28"/>
          <w:szCs w:val="28"/>
        </w:rPr>
        <w:t xml:space="preserve"> совокупность геодезических пунктов, расположенных равномерно по всей территории и закрепленных на местности специальными центрами, обеспечивающими их сохранность и устойчивость в плане и по высоте в течение длительного времени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A4022A" w:rsidRDefault="00A4022A" w:rsidP="006E4AA4">
      <w:pPr>
        <w:pStyle w:val="a3"/>
        <w:spacing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734467" w:rsidRPr="00EB2591" w:rsidRDefault="00734467" w:rsidP="006E4AA4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B2591">
        <w:rPr>
          <w:rFonts w:ascii="Times New Roman" w:hAnsi="Times New Roman" w:cs="Times New Roman"/>
          <w:b/>
          <w:sz w:val="28"/>
          <w:szCs w:val="28"/>
        </w:rPr>
        <w:t>Пункты геодезической сети</w:t>
      </w:r>
    </w:p>
    <w:p w:rsidR="006E4AA4" w:rsidRDefault="006E4AA4" w:rsidP="006E4AA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E4AA4">
        <w:rPr>
          <w:rFonts w:ascii="Times New Roman" w:hAnsi="Times New Roman" w:cs="Times New Roman"/>
          <w:sz w:val="28"/>
          <w:szCs w:val="28"/>
        </w:rPr>
        <w:t>Геодези́ческий</w:t>
      </w:r>
      <w:proofErr w:type="spellEnd"/>
      <w:r w:rsidRPr="006E4AA4">
        <w:rPr>
          <w:rFonts w:ascii="Times New Roman" w:hAnsi="Times New Roman" w:cs="Times New Roman"/>
          <w:sz w:val="28"/>
          <w:szCs w:val="28"/>
        </w:rPr>
        <w:t xml:space="preserve"> пункт — точка, особым образом закреплённая на местности (в грунте, на строении или другом искусственном сооружении) и являющаяся носителем координат, определённых геодезическими методами. Геодезический пункт является элементом геодезической сети, которая служит геодезической основой топографической съёмки местности и ряда других геодезических работ, а по назначению подразделяется на плановую, высотную и гравиметрическую. Плановая сеть I-II классов, элементы которой определены также астрономическими и гравиметрическими методами, называется астрономо-геодезической (после 1961 года сеть II класса обращена в геодезическую сеть сгущения). Геодезический пункт, положение которого </w:t>
      </w:r>
      <w:r w:rsidRPr="006E4AA4">
        <w:rPr>
          <w:rFonts w:ascii="Times New Roman" w:hAnsi="Times New Roman" w:cs="Times New Roman"/>
          <w:sz w:val="28"/>
          <w:szCs w:val="28"/>
        </w:rPr>
        <w:lastRenderedPageBreak/>
        <w:t xml:space="preserve">определено методом триангуляции, также иногда называется тригонометрическим пунктом или пунктом триангуляции. </w:t>
      </w:r>
    </w:p>
    <w:p w:rsidR="00734467" w:rsidRPr="006E4AA4" w:rsidRDefault="00734467" w:rsidP="006E4AA4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E4AA4">
        <w:rPr>
          <w:rFonts w:ascii="Times New Roman" w:hAnsi="Times New Roman" w:cs="Times New Roman"/>
          <w:b/>
          <w:sz w:val="28"/>
          <w:szCs w:val="28"/>
        </w:rPr>
        <w:t>Классы геодезических сетей</w:t>
      </w:r>
    </w:p>
    <w:p w:rsidR="00EB2591" w:rsidRPr="00EB2591" w:rsidRDefault="00EB2591" w:rsidP="006E4AA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2591">
        <w:rPr>
          <w:rFonts w:ascii="Times New Roman" w:hAnsi="Times New Roman" w:cs="Times New Roman"/>
          <w:sz w:val="28"/>
          <w:szCs w:val="28"/>
        </w:rPr>
        <w:t xml:space="preserve">Государственные нивелирные сети делятся на четыре класса. Вначале прокладываются на большом расстоянии друг от друга нивелирные линии I класса, а затем пункты I класса последовательно сгущают пунктами II, III и IV классов путем </w:t>
      </w:r>
      <w:proofErr w:type="spellStart"/>
      <w:r w:rsidRPr="00EB2591">
        <w:rPr>
          <w:rFonts w:ascii="Times New Roman" w:hAnsi="Times New Roman" w:cs="Times New Roman"/>
          <w:sz w:val="28"/>
          <w:szCs w:val="28"/>
        </w:rPr>
        <w:t>проложения</w:t>
      </w:r>
      <w:proofErr w:type="spellEnd"/>
      <w:r w:rsidRPr="00EB2591">
        <w:rPr>
          <w:rFonts w:ascii="Times New Roman" w:hAnsi="Times New Roman" w:cs="Times New Roman"/>
          <w:sz w:val="28"/>
          <w:szCs w:val="28"/>
        </w:rPr>
        <w:t xml:space="preserve"> нивелирных линий соответствующих классов.</w:t>
      </w:r>
    </w:p>
    <w:p w:rsidR="00EB2591" w:rsidRPr="00EB2591" w:rsidRDefault="00EB2591" w:rsidP="006E4AA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2591">
        <w:rPr>
          <w:rFonts w:ascii="Times New Roman" w:hAnsi="Times New Roman" w:cs="Times New Roman"/>
          <w:sz w:val="28"/>
          <w:szCs w:val="28"/>
        </w:rPr>
        <w:t>Линии I класса прокладываются по направлениям, связывающим далекие друг от друга пункты Советского Союза и основные морские водомерные по</w:t>
      </w:r>
      <w:r>
        <w:rPr>
          <w:rFonts w:ascii="Times New Roman" w:hAnsi="Times New Roman" w:cs="Times New Roman"/>
          <w:sz w:val="28"/>
          <w:szCs w:val="28"/>
        </w:rPr>
        <w:t>сты.</w:t>
      </w:r>
    </w:p>
    <w:p w:rsidR="00EB2591" w:rsidRPr="00EB2591" w:rsidRDefault="00EB2591" w:rsidP="006E4AA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2591">
        <w:rPr>
          <w:rFonts w:ascii="Times New Roman" w:hAnsi="Times New Roman" w:cs="Times New Roman"/>
          <w:sz w:val="28"/>
          <w:szCs w:val="28"/>
        </w:rPr>
        <w:t>Нивелирная сеть II класса опирается на пункты I класса. Линии I и II классов прокладываются по местам, наиболее удобным для нивелирования (вдоль железных, шоссейных дорог, больших рек).</w:t>
      </w:r>
    </w:p>
    <w:p w:rsidR="00EB2591" w:rsidRPr="00EB2591" w:rsidRDefault="00EB2591" w:rsidP="006E4AA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2591">
        <w:rPr>
          <w:rFonts w:ascii="Times New Roman" w:hAnsi="Times New Roman" w:cs="Times New Roman"/>
          <w:sz w:val="28"/>
          <w:szCs w:val="28"/>
        </w:rPr>
        <w:t>Нивелирная сеть I и II классов является главной высотной основой — единой для всей территории СССР. Кроме этого, она используется для научных целей: определения разностей уровней морей, изучения вековых движений су</w:t>
      </w:r>
      <w:r>
        <w:rPr>
          <w:rFonts w:ascii="Times New Roman" w:hAnsi="Times New Roman" w:cs="Times New Roman"/>
          <w:sz w:val="28"/>
          <w:szCs w:val="28"/>
        </w:rPr>
        <w:t>ши и др.</w:t>
      </w:r>
    </w:p>
    <w:p w:rsidR="00EB2591" w:rsidRPr="00EB2591" w:rsidRDefault="00EB2591" w:rsidP="006E4AA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2591">
        <w:rPr>
          <w:rFonts w:ascii="Times New Roman" w:hAnsi="Times New Roman" w:cs="Times New Roman"/>
          <w:sz w:val="28"/>
          <w:szCs w:val="28"/>
        </w:rPr>
        <w:t>Нивелирные сети III класса опираются на пункты I и II классов и образуют полигоны с периметром 150 км. Для обеспечения съемки в масштабах 1: 5000 и крупнее периметр поли</w:t>
      </w:r>
      <w:r>
        <w:rPr>
          <w:rFonts w:ascii="Times New Roman" w:hAnsi="Times New Roman" w:cs="Times New Roman"/>
          <w:sz w:val="28"/>
          <w:szCs w:val="28"/>
        </w:rPr>
        <w:t>гона не должен превышать 60 км.</w:t>
      </w:r>
    </w:p>
    <w:p w:rsidR="00EB2591" w:rsidRPr="00EB2591" w:rsidRDefault="00EB2591" w:rsidP="006E4AA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2591">
        <w:rPr>
          <w:rFonts w:ascii="Times New Roman" w:hAnsi="Times New Roman" w:cs="Times New Roman"/>
          <w:sz w:val="28"/>
          <w:szCs w:val="28"/>
        </w:rPr>
        <w:t xml:space="preserve">Нивелирные ходы IV класса прокладываются в одном направлении между пунктами старших классов. Длины этих ходов не должны превышать 50 км. Пункты IV класса являются непосредственным высотным обоснованием для топографических съемок. При </w:t>
      </w:r>
      <w:proofErr w:type="spellStart"/>
      <w:r w:rsidRPr="00EB2591">
        <w:rPr>
          <w:rFonts w:ascii="Times New Roman" w:hAnsi="Times New Roman" w:cs="Times New Roman"/>
          <w:sz w:val="28"/>
          <w:szCs w:val="28"/>
        </w:rPr>
        <w:t>проложении</w:t>
      </w:r>
      <w:proofErr w:type="spellEnd"/>
      <w:r w:rsidRPr="00EB2591">
        <w:rPr>
          <w:rFonts w:ascii="Times New Roman" w:hAnsi="Times New Roman" w:cs="Times New Roman"/>
          <w:sz w:val="28"/>
          <w:szCs w:val="28"/>
        </w:rPr>
        <w:t xml:space="preserve"> нивелирных ходов необходимо предусмотреть, чтобы все пункты триангуляции и полигонометрии на участке съемки получили высоты из нивелирования III и IV классов.</w:t>
      </w:r>
    </w:p>
    <w:p w:rsidR="00EB2591" w:rsidRPr="00EB2591" w:rsidRDefault="00EB2591" w:rsidP="006E4AA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B2591" w:rsidRPr="00EB2591" w:rsidRDefault="00EB2591" w:rsidP="006E4AA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2591">
        <w:rPr>
          <w:rFonts w:ascii="Times New Roman" w:hAnsi="Times New Roman" w:cs="Times New Roman"/>
          <w:sz w:val="28"/>
          <w:szCs w:val="28"/>
        </w:rPr>
        <w:t>Пункты нивелирования всех классов закрепляются реперами и марками через каждые 5 км. В труднодоступных районах расстояние между смежными реперами может быть увеличено до 6—7 км.</w:t>
      </w:r>
    </w:p>
    <w:p w:rsidR="00734467" w:rsidRPr="00EB2591" w:rsidRDefault="00EB2591" w:rsidP="006E4AA4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B2591">
        <w:rPr>
          <w:rFonts w:ascii="Times New Roman" w:hAnsi="Times New Roman" w:cs="Times New Roman"/>
          <w:sz w:val="28"/>
          <w:szCs w:val="28"/>
        </w:rPr>
        <w:lastRenderedPageBreak/>
        <w:t>Точность государственного нивелирования различных классов может быть охарактеризована предельной погрешностью на один километр хода, которая входит в качестве коэффициента в формулы допустимых невязок.</w:t>
      </w:r>
    </w:p>
    <w:sectPr w:rsidR="00734467" w:rsidRPr="00EB2591" w:rsidSect="00F36263">
      <w:pgSz w:w="11906" w:h="16838"/>
      <w:pgMar w:top="709" w:right="707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862883"/>
    <w:multiLevelType w:val="hybridMultilevel"/>
    <w:tmpl w:val="3B8E49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2DAB"/>
    <w:rsid w:val="00207B29"/>
    <w:rsid w:val="00292DAB"/>
    <w:rsid w:val="003A0F39"/>
    <w:rsid w:val="005B76FF"/>
    <w:rsid w:val="006E4AA4"/>
    <w:rsid w:val="00734467"/>
    <w:rsid w:val="00A4022A"/>
    <w:rsid w:val="00B3227C"/>
    <w:rsid w:val="00CD6EA0"/>
    <w:rsid w:val="00EB2591"/>
    <w:rsid w:val="00F2247C"/>
    <w:rsid w:val="00F36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852A1"/>
  <w15:docId w15:val="{AE64D8D9-691A-4193-83D3-3A80E44B3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36263"/>
    <w:pPr>
      <w:ind w:left="720"/>
      <w:contextualSpacing/>
    </w:pPr>
  </w:style>
  <w:style w:type="table" w:styleId="a4">
    <w:name w:val="Table Grid"/>
    <w:basedOn w:val="a1"/>
    <w:uiPriority w:val="59"/>
    <w:rsid w:val="00F362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174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5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2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A193BB-13E2-4F92-B308-F83D4F5E43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5</Pages>
  <Words>1050</Words>
  <Characters>5985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 Sidorenko</dc:creator>
  <cp:keywords/>
  <dc:description/>
  <cp:lastModifiedBy>Пользователь Windows</cp:lastModifiedBy>
  <cp:revision>4</cp:revision>
  <dcterms:created xsi:type="dcterms:W3CDTF">2020-11-30T09:21:00Z</dcterms:created>
  <dcterms:modified xsi:type="dcterms:W3CDTF">2021-01-15T06:59:00Z</dcterms:modified>
</cp:coreProperties>
</file>