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HMDA Action Code and Review Reference</w:t>
      </w:r>
    </w:p>
    <w:p>
      <w:r>
        <w:t>This reference is used for the committee workbook. It defines the coding and review thresholds for the supplied extract.</w:t>
      </w:r>
    </w:p>
    <w:p>
      <w:pPr>
        <w:pStyle w:val="Heading1"/>
      </w:pPr>
      <w:r>
        <w:t>Action-taken code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Action label</w:t>
            </w:r>
          </w:p>
        </w:tc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Committee handling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Loan originated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Include in pricing review.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approved but not accepted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Count separately from denials.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denied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Include in denial-rate and denial-exception review.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withdrawn by applicant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Exclude from denial-rate numerator.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closed for incompleteness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Exclude from denial-rate numerator.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Purchased loan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Exclude from application decision testing.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Preapproval request denied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only if present in the source file.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Preapproval request approved but not accepted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only if present in the source file.</w:t>
            </w:r>
          </w:p>
        </w:tc>
      </w:tr>
    </w:tbl>
    <w:p>
      <w:pPr>
        <w:pStyle w:val="Heading1"/>
      </w:pPr>
      <w:r>
        <w:t>Review thresholds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9ECEF"/>
          </w:tcPr>
          <w:p>
            <w:pPr>
              <w:jc w:val="left"/>
            </w:pPr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vAlign w:val="top"/>
            <w:shd w:fill="E9ECEF"/>
          </w:tcPr>
          <w:p>
            <w:pPr>
              <w:jc w:val="left"/>
            </w:pPr>
            <w:r/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Pricing exception threshold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Rate spread greater than or equal to 1.50 percentage points for originated loans.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Severe pricing threshold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Rate spread greater than or equal to 2.00 percentage points for originated loans.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Majority-minority tract flag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Tract minority population percentage greater than or equal to 50%.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LMI tract flag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Tract income level of Low or Moderate.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Concentration screen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tract or segment requires follow-up when it has sufficient volume and its denial rate meets or exceeds the testing threshold.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Further review treatment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Record-level follow-up is required when a denial or pricing exception occurs in a protected or sensitive tract context.</w:t>
            </w:r>
          </w:p>
        </w:tc>
      </w:tr>
    </w:tbl>
    <w:p>
      <w:r>
        <w:t>Thresholds are testing triggers. They do not establish unlawful discrimination. The committee workbook should describe required follow-up and evidence gaps, not make legal conclusions.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5A5A"/>
        <w:sz w:val="16"/>
      </w:rPr>
      <w:t>Internal compliance testing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45844"/>
        <w:sz w:val="18"/>
      </w:rPr>
      <w:t>HMDA Action Code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458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458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5458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