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HMDA testing notes — fair lending packet</w:t>
      </w:r>
    </w:p>
    <w:p>
      <w:r>
        <w:rPr>
          <w:i/>
          <w:sz w:val="19"/>
        </w:rPr>
        <w:t>Prepared by Compliance Testing / retail lending review queue</w:t>
      </w:r>
    </w:p>
    <w:tbl>
      <w:tblPr>
        <w:tblStyle w:val="TableGrid"/>
        <w:tblW w:type="auto" w:w="0"/>
        <w:tblLook w:firstColumn="1" w:firstRow="1" w:lastColumn="0" w:lastRow="0" w:noHBand="0" w:noVBand="1" w:val="04A0"/>
      </w:tblPr>
      <w:tblGrid>
        <w:gridCol w:w="5040"/>
        <w:gridCol w:w="5040"/>
      </w:tblGrid>
      <w:tr>
        <w:tc>
          <w:tcPr>
            <w:tcW w:type="dxa" w:w="5040"/>
            <w:shd w:fill="E9ECEF"/>
          </w:tcPr>
          <w:p>
            <w:r>
              <w:t>Current use</w:t>
            </w:r>
          </w:p>
        </w:tc>
        <w:tc>
          <w:tcPr>
            <w:tcW w:type="dxa" w:w="5040"/>
          </w:tcPr>
          <w:p>
            <w:r>
              <w:t>Working notes for the analyst assigned to rebuild the committee file; not a findings summary.</w:t>
            </w:r>
          </w:p>
        </w:tc>
      </w:tr>
      <w:tr>
        <w:tc>
          <w:tcPr>
            <w:tcW w:type="dxa" w:w="5040"/>
            <w:shd w:fill="E9ECEF"/>
          </w:tcPr>
          <w:p>
            <w:r>
              <w:t>Source controls</w:t>
            </w:r>
          </w:p>
        </w:tc>
        <w:tc>
          <w:tcPr>
            <w:tcW w:type="dxa" w:w="5040"/>
          </w:tcPr>
          <w:p>
            <w:r>
              <w:t>Use the HMDA extract and census tract file as the control files. Prior narrative is background only.</w:t>
            </w:r>
          </w:p>
        </w:tc>
      </w:tr>
      <w:tr>
        <w:tc>
          <w:tcPr>
            <w:tcW w:type="dxa" w:w="5040"/>
            <w:shd w:fill="E9ECEF"/>
          </w:tcPr>
          <w:p>
            <w:r>
              <w:t>Known caveat</w:t>
            </w:r>
          </w:p>
        </w:tc>
        <w:tc>
          <w:tcPr>
            <w:tcW w:type="dxa" w:w="5040"/>
          </w:tcPr>
          <w:p>
            <w:r>
              <w:t>Some earlier statements were written before tract attributes and action-code treatment were locked down.</w:t>
            </w:r>
          </w:p>
        </w:tc>
      </w:tr>
    </w:tbl>
    <w:p>
      <w:pPr>
        <w:spacing w:before="200" w:after="60"/>
      </w:pPr>
      <w:r>
        <w:rPr>
          <w:b/>
          <w:sz w:val="24"/>
        </w:rPr>
        <w:t>Review posture</w:t>
      </w:r>
    </w:p>
    <w:p>
      <w:pPr>
        <w:spacing w:after="100" w:line="252" w:lineRule="auto"/>
      </w:pPr>
      <w:r>
        <w:t>The committee packet should be rebuilt from the actual records, not refreshed from the prior write-up. Treat the prior committee note as an early draft. It may still be useful for context, but I would not rely on its counts or segment statements without tying them back to the extract.</w:t>
      </w:r>
    </w:p>
    <w:p>
      <w:pPr>
        <w:spacing w:after="100" w:line="252" w:lineRule="auto"/>
      </w:pPr>
      <w:r>
        <w:t>Main concern from the last working session: the data cut has tract fields now, and the old summary did not really deal with tract context. The review should distinguish plain operational noise from records that deserve a second look because the action outcome, pricing, and tract indicators line up in a way the committee will ask about.</w:t>
      </w:r>
    </w:p>
    <w:p>
      <w:pPr>
        <w:spacing w:before="200" w:after="60"/>
      </w:pPr>
      <w:r>
        <w:rPr>
          <w:b/>
          <w:sz w:val="24"/>
        </w:rPr>
        <w:t>Analyst reminders</w:t>
      </w:r>
    </w:p>
    <w:p>
      <w:pPr>
        <w:spacing w:after="100" w:line="252" w:lineRule="auto"/>
      </w:pPr>
      <w:r>
        <w:t>Use the HMDA file as the transaction population. Use the census file for tract income and tract minority concentration. If a tract value is missing or does not join cleanly, flag it as a data-quality issue rather than filling it in from memory.</w:t>
      </w:r>
    </w:p>
    <w:p>
      <w:pPr>
        <w:spacing w:after="100" w:line="252" w:lineRule="auto"/>
      </w:pPr>
      <w:r>
        <w:t>Do not bring in external web research or policy commentary. The committee asked for a contained testing file. Keep the focus on whether the supplied extract supports the prior summary and which records need follow-up.</w:t>
      </w:r>
    </w:p>
    <w:p>
      <w:pPr>
        <w:spacing w:after="100" w:line="252" w:lineRule="auto"/>
      </w:pPr>
      <w:r>
        <w:t>A few rows are likely to look benign at first because the action code alone is not enough. Look at rate spread, action taken, borrower proxy fields available in the modified extract, and tract sensitivity together. The file should show the trail clearly enough that another examiner can re-check it from the rows.</w:t>
      </w:r>
    </w:p>
    <w:p>
      <w:pPr>
        <w:spacing w:before="200" w:after="60"/>
      </w:pPr>
      <w:r>
        <w:rPr>
          <w:b/>
          <w:sz w:val="24"/>
        </w:rPr>
        <w:t>Questions to resolve before circulation</w:t>
      </w:r>
    </w:p>
    <w:p>
      <w:pPr>
        <w:spacing w:after="100" w:line="252" w:lineRule="auto"/>
      </w:pPr>
      <w:r>
        <w:t>Does the prior summary overstate or understate the review population once purchased loans and non-decision outcomes are handled consistently?</w:t>
      </w:r>
    </w:p>
    <w:p>
      <w:pPr>
        <w:spacing w:after="100" w:line="252" w:lineRule="auto"/>
      </w:pPr>
      <w:r>
        <w:t>Are pricing outliers being treated only as origination QC items, or do any of them sit in contexts that require fair-lending follow-up?</w:t>
      </w:r>
    </w:p>
    <w:p>
      <w:pPr>
        <w:spacing w:after="100" w:line="252" w:lineRule="auto"/>
      </w:pPr>
      <w:r>
        <w:t>Are denial outcomes concentrated in sensitive tract contexts? If so, identify the records and explain the review reason without making a legal conclusion.</w:t>
      </w:r>
    </w:p>
    <w:p>
      <w:pPr>
        <w:spacing w:after="100" w:line="252" w:lineRule="auto"/>
      </w:pPr>
      <w:r>
        <w:t>What exactly should Compliance do next for records that remain in scope: request underwriting notes, review pricing discretion, confirm application chronology, or document no further action?</w:t>
      </w:r>
    </w:p>
    <w:p>
      <w:pPr>
        <w:spacing w:before="200" w:after="60"/>
      </w:pPr>
      <w:r>
        <w:rPr>
          <w:b/>
          <w:sz w:val="24"/>
        </w:rPr>
        <w:t>File handling notes</w:t>
      </w:r>
    </w:p>
    <w:p>
      <w:pPr>
        <w:spacing w:after="100" w:line="252" w:lineRule="auto"/>
      </w:pPr>
      <w:r>
        <w:t>Keep formulas live in the workbook. The committee has been asking for traceable schedules rather than static numbers pasted into a dashboard.</w:t>
      </w:r>
    </w:p>
    <w:p>
      <w:pPr>
        <w:spacing w:after="100" w:line="252" w:lineRule="auto"/>
      </w:pPr>
      <w:r>
        <w:t>Avoid hiding the disagreement with the prior summary. If a prior assertion is not supported by the final extract, show the corrected result and the recommended follow-up. That reconciliation is the part reviewers will look for first.</w:t>
      </w:r>
    </w:p>
    <w:p>
      <w:pPr>
        <w:spacing w:after="100" w:line="252" w:lineRule="auto"/>
      </w:pPr>
      <w:r>
        <w:t>No need for a formal memo tone in the working tabs. Short labels, source references, and record IDs are more useful than broad narrative.</w:t>
      </w:r>
    </w:p>
    <w:p>
      <w:r>
        <w:rPr>
          <w:i/>
          <w:sz w:val="19"/>
        </w:rPr>
        <w:t>Margin note: do not turn these notes into the answer key. They are only here to keep the scope bounded.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