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12169"/>
          <w:sz w:val="36"/>
          <w:szCs w:val="36"/>
        </w:rPr>
        <w:t xml:space="preserve">Duke Climate Commitment</w:t>
      </w:r>
    </w:p>
    <w:p>
      <w:pPr>
        <w:spacing w:after="200" w:before="0"/>
      </w:pPr>
      <w:r>
        <w:rPr>
          <w:rFonts w:ascii="Arial" w:cs="Arial" w:eastAsia="Arial" w:hAnsi="Arial"/>
          <w:color w:val="5A6278"/>
          <w:sz w:val="28"/>
          <w:szCs w:val="28"/>
        </w:rPr>
        <w:t xml:space="preserve">Impact Website — Process &amp; Next Steps</w:t>
      </w:r>
    </w:p>
    <w:p>
      <w:pPr>
        <w:pBdr>
          <w:bottom w:val="single" w:color="C8D0E4" w:sz="4" w:space="1"/>
        </w:pBdr>
        <w:spacing w:after="0" w:before="160"/>
      </w:pPr>
    </w:p>
    <w:p>
      <w:pPr>
        <w:spacing w:after="16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012169"/>
          <w:sz w:val="22"/>
          <w:szCs w:val="22"/>
        </w:rPr>
        <w:t xml:space="preserve">What We Built</w:t>
      </w: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We created a public-facing website that maps which parts of Duke University are contributing to the Duke Climate Commitment — Duke’s university-wide initiative launched in 2022 with a goal of carbon neutrality by 2030.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The site lives at:</w:t>
      </w:r>
    </w:p>
    <w:p>
      <w:pPr>
        <w:spacing w:after="80" w:before="60"/>
      </w:pPr>
      <w:hyperlink w:history="1" r:id="rIdywfhpl0a3jhsdqwkl4ewj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snorkeljam.github.io/duke-climate-impact</w:t>
        </w:r>
      </w:hyperlink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10 Duke areas covered, each as a clickable card color-coded to one of four strategic pillars: Transforming Energy, Climate-Resilient Communities, Environmental Justice, and Data-Driven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Each card opens a detail panel showing a full description and a list of sourced “climate wins” — real links to official Duke web pages documenting that area’s climate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An interactive bar chart compares all 10 areas by win count, with filters by pillar and a sort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193 total documented wins catalogued across all areas.</w:t>
      </w:r>
    </w:p>
    <w:p>
      <w:pPr>
        <w:spacing w:after="8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012169"/>
          <w:sz w:val="22"/>
          <w:szCs w:val="22"/>
        </w:rPr>
        <w:t xml:space="preserve">How We Researched the Data</w:t>
      </w: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To populate the win counts, we ran 10 research agents simultaneously — one assigned to each Duke area. Each agent searched official Duke domains (duke.edu subdomains, goduke.com) for publicly accessible pages clearly related to climate, sustainability, energy, or environmental justice.</w:t>
      </w:r>
    </w:p>
    <w:p>
      <w:pPr>
        <w:spacing w:after="60" w:before="0"/>
      </w:pP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Each agent returned a structured list of pages with titles, URLs, and descriptions. Results were reviewed and loaded directly into the site. Here’s what each area returned:</w:t>
      </w:r>
    </w:p>
    <w:p>
      <w:pPr>
        <w:spacing w:after="10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60"/>
        <w:gridCol w:w="8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1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1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1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Pratt School of Engineering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Transforming Energy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Sanford School of Public Policy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Environmental Justice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SCALES / SCALe Programs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Data-Driven Solutions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Duke Athletics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Athletics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Nicholas School of the Environment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Climate-Resilient Communities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Nicholas Institute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Data-Driven Solutions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Office of Climate &amp; Sustainability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Transforming Energy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Duke Marine Lab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Climate-Resilient Communities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Fuqua School of Business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Environmental Justice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Department of Chemistry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Transforming Energy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433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6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012169"/>
          <w:sz w:val="22"/>
          <w:szCs w:val="22"/>
        </w:rPr>
        <w:t xml:space="preserve">Honest Limitations</w:t>
      </w: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This is a visibility audit, not an impact audit. We measured how much each area has publicly documented its climate activity online — not the depth or real-world significance of that work. A few specific caveats: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Areas that publish frequent news posts (like Athletics) can score similarly to areas doing deeper but less web-forward work (like the Nicholas Institute). The numbers reflect communication output, not necessarily research impact.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Web presence bias.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Some pages reference multiple areas (for example, a “12 Research Teams” article covers Chemistry, Pratt, and the Nicholas Institute). Those pages may have been counted by more than one agent.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Double-counting risk.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A press release about a new program and a published paper that changed federal policy are treated identically in our count.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Announcements vs. outcomes.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We covered 10 areas. Many Duke units — the Law School, School of Medicine, Divinity School, Trinity College, Duke Kunshan University — are not yet included.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Coverage gaps. </w:t>
      </w:r>
    </w:p>
    <w:p>
      <w:pPr>
        <w:spacing w:after="16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012169"/>
          <w:sz w:val="22"/>
          <w:szCs w:val="22"/>
        </w:rPr>
        <w:t xml:space="preserve">Recommended Next Steps</w:t>
      </w:r>
    </w:p>
    <w:p>
      <w:pPr>
        <w:spacing w:after="80" w:before="6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>If we continue this project, here is what we would prioritize: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Deduplicate URLs across areas.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Assign each page to a single primary area so wins aren’t counted twice.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Add a weighting system.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Score pages by type: research publication &gt; major grant &gt; new program &gt; news post &gt; event listing. This makes the comparison more meaningful.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Expand coverage.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Add the Law School, School of Medicine, Divinity School, Trinity College, and Duke Kunshan University.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Add a second data dimension.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Layer in funding amounts, student enrollment in climate programs, or research citations for a richer comparison.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Rename “wins” to “Documented Public Activities.”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This sets more accurate expectations for what the number represents.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Set up automated monitoring.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Re-run the research agents quarterly so the site stays current and shows growth over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Build richer area profiles.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Add faculty spotlights, student stories, and deeper narrative content for each area.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Cross-reference Duke’s official reporting. </w:t>
      </w:r>
      <w:r>
        <w:rPr>
          <w:rFonts w:ascii="Arial" w:cs="Arial" w:eastAsia="Arial" w:hAnsi="Arial"/>
          <w:color w:val="1E2433"/>
          <w:sz w:val="20"/>
          <w:szCs w:val="20"/>
        </w:rPr>
        <w:t xml:space="preserve">Compare our documented activity counts against the metrics in Duke’s annual Climate Commitment reports to validate and fill gaps.</w:t>
      </w:r>
    </w:p>
    <w:p>
      <w:pPr>
        <w:spacing w:after="160" w:before="0"/>
      </w:pPr>
    </w:p>
    <w:p>
      <w:pPr>
        <w:pBdr>
          <w:bottom w:val="single" w:color="C8D0E4" w:sz="4" w:space="1"/>
        </w:pBdr>
        <w:spacing w:after="0" w:before="160"/>
      </w:pPr>
    </w:p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A6278"/>
          <w:sz w:val="16"/>
          <w:szCs w:val="16"/>
        </w:rPr>
        <w:t xml:space="preserve">Prepared April 24, 2026 · Not an official Duke University publication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278"/>
        <w:sz w:val="16"/>
        <w:szCs w:val="16"/>
      </w:rPr>
      <w:t xml:space="preserve">Page </w:t>
    </w:r>
    <w:r>
      <w:rPr>
        <w:rFonts w:ascii="Arial" w:cs="Arial" w:eastAsia="Arial" w:hAnsi="Arial"/>
        <w:color w:val="5A6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0E4" w:sz="4" w:space="4"/>
      </w:pBdr>
      <w:tabs>
        <w:tab w:val="right" w:pos="9360"/>
      </w:tabs>
    </w:pPr>
    <w:r>
      <w:rPr>
        <w:rFonts w:ascii="Arial" w:cs="Arial" w:eastAsia="Arial" w:hAnsi="Arial"/>
        <w:color w:val="5A6278"/>
        <w:sz w:val="18"/>
        <w:szCs w:val="18"/>
      </w:rPr>
      <w:t xml:space="preserve">Duke Climate Commitment — Impact Website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278"/>
        <w:sz w:val="18"/>
        <w:szCs w:val="18"/>
      </w:rPr>
      <w:t xml:space="preserve">April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wfhpl0a3jhsdqwkl4ewj" Type="http://schemas.openxmlformats.org/officeDocument/2006/relationships/hyperlink" Target="https://snorkeljam.github.io/duke-climate-impac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2026-04-24T21:15:22.812Z</dcterms:created>
  <dcterms:modified xsi:type="dcterms:W3CDTF">2026-04-24T21:15:22.813Z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