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8B0000"/>
          <w:sz w:val="56"/>
          <w:szCs w:val="56"/>
        </w:rPr>
        <w:t xml:space="preserve">ADRIATICO ENERGIA S.r.l.</w:t>
      </w:r>
    </w:p>
    <w:p>
      <w:pPr>
        <w:spacing w:after="80"/>
      </w:pPr>
      <w:r>
        <w:rPr>
          <w:rFonts w:ascii="Arial" w:cs="Arial" w:eastAsia="Arial" w:hAnsi="Arial"/>
          <w:color w:val="555555"/>
          <w:sz w:val="20"/>
          <w:szCs w:val="20"/>
        </w:rPr>
        <w:t xml:space="preserve">Via Emilia 288 | 48122 Ravenna (RA) | Italy</w:t>
      </w:r>
    </w:p>
    <w:p>
      <w:pPr>
        <w:spacing w:after="40"/>
      </w:pPr>
      <w:r>
        <w:rPr>
          <w:rFonts w:ascii="Arial" w:cs="Arial" w:eastAsia="Arial" w:hAnsi="Arial"/>
          <w:color w:val="555555"/>
          <w:sz w:val="20"/>
          <w:szCs w:val="20"/>
        </w:rPr>
        <w:t xml:space="preserve">www.adriaticoenergiasr.it | Tel: +39 0544 219 400</w:t>
      </w:r>
    </w:p>
    <w:p>
      <w:pPr>
        <w:spacing w:after="300"/>
      </w:pPr>
      <w:r>
        <w:rPr>
          <w:rFonts w:ascii="Arial" w:cs="Arial" w:eastAsia="Arial" w:hAnsi="Arial"/>
          <w:i/>
          <w:iCs/>
          <w:color w:val="555555"/>
          <w:sz w:val="20"/>
          <w:szCs w:val="20"/>
        </w:rPr>
        <w:t xml:space="preserve">EPC Contractor: Nexus Energy Solutions S.p.A., Milan, Italy</w:t>
      </w:r>
    </w:p>
    <w:p>
      <w:pPr>
        <w:pBdr>
          <w:top w:val="single" w:color="8B0000" w:sz="16"/>
        </w:pBdr>
        <w:spacing w:after="80"/>
      </w:pPr>
    </w:p>
    <w:p>
      <w:pPr>
        <w:spacing w:after="80"/>
      </w:pPr>
      <w:r>
        <w:rPr>
          <w:rFonts w:ascii="Arial" w:cs="Arial" w:eastAsia="Arial" w:hAnsi="Arial"/>
          <w:b/>
          <w:bCs/>
          <w:color w:val="1B3A5C"/>
          <w:sz w:val="56"/>
          <w:szCs w:val="56"/>
        </w:rPr>
        <w:t xml:space="preserve">PROJECT-SPECIFIC REQUIREMENTS</w:t>
      </w:r>
    </w:p>
    <w:p>
      <w:pPr>
        <w:spacing w:after="80"/>
      </w:pPr>
      <w:r>
        <w:rPr>
          <w:rFonts w:ascii="Arial" w:cs="Arial" w:eastAsia="Arial" w:hAnsi="Arial"/>
          <w:b/>
          <w:bCs/>
          <w:color w:val="8B0000"/>
          <w:sz w:val="40"/>
          <w:szCs w:val="40"/>
        </w:rPr>
        <w:t xml:space="preserve">GAS DEHYDRATION PACKAGE UNIT</w:t>
      </w:r>
    </w:p>
    <w:p>
      <w:pPr>
        <w:spacing w:after="400"/>
      </w:pPr>
      <w:r>
        <w:rPr>
          <w:rFonts w:ascii="Arial" w:cs="Arial" w:eastAsia="Arial" w:hAnsi="Arial"/>
          <w:i/>
          <w:iCs/>
          <w:color w:val="444444"/>
          <w:sz w:val="24"/>
          <w:szCs w:val="24"/>
        </w:rPr>
        <w:t xml:space="preserve">Owner's Requirements, Site Conditions, Interface Definition, Performance Guarantees &amp; Vendor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9360"/>
            <w:gridSpan w:val="2"/>
            <w:tcBorders>
              <w:top w:val="single" w:color="C0CDD8" w:sz="1"/>
              <w:left w:val="single" w:color="C0CDD8" w:sz="1"/>
              <w:bottom w:val="single" w:color="C0CDD8" w:sz="1"/>
              <w:right w:val="single" w:color="C0CD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ADRIATICO ENERGIA S.r.l. &amp; NEXUS ENERGY SOLUTIONS S.p.A.</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Document Title:</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PROJECT-SPECIFIC REQUIREMENTS – GAS DEHYDRATION PACKAGE UNIT</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Sub-title:</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Owner's Project Requirements, Site Conditions, Interface Definition &amp; Vendor Obligations</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Project:</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Adriatic Gas Processing Facility – Phase II Expansion</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Project Number:</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NES-AGP-2026-007</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Document Number:</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NES-AGP-2026-007-PSR-GDU-001</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Revision:</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 – Issued with RFQ for Quotation</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Issue Date:</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 March 2026</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Issued by:</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Nexus Energy Solutions S.p.A. on behalf of Adriatico Energia S.r.l.</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Applicability:</w:t>
            </w:r>
          </w:p>
        </w:tc>
        <w:tc>
          <w:tcPr>
            <w:tcW w:type="dxa" w:w="586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This document is CONTRACTUALLY BINDING and forms part of the Purchase Order.</w:t>
            </w:r>
          </w:p>
        </w:tc>
      </w:tr>
    </w:tbl>
    <w:p>
      <w:pPr>
        <w:spacing w:after="160"/>
      </w:pPr>
      <w:r>
        <w:t xml:space="preserve"/>
      </w:r>
    </w:p>
    <w:p>
      <w:pPr>
        <w:spacing w:after="120"/>
      </w:pPr>
      <w:r>
        <w:rPr>
          <w:rFonts w:ascii="Arial" w:cs="Arial" w:eastAsia="Arial" w:hAnsi="Arial"/>
          <w:b/>
          <w:bCs/>
          <w:color w:val="1B3A5C"/>
          <w:sz w:val="22"/>
          <w:szCs w:val="22"/>
        </w:rP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2400"/>
        <w:gridCol w:w="1460"/>
      </w:tblGrid>
      <w:tr>
        <w:tc>
          <w:tcPr>
            <w:tcW w:type="dxa" w:w="9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w:t>
            </w:r>
          </w:p>
        </w:tc>
        <w:tc>
          <w:tcPr>
            <w:tcW w:type="dxa" w:w="14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32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4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Prepared by</w:t>
            </w:r>
          </w:p>
        </w:tc>
        <w:tc>
          <w:tcPr>
            <w:tcW w:type="dxa" w:w="146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Approved by</w:t>
            </w:r>
          </w:p>
        </w:tc>
      </w:tr>
      <w:tr>
        <w:tc>
          <w:tcPr>
            <w:tcW w:type="dxa" w:w="9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w:t>
            </w:r>
          </w:p>
        </w:tc>
        <w:tc>
          <w:tcPr>
            <w:tcW w:type="dxa" w:w="1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12-Mar-2026</w:t>
            </w:r>
          </w:p>
        </w:tc>
        <w:tc>
          <w:tcPr>
            <w:tcW w:type="dxa" w:w="32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Issued for Quotation with RFQ NES-AGP-2026-007-RFQ-GAS-DRY-001</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 Ferretti / G. Conti (Client)</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 Rossi / PM</w:t>
            </w:r>
          </w:p>
        </w:tc>
      </w:tr>
    </w:tbl>
    <w:p>
      <w:pPr>
        <w:spacing w:after="160"/>
      </w:pPr>
      <w:r>
        <w:t xml:space="preserve"/>
      </w:r>
    </w:p>
    <w:p>
      <w:pPr>
        <w:pBdr>
          <w:left w:val="single" w:color="8B0000" w:sz="12" w:space="6"/>
        </w:pBdr>
        <w:spacing w:after="120"/>
        <w:ind w:left="360"/>
      </w:pPr>
      <w:r>
        <w:rPr>
          <w:rFonts w:ascii="Arial" w:cs="Arial" w:eastAsia="Arial" w:hAnsi="Arial"/>
          <w:b/>
          <w:bCs/>
          <w:color w:val="8B0000"/>
          <w:sz w:val="18"/>
          <w:szCs w:val="18"/>
        </w:rPr>
        <w:t xml:space="preserve">⚠  MANDATORY: This document is contractually binding and shall form Annex [X] to the Purchase Order. Vendor's offer implies full acceptance of all requirements herein unless a formal deviation is registered. Any requirement marked 'SHALL' is mandatory; requirements marked 'SHOULD' are strong recommendations.</w:t>
      </w:r>
    </w:p>
    <w:p>
      <w:pPr>
        <w:spacing w:after="160"/>
      </w:pPr>
      <w:r>
        <w:t xml:space="preserve"/>
      </w:r>
    </w:p>
    <w:p>
      <w:r>
        <w:br w:type="page"/>
      </w:r>
    </w:p>
    <w:p>
      <w:pPr>
        <w:pStyle w:val="Heading1"/>
        <w:pBdr>
          <w:bottom w:val="single" w:color="8B0000" w:sz="10" w:space="4"/>
        </w:pBdr>
        <w:spacing w:after="180" w:before="360"/>
      </w:pPr>
      <w:r>
        <w:rPr>
          <w:rFonts w:ascii="Arial" w:cs="Arial" w:eastAsia="Arial" w:hAnsi="Arial"/>
          <w:b/>
          <w:bCs/>
          <w:color w:val="1B3A5C"/>
          <w:sz w:val="28"/>
          <w:szCs w:val="28"/>
        </w:rPr>
        <w:t xml:space="preserve">1. PURPOSE, SCOPE AND HIERARCHY</w:t>
      </w:r>
    </w:p>
    <w:p>
      <w:pPr>
        <w:pStyle w:val="Heading2"/>
        <w:spacing w:after="120" w:before="240"/>
      </w:pPr>
      <w:r>
        <w:rPr>
          <w:rFonts w:ascii="Arial" w:cs="Arial" w:eastAsia="Arial" w:hAnsi="Arial"/>
          <w:b/>
          <w:bCs/>
          <w:color w:val="2E6DA4"/>
          <w:sz w:val="24"/>
          <w:szCs w:val="24"/>
        </w:rPr>
        <w:t xml:space="preserve">1.1 Purpose</w:t>
      </w:r>
    </w:p>
    <w:p>
      <w:pPr>
        <w:spacing w:after="120"/>
      </w:pPr>
      <w:r>
        <w:rPr>
          <w:rFonts w:ascii="Arial" w:cs="Arial" w:eastAsia="Arial" w:hAnsi="Arial"/>
          <w:sz w:val="20"/>
          <w:szCs w:val="20"/>
        </w:rPr>
        <w:t xml:space="preserve">This Project-Specific Requirements (PSR) document defines the Owner and EPC Contractor's specific technical, HSE, commercial, and administrative requirements for the Gas Dehydration Unit (GDU) Package to be supplied for the Adriatic Gas Processing Facility Phase II Expansion. It supplements the companion RFQ document (NES-AGP-2026-007-RFQ-GAS-DRY-001) and, upon award of Purchase Order, forms a contractually binding part of that Purchase Order.</w:t>
      </w:r>
    </w:p>
    <w:p>
      <w:pPr>
        <w:spacing w:after="120"/>
      </w:pPr>
      <w:r>
        <w:rPr>
          <w:rFonts w:ascii="Arial" w:cs="Arial" w:eastAsia="Arial" w:hAnsi="Arial"/>
          <w:sz w:val="20"/>
          <w:szCs w:val="20"/>
        </w:rPr>
        <w:t xml:space="preserve">This document defines: (1) the Owner's non-negotiable requirements for the process plant and the GDU within it; (2) exact site and environmental design conditions; (3) complete battery limit and interface definition; (4) performance guarantees required; (5) HSE, quality, and regulatory obligations; (6) scheduling obligations; and (7) commissioning and warranty requirements.</w:t>
      </w:r>
    </w:p>
    <w:p>
      <w:pPr>
        <w:spacing w:after="160"/>
      </w:pPr>
      <w:r>
        <w:t xml:space="preserve"/>
      </w:r>
    </w:p>
    <w:p>
      <w:pPr>
        <w:pStyle w:val="Heading2"/>
        <w:spacing w:after="120" w:before="240"/>
      </w:pPr>
      <w:r>
        <w:rPr>
          <w:rFonts w:ascii="Arial" w:cs="Arial" w:eastAsia="Arial" w:hAnsi="Arial"/>
          <w:b/>
          <w:bCs/>
          <w:color w:val="2E6DA4"/>
          <w:sz w:val="24"/>
          <w:szCs w:val="24"/>
        </w:rPr>
        <w:t xml:space="preserve">1.2 Document Hierarchy</w:t>
      </w:r>
    </w:p>
    <w:p>
      <w:pPr>
        <w:spacing w:after="120"/>
      </w:pPr>
      <w:r>
        <w:rPr>
          <w:rFonts w:ascii="Arial" w:cs="Arial" w:eastAsia="Arial" w:hAnsi="Arial"/>
          <w:sz w:val="20"/>
          <w:szCs w:val="20"/>
        </w:rPr>
        <w:t xml:space="preserve">In the event of conflict between documents, the following hierarchy shall apply (highest precedence first):</w:t>
      </w:r>
    </w:p>
    <w:p>
      <w:pPr>
        <w:pStyle w:val="ListParagraph"/>
        <w:numPr>
          <w:ilvl w:val="0"/>
          <w:numId w:val="2"/>
        </w:numPr>
        <w:spacing w:after="80"/>
      </w:pPr>
      <w:r>
        <w:rPr>
          <w:rFonts w:ascii="Arial" w:cs="Arial" w:eastAsia="Arial" w:hAnsi="Arial"/>
          <w:sz w:val="20"/>
          <w:szCs w:val="20"/>
        </w:rPr>
        <w:t xml:space="preserve">Applicable Italian and EU Laws and Regulations (PED 2014/68/EU, ATEX 2014/34/EU, Machinery Directive 2006/42/EC, Seveso III, etc.)</w:t>
      </w:r>
    </w:p>
    <w:p>
      <w:pPr>
        <w:pStyle w:val="ListParagraph"/>
        <w:numPr>
          <w:ilvl w:val="0"/>
          <w:numId w:val="2"/>
        </w:numPr>
        <w:spacing w:after="80"/>
      </w:pPr>
      <w:r>
        <w:rPr>
          <w:rFonts w:ascii="Arial" w:cs="Arial" w:eastAsia="Arial" w:hAnsi="Arial"/>
          <w:sz w:val="20"/>
          <w:szCs w:val="20"/>
        </w:rPr>
        <w:t xml:space="preserve">This Project-Specific Requirements Document (NES-AGP-2026-007-PSR-GDU-001)</w:t>
      </w:r>
    </w:p>
    <w:p>
      <w:pPr>
        <w:pStyle w:val="ListParagraph"/>
        <w:numPr>
          <w:ilvl w:val="0"/>
          <w:numId w:val="2"/>
        </w:numPr>
        <w:spacing w:after="80"/>
      </w:pPr>
      <w:r>
        <w:rPr>
          <w:rFonts w:ascii="Arial" w:cs="Arial" w:eastAsia="Arial" w:hAnsi="Arial"/>
          <w:sz w:val="20"/>
          <w:szCs w:val="20"/>
        </w:rPr>
        <w:t xml:space="preserve">RFQ Document NES-AGP-2026-007-RFQ-GAS-DRY-001 and all its Appendices</w:t>
      </w:r>
    </w:p>
    <w:p>
      <w:pPr>
        <w:pStyle w:val="ListParagraph"/>
        <w:numPr>
          <w:ilvl w:val="0"/>
          <w:numId w:val="2"/>
        </w:numPr>
        <w:spacing w:after="80"/>
      </w:pPr>
      <w:r>
        <w:rPr>
          <w:rFonts w:ascii="Arial" w:cs="Arial" w:eastAsia="Arial" w:hAnsi="Arial"/>
          <w:sz w:val="20"/>
          <w:szCs w:val="20"/>
        </w:rPr>
        <w:t xml:space="preserve">Purchase Order Terms and Conditions (NES General T&amp;Cs for Equipment Purchase)</w:t>
      </w:r>
    </w:p>
    <w:p>
      <w:pPr>
        <w:pStyle w:val="ListParagraph"/>
        <w:numPr>
          <w:ilvl w:val="0"/>
          <w:numId w:val="2"/>
        </w:numPr>
        <w:spacing w:after="80"/>
      </w:pPr>
      <w:r>
        <w:rPr>
          <w:rFonts w:ascii="Arial" w:cs="Arial" w:eastAsia="Arial" w:hAnsi="Arial"/>
          <w:sz w:val="20"/>
          <w:szCs w:val="20"/>
        </w:rPr>
        <w:t xml:space="preserve">Referenced International Standards (ASME, API, IEC, EN, ISO, NACE, etc.)</w:t>
      </w:r>
    </w:p>
    <w:p>
      <w:pPr>
        <w:pStyle w:val="ListParagraph"/>
        <w:numPr>
          <w:ilvl w:val="0"/>
          <w:numId w:val="2"/>
        </w:numPr>
        <w:spacing w:after="80"/>
      </w:pPr>
      <w:r>
        <w:rPr>
          <w:rFonts w:ascii="Arial" w:cs="Arial" w:eastAsia="Arial" w:hAnsi="Arial"/>
          <w:sz w:val="20"/>
          <w:szCs w:val="20"/>
        </w:rPr>
        <w:t xml:space="preserve">Vendor's documentation (design calculations, drawings, datasheets, etc.)</w:t>
      </w:r>
    </w:p>
    <w:p>
      <w:pPr>
        <w:spacing w:after="120"/>
      </w:pPr>
      <w:r>
        <w:rPr>
          <w:rFonts w:ascii="Arial" w:cs="Arial" w:eastAsia="Arial" w:hAnsi="Arial"/>
          <w:sz w:val="20"/>
          <w:szCs w:val="20"/>
        </w:rPr>
        <w:t xml:space="preserve">Vendor shall immediately notify NES in writing of any conflict discovered between documents listed above. NES will issue a formal resolution.</w:t>
      </w:r>
    </w:p>
    <w:p>
      <w:pPr>
        <w:spacing w:after="160"/>
      </w:pPr>
      <w:r>
        <w:t xml:space="preserve"/>
      </w:r>
    </w:p>
    <w:p>
      <w:pPr>
        <w:pStyle w:val="Heading2"/>
        <w:spacing w:after="120" w:before="240"/>
      </w:pPr>
      <w:r>
        <w:rPr>
          <w:rFonts w:ascii="Arial" w:cs="Arial" w:eastAsia="Arial" w:hAnsi="Arial"/>
          <w:b/>
          <w:bCs/>
          <w:color w:val="2E6DA4"/>
          <w:sz w:val="24"/>
          <w:szCs w:val="24"/>
        </w:rPr>
        <w:t xml:space="preserve">1.3 Definitions</w:t>
      </w:r>
    </w:p>
    <w:p>
      <w:pPr>
        <w:pStyle w:val="ListParagraph"/>
        <w:numPr>
          <w:ilvl w:val="0"/>
          <w:numId w:val="3"/>
        </w:numPr>
        <w:spacing w:after="60"/>
      </w:pPr>
      <w:r>
        <w:rPr>
          <w:rFonts w:ascii="Arial" w:cs="Arial" w:eastAsia="Arial" w:hAnsi="Arial"/>
          <w:sz w:val="20"/>
          <w:szCs w:val="20"/>
        </w:rPr>
        <w:t xml:space="preserve">OWNER / CLIENT: Adriatico Energia S.r.l.</w:t>
      </w:r>
    </w:p>
    <w:p>
      <w:pPr>
        <w:pStyle w:val="ListParagraph"/>
        <w:numPr>
          <w:ilvl w:val="0"/>
          <w:numId w:val="3"/>
        </w:numPr>
        <w:spacing w:after="60"/>
      </w:pPr>
      <w:r>
        <w:rPr>
          <w:rFonts w:ascii="Arial" w:cs="Arial" w:eastAsia="Arial" w:hAnsi="Arial"/>
          <w:sz w:val="20"/>
          <w:szCs w:val="20"/>
        </w:rPr>
        <w:t xml:space="preserve">EPC CONTRACTOR / NES: Nexus Energy Solutions S.p.A.</w:t>
      </w:r>
    </w:p>
    <w:p>
      <w:pPr>
        <w:pStyle w:val="ListParagraph"/>
        <w:numPr>
          <w:ilvl w:val="0"/>
          <w:numId w:val="3"/>
        </w:numPr>
        <w:spacing w:after="60"/>
      </w:pPr>
      <w:r>
        <w:rPr>
          <w:rFonts w:ascii="Arial" w:cs="Arial" w:eastAsia="Arial" w:hAnsi="Arial"/>
          <w:sz w:val="20"/>
          <w:szCs w:val="20"/>
        </w:rPr>
        <w:t xml:space="preserve">VENDOR / SUPPLIER: The company awarded the Purchase Order for the GDU Package.</w:t>
      </w:r>
    </w:p>
    <w:p>
      <w:pPr>
        <w:pStyle w:val="ListParagraph"/>
        <w:numPr>
          <w:ilvl w:val="0"/>
          <w:numId w:val="3"/>
        </w:numPr>
        <w:spacing w:after="60"/>
      </w:pPr>
      <w:r>
        <w:rPr>
          <w:rFonts w:ascii="Arial" w:cs="Arial" w:eastAsia="Arial" w:hAnsi="Arial"/>
          <w:sz w:val="20"/>
          <w:szCs w:val="20"/>
        </w:rPr>
        <w:t xml:space="preserve">GDU / PACKAGE: Gas Dehydration Unit Package (all equipment within vendor scope).</w:t>
      </w:r>
    </w:p>
    <w:p>
      <w:pPr>
        <w:pStyle w:val="ListParagraph"/>
        <w:numPr>
          <w:ilvl w:val="0"/>
          <w:numId w:val="3"/>
        </w:numPr>
        <w:spacing w:after="60"/>
      </w:pPr>
      <w:r>
        <w:rPr>
          <w:rFonts w:ascii="Arial" w:cs="Arial" w:eastAsia="Arial" w:hAnsi="Arial"/>
          <w:sz w:val="20"/>
          <w:szCs w:val="20"/>
        </w:rPr>
        <w:t xml:space="preserve">BL: Battery Limit – the defined physical boundary between vendor's scope and NES/EPC scope.</w:t>
      </w:r>
    </w:p>
    <w:p>
      <w:pPr>
        <w:pStyle w:val="ListParagraph"/>
        <w:numPr>
          <w:ilvl w:val="0"/>
          <w:numId w:val="3"/>
        </w:numPr>
        <w:spacing w:after="60"/>
      </w:pPr>
      <w:r>
        <w:rPr>
          <w:rFonts w:ascii="Arial" w:cs="Arial" w:eastAsia="Arial" w:hAnsi="Arial"/>
          <w:sz w:val="20"/>
          <w:szCs w:val="20"/>
        </w:rPr>
        <w:t xml:space="preserve">PO: Purchase Order.</w:t>
      </w:r>
    </w:p>
    <w:p>
      <w:pPr>
        <w:pStyle w:val="ListParagraph"/>
        <w:numPr>
          <w:ilvl w:val="0"/>
          <w:numId w:val="3"/>
        </w:numPr>
        <w:spacing w:after="60"/>
      </w:pPr>
      <w:r>
        <w:rPr>
          <w:rFonts w:ascii="Arial" w:cs="Arial" w:eastAsia="Arial" w:hAnsi="Arial"/>
          <w:sz w:val="20"/>
          <w:szCs w:val="20"/>
        </w:rPr>
        <w:t xml:space="preserve">FAT: Factory Acceptance Test.</w:t>
      </w:r>
    </w:p>
    <w:p>
      <w:pPr>
        <w:pStyle w:val="ListParagraph"/>
        <w:numPr>
          <w:ilvl w:val="0"/>
          <w:numId w:val="3"/>
        </w:numPr>
        <w:spacing w:after="60"/>
      </w:pPr>
      <w:r>
        <w:rPr>
          <w:rFonts w:ascii="Arial" w:cs="Arial" w:eastAsia="Arial" w:hAnsi="Arial"/>
          <w:sz w:val="20"/>
          <w:szCs w:val="20"/>
        </w:rPr>
        <w:t xml:space="preserve">MDR: Manufacturer's Data Record.</w:t>
      </w:r>
    </w:p>
    <w:p>
      <w:pPr>
        <w:pStyle w:val="ListParagraph"/>
        <w:numPr>
          <w:ilvl w:val="0"/>
          <w:numId w:val="3"/>
        </w:numPr>
        <w:spacing w:after="60"/>
      </w:pPr>
      <w:r>
        <w:rPr>
          <w:rFonts w:ascii="Arial" w:cs="Arial" w:eastAsia="Arial" w:hAnsi="Arial"/>
          <w:sz w:val="20"/>
          <w:szCs w:val="20"/>
        </w:rPr>
        <w:t xml:space="preserve">ITP: Inspection and Test Plan.</w:t>
      </w:r>
    </w:p>
    <w:p>
      <w:pPr>
        <w:pStyle w:val="ListParagraph"/>
        <w:numPr>
          <w:ilvl w:val="0"/>
          <w:numId w:val="3"/>
        </w:numPr>
        <w:spacing w:after="60"/>
      </w:pPr>
      <w:r>
        <w:rPr>
          <w:rFonts w:ascii="Arial" w:cs="Arial" w:eastAsia="Arial" w:hAnsi="Arial"/>
          <w:sz w:val="20"/>
          <w:szCs w:val="20"/>
        </w:rPr>
        <w:t xml:space="preserve">MC: Mechanical Completion.</w:t>
      </w:r>
    </w:p>
    <w:p>
      <w:pPr>
        <w:pStyle w:val="ListParagraph"/>
        <w:numPr>
          <w:ilvl w:val="0"/>
          <w:numId w:val="3"/>
        </w:numPr>
        <w:spacing w:after="60"/>
      </w:pPr>
      <w:r>
        <w:rPr>
          <w:rFonts w:ascii="Arial" w:cs="Arial" w:eastAsia="Arial" w:hAnsi="Arial"/>
          <w:sz w:val="20"/>
          <w:szCs w:val="20"/>
        </w:rPr>
        <w:t xml:space="preserve">SIL: Safety Integrity Level (per IEC 61511).</w:t>
      </w:r>
    </w:p>
    <w:p>
      <w:pPr>
        <w:pStyle w:val="ListParagraph"/>
        <w:numPr>
          <w:ilvl w:val="0"/>
          <w:numId w:val="3"/>
        </w:numPr>
        <w:spacing w:after="60"/>
      </w:pPr>
      <w:r>
        <w:rPr>
          <w:rFonts w:ascii="Arial" w:cs="Arial" w:eastAsia="Arial" w:hAnsi="Arial"/>
          <w:sz w:val="20"/>
          <w:szCs w:val="20"/>
        </w:rPr>
        <w:t xml:space="preserve">MAWP: Maximum Allowable Working Pressure.</w:t>
      </w:r>
    </w:p>
    <w:p>
      <w:pPr>
        <w:pStyle w:val="ListParagraph"/>
        <w:numPr>
          <w:ilvl w:val="0"/>
          <w:numId w:val="3"/>
        </w:numPr>
        <w:spacing w:after="60"/>
      </w:pPr>
      <w:r>
        <w:rPr>
          <w:rFonts w:ascii="Arial" w:cs="Arial" w:eastAsia="Arial" w:hAnsi="Arial"/>
          <w:sz w:val="20"/>
          <w:szCs w:val="20"/>
        </w:rPr>
        <w:t xml:space="preserve">DFT: Dry Film Thickness (paint).</w:t>
      </w:r>
    </w:p>
    <w:p>
      <w:pPr>
        <w:pStyle w:val="ListParagraph"/>
        <w:numPr>
          <w:ilvl w:val="0"/>
          <w:numId w:val="3"/>
        </w:numPr>
        <w:spacing w:after="60"/>
      </w:pPr>
      <w:r>
        <w:rPr>
          <w:rFonts w:ascii="Arial" w:cs="Arial" w:eastAsia="Arial" w:hAnsi="Arial"/>
          <w:sz w:val="20"/>
          <w:szCs w:val="20"/>
        </w:rPr>
        <w:t xml:space="preserve">KO Drum: Knock-Out drum (liquid separator).</w:t>
      </w:r>
    </w:p>
    <w:p>
      <w:pPr>
        <w:spacing w:after="160"/>
      </w:pPr>
      <w:r>
        <w:t xml:space="preserve"/>
      </w:r>
    </w:p>
    <w:p>
      <w:r>
        <w:br w:type="page"/>
      </w:r>
    </w:p>
    <w:p>
      <w:pPr>
        <w:pStyle w:val="Heading1"/>
        <w:pBdr>
          <w:bottom w:val="single" w:color="8B0000" w:sz="10" w:space="4"/>
        </w:pBdr>
        <w:spacing w:after="180" w:before="360"/>
      </w:pPr>
      <w:r>
        <w:rPr>
          <w:rFonts w:ascii="Arial" w:cs="Arial" w:eastAsia="Arial" w:hAnsi="Arial"/>
          <w:b/>
          <w:bCs/>
          <w:color w:val="1B3A5C"/>
          <w:sz w:val="28"/>
          <w:szCs w:val="28"/>
        </w:rPr>
        <w:t xml:space="preserve">2. DETAILED PROJECT DESIGN BASIS</w:t>
      </w:r>
    </w:p>
    <w:p>
      <w:pPr>
        <w:pStyle w:val="Heading2"/>
        <w:spacing w:after="120" w:before="240"/>
      </w:pPr>
      <w:r>
        <w:rPr>
          <w:rFonts w:ascii="Arial" w:cs="Arial" w:eastAsia="Arial" w:hAnsi="Arial"/>
          <w:b/>
          <w:bCs/>
          <w:color w:val="2E6DA4"/>
          <w:sz w:val="24"/>
          <w:szCs w:val="24"/>
        </w:rPr>
        <w:t xml:space="preserve">2.1 Owner's Design Philosophy</w:t>
      </w:r>
    </w:p>
    <w:p>
      <w:pPr>
        <w:spacing w:after="120"/>
      </w:pPr>
      <w:r>
        <w:rPr>
          <w:rFonts w:ascii="Arial" w:cs="Arial" w:eastAsia="Arial" w:hAnsi="Arial"/>
          <w:sz w:val="20"/>
          <w:szCs w:val="20"/>
        </w:rPr>
        <w:t xml:space="preserve">Adriatico Energia S.r.l. requires that all equipment supplied for this facility adhere to the following overarching design principles:</w:t>
      </w:r>
    </w:p>
    <w:p>
      <w:pPr>
        <w:pStyle w:val="ListParagraph"/>
        <w:numPr>
          <w:ilvl w:val="0"/>
          <w:numId w:val="3"/>
        </w:numPr>
        <w:spacing w:after="60"/>
      </w:pPr>
      <w:r>
        <w:rPr>
          <w:rFonts w:ascii="Arial" w:cs="Arial" w:eastAsia="Arial" w:hAnsi="Arial"/>
          <w:sz w:val="20"/>
          <w:szCs w:val="20"/>
        </w:rPr>
        <w:t xml:space="preserve">Safety first: Equipment shall be designed to eliminate hazards at source before relying on protective systems. The hierarchy of safeguards (inherent safety, prevention, control, mitigation, emergency response) shall be explicitly followed in the design.</w:t>
      </w:r>
    </w:p>
    <w:p>
      <w:pPr>
        <w:pStyle w:val="ListParagraph"/>
        <w:numPr>
          <w:ilvl w:val="0"/>
          <w:numId w:val="3"/>
        </w:numPr>
        <w:spacing w:after="60"/>
      </w:pPr>
      <w:r>
        <w:rPr>
          <w:rFonts w:ascii="Arial" w:cs="Arial" w:eastAsia="Arial" w:hAnsi="Arial"/>
          <w:sz w:val="20"/>
          <w:szCs w:val="20"/>
        </w:rPr>
        <w:t xml:space="preserve">Reliability over cost: Minor increases in CAPEX are acceptable where they demonstrably improve operational reliability, availability, or reduce maintenance frequency. Vendor shall identify and justify any such design choices in the offer.</w:t>
      </w:r>
    </w:p>
    <w:p>
      <w:pPr>
        <w:pStyle w:val="ListParagraph"/>
        <w:numPr>
          <w:ilvl w:val="0"/>
          <w:numId w:val="3"/>
        </w:numPr>
        <w:spacing w:after="60"/>
      </w:pPr>
      <w:r>
        <w:rPr>
          <w:rFonts w:ascii="Arial" w:cs="Arial" w:eastAsia="Arial" w:hAnsi="Arial"/>
          <w:sz w:val="20"/>
          <w:szCs w:val="20"/>
        </w:rPr>
        <w:t xml:space="preserve">Standardization: Where multiple valve, instrument, or equipment types could serve the same function, the simpler and more standardized option shall be preferred. NES/Client does not want a proliferation of proprietary spare parts.</w:t>
      </w:r>
    </w:p>
    <w:p>
      <w:pPr>
        <w:pStyle w:val="ListParagraph"/>
        <w:numPr>
          <w:ilvl w:val="0"/>
          <w:numId w:val="3"/>
        </w:numPr>
        <w:spacing w:after="60"/>
      </w:pPr>
      <w:r>
        <w:rPr>
          <w:rFonts w:ascii="Arial" w:cs="Arial" w:eastAsia="Arial" w:hAnsi="Arial"/>
          <w:sz w:val="20"/>
          <w:szCs w:val="20"/>
        </w:rPr>
        <w:t xml:space="preserve">Operability: The GDU shall be designed for safe, intuitive operation by trained process operators with a minimum of 2 years of general gas processing experience (not molecular sieve specialists). O&amp;M manual shall be written accordingly.</w:t>
      </w:r>
    </w:p>
    <w:p>
      <w:pPr>
        <w:pStyle w:val="ListParagraph"/>
        <w:numPr>
          <w:ilvl w:val="0"/>
          <w:numId w:val="3"/>
        </w:numPr>
        <w:spacing w:after="60"/>
      </w:pPr>
      <w:r>
        <w:rPr>
          <w:rFonts w:ascii="Arial" w:cs="Arial" w:eastAsia="Arial" w:hAnsi="Arial"/>
          <w:sz w:val="20"/>
          <w:szCs w:val="20"/>
        </w:rPr>
        <w:t xml:space="preserve">Maintainability: All equipment shall be accessible for routine maintenance without hot work permits and without removing adjacent equipment. Filter elements, sieve loading/unloading, valve actuators, and instrument transmitters to be replaceable without full unit shutdown where possible.</w:t>
      </w:r>
    </w:p>
    <w:p>
      <w:pPr>
        <w:pStyle w:val="ListParagraph"/>
        <w:numPr>
          <w:ilvl w:val="0"/>
          <w:numId w:val="3"/>
        </w:numPr>
        <w:spacing w:after="60"/>
      </w:pPr>
      <w:r>
        <w:rPr>
          <w:rFonts w:ascii="Arial" w:cs="Arial" w:eastAsia="Arial" w:hAnsi="Arial"/>
          <w:sz w:val="20"/>
          <w:szCs w:val="20"/>
        </w:rPr>
        <w:t xml:space="preserve">Modularity: The package shall be delivered as a single integrated skid where possible. If split into multiple sub-skids for transport, the number of inter-skid field connections shall be minimized and their interfaces clearly documented.</w:t>
      </w:r>
    </w:p>
    <w:p>
      <w:pPr>
        <w:spacing w:after="160"/>
      </w:pPr>
      <w:r>
        <w:t xml:space="preserve"/>
      </w:r>
    </w:p>
    <w:p>
      <w:pPr>
        <w:pStyle w:val="Heading2"/>
        <w:spacing w:after="120" w:before="240"/>
      </w:pPr>
      <w:r>
        <w:rPr>
          <w:rFonts w:ascii="Arial" w:cs="Arial" w:eastAsia="Arial" w:hAnsi="Arial"/>
          <w:b/>
          <w:bCs/>
          <w:color w:val="2E6DA4"/>
          <w:sz w:val="24"/>
          <w:szCs w:val="24"/>
        </w:rPr>
        <w:t xml:space="preserve">2.2 Detailed Design Basis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Design Basis Item</w:t>
            </w:r>
          </w:p>
        </w:tc>
        <w:tc>
          <w:tcPr>
            <w:tcW w:type="dxa" w:w="586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 / Value</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Technology mandated by Client</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Molecular Sieve Adsorption (Zeolite 3A). No alternative technology will be accepted.</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Design Life</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25 years minimum for all mechanical equipment (pressure vessels, piping, structural). Adsorbers designed for 25 years with sieve replacement at intervals stated by vendor.</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Plant Availability Target</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98.5% online time annually (scheduled maintenance excluded). Vendor design shall support this target.</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Turndown Ratio</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40% of design flow (20 MMSCFD minimum) while maintaining full outlet specification</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Outlet Water Content Guarantee</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1.0 lb/MMSCF (16 mg/Nm³) at all times during normal operation, including during adsorber vessel switchover.</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Water Dewpoint – Outlet Guarantee</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-40°C at line operating pressure. Design target: -50°C.</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Pressure Drop – Maximum Allowable</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1.5 barg total across GDU package (inlet flange to outlet flange) at maximum flow (60 MMSCFD)</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ATEX Zone</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Zone 1 (IIB T3) within equipment enclosures and 3 m radius of process flanges; Zone 2 beyond. All electrical equipment shall be certified accordingly.</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Seismic Design Category</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Zone 3 per Italian NTC 2018 seismic map. Vendor to design structural skid and vessel supports for PGA = 0.15g (horizontal), 0.075g (vertical).</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Wind Load</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Basic wind speed Vb = 27 m/s (97 km/h mean) → Design wind speed with topography factor: 38 m/s (per EN 1991-1-4 Italian NA)</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Corrosion Allowance – Vessels</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Minimum 3.0 mm for all carbon steel pressure-containing parts in wet gas service. 0 mm for SS parts.</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Corrosion Allowance – Piping</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Minimum 1.5 mm for carbon steel process piping; 0 mm for 316L SS lines.</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Noise Limit (OSHA/EU Directive)</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85 dB(A) at 1 m from any equipment surface (free field). Acoustic enclosures or silencers to be added if needed. Regeneration heater burner: ≤ 80 dB(A).</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Winterization Temperature</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equipment, instrumentation, and piping to remain functional and protected at -10°C ambient. Electric heat tracing mandatory.</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Painting System</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ISO 12944 Corrosivity Category C4. Minimum DFT 250 μm total. Hot dip galvanizing for structural steel.</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Color Code</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Vessels and structural: RAL 7035 (Light Grey). Piping per NES color coding spec (to be provided). Danger areas: RAL 3020 (Traffic Red).</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Vibration Limits (Rotating Equipment)</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Per API 670. Not applicable for static adsorber vessels.</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Fire and Gas Detection Interfaces</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provide connection points for plant F&amp;G detectors (to be installed by EPC). No F&amp;G detectors in vendor scope unless specified.</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Cybersecurity</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PLC and network systems shall comply with ISA/IEC 62443 Level 2. No remote internet connectivity without NES written approval.</w:t>
            </w:r>
          </w:p>
        </w:tc>
      </w:tr>
    </w:tbl>
    <w:p>
      <w:pPr>
        <w:spacing w:after="160"/>
      </w:pPr>
      <w:r>
        <w:t xml:space="preserve"/>
      </w:r>
    </w:p>
    <w:p>
      <w:pPr>
        <w:pStyle w:val="Heading2"/>
        <w:spacing w:after="120" w:before="240"/>
      </w:pPr>
      <w:r>
        <w:rPr>
          <w:rFonts w:ascii="Arial" w:cs="Arial" w:eastAsia="Arial" w:hAnsi="Arial"/>
          <w:b/>
          <w:bCs/>
          <w:color w:val="2E6DA4"/>
          <w:sz w:val="24"/>
          <w:szCs w:val="24"/>
        </w:rPr>
        <w:t xml:space="preserve">2.3 Outlet Gas Quality Specification – Owner's Requirements</w:t>
      </w:r>
    </w:p>
    <w:p>
      <w:pPr>
        <w:spacing w:after="120"/>
      </w:pPr>
      <w:r>
        <w:rPr>
          <w:rFonts w:ascii="Arial" w:cs="Arial" w:eastAsia="Arial" w:hAnsi="Arial"/>
          <w:sz w:val="20"/>
          <w:szCs w:val="20"/>
        </w:rPr>
        <w:t xml:space="preserve">This section defines the complete required quality of the gas delivered at the GDU Package outlet battery limit flange. It is NOT limited to the water content specification: it covers every parameter that downstream equipment (NGL cryogenic extraction unit, pipeline), regulatory bodies (EN 16726 grid injection), and operational safety require to be controlled or confirmed. This table is contractually binding.</w:t>
      </w:r>
    </w:p>
    <w:p>
      <w:pPr>
        <w:spacing w:after="120"/>
      </w:pPr>
      <w:r>
        <w:rPr>
          <w:rFonts w:ascii="Arial" w:cs="Arial" w:eastAsia="Arial" w:hAnsi="Arial"/>
          <w:sz w:val="20"/>
          <w:szCs w:val="20"/>
        </w:rPr>
        <w:t xml:space="preserve">Parameters are categorized as: (A) PRIMARY DRYING DUTY — vendor guarantees these; (B-F) PASS-THROUGH or secondary — vendor must confirm no adverse impact. See color legend at table foot.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600"/>
        <w:gridCol w:w="1100"/>
        <w:gridCol w:w="1560"/>
        <w:gridCol w:w="1900"/>
      </w:tblGrid>
      <w:tr>
        <w:tc>
          <w:tcPr>
            <w:tcW w:type="dxa" w:w="23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9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w:t>
            </w:r>
          </w:p>
        </w:tc>
        <w:tc>
          <w:tcPr>
            <w:tcW w:type="dxa" w:w="16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 Limit (Max)</w:t>
            </w:r>
          </w:p>
        </w:tc>
        <w:tc>
          <w:tcPr>
            <w:tcW w:type="dxa" w:w="11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Design Target</w:t>
            </w:r>
          </w:p>
        </w:tc>
        <w:tc>
          <w:tcPr>
            <w:tcW w:type="dxa" w:w="156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Reference Standard</w:t>
            </w:r>
          </w:p>
        </w:tc>
        <w:tc>
          <w:tcPr>
            <w:tcW w:type="dxa" w:w="19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Contractual Obligation</w:t>
            </w:r>
          </w:p>
        </w:tc>
      </w:tr>
      <w:tr>
        <w:tc>
          <w:tcPr>
            <w:tcW w:type="dxa" w:w="9360"/>
            <w:gridSpan w:val="6"/>
            <w:tcBorders>
              <w:top w:val="single" w:color="C0CDD8" w:sz="1"/>
              <w:left w:val="single" w:color="C0CDD8" w:sz="1"/>
              <w:bottom w:val="single" w:color="C0CDD8" w:sz="1"/>
              <w:right w:val="single" w:color="C0CDD8" w:sz="1"/>
            </w:tcBorders>
            <w:shd w:fill="1B3A5C" w:val="clear"/>
            <w:tcMar>
              <w:top w:type="dxa" w:w="50"/>
              <w:left w:type="dxa" w:w="120"/>
              <w:bottom w:type="dxa" w:w="50"/>
              <w:right w:type="dxa" w:w="120"/>
            </w:tcMar>
          </w:tcPr>
          <w:p>
            <w:r>
              <w:rPr>
                <w:rFonts w:ascii="Arial" w:cs="Arial" w:eastAsia="Arial" w:hAnsi="Arial"/>
                <w:b/>
                <w:bCs/>
                <w:color w:val="FFFFFF"/>
                <w:sz w:val="18"/>
                <w:szCs w:val="18"/>
              </w:rPr>
              <w:t xml:space="preserve">A. WATER – PRIMARY DRYING DUTY</w:t>
            </w:r>
          </w:p>
        </w:tc>
      </w:tr>
      <w:tr>
        <w:tc>
          <w:tcPr>
            <w:tcW w:type="dxa" w:w="23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Water Content</w:t>
            </w:r>
          </w:p>
        </w:tc>
        <w:tc>
          <w:tcPr>
            <w:tcW w:type="dxa" w:w="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lb/MMSCF</w:t>
            </w:r>
          </w:p>
        </w:tc>
        <w:tc>
          <w:tcPr>
            <w:tcW w:type="dxa" w:w="16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1.0 lb/MMSCF</w:t>
            </w:r>
          </w:p>
        </w:tc>
        <w:tc>
          <w:tcPr>
            <w:tcW w:type="dxa" w:w="11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0.5</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GPSA / GPA 2140</w:t>
            </w:r>
          </w:p>
        </w:tc>
        <w:tc>
          <w:tcPr>
            <w:tcW w:type="dxa" w:w="19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VENDOR GUARANTEE – LD trigger. Measured by calibrated online Al₂O₃ analyser 24h average.</w:t>
            </w:r>
          </w:p>
        </w:tc>
      </w:tr>
      <w:tr>
        <w:tc>
          <w:tcPr>
            <w:tcW w:type="dxa" w:w="23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Water Dewpoint at line P (70 barg)</w:t>
            </w:r>
          </w:p>
        </w:tc>
        <w:tc>
          <w:tcPr>
            <w:tcW w:type="dxa" w:w="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°C</w:t>
            </w:r>
          </w:p>
        </w:tc>
        <w:tc>
          <w:tcPr>
            <w:tcW w:type="dxa" w:w="16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-40°C (design -50°C)</w:t>
            </w:r>
          </w:p>
        </w:tc>
        <w:tc>
          <w:tcPr>
            <w:tcW w:type="dxa" w:w="11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-50°C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ISO 23874</w:t>
            </w:r>
          </w:p>
        </w:tc>
        <w:tc>
          <w:tcPr>
            <w:tcW w:type="dxa" w:w="19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VENDOR GUARANTEE – Calculated from water content measurement.</w:t>
            </w:r>
          </w:p>
        </w:tc>
      </w:tr>
      <w:tr>
        <w:tc>
          <w:tcPr>
            <w:tcW w:type="dxa" w:w="23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Water Dewpoint at lowest pipeline T (-5°C ambient)</w:t>
            </w:r>
          </w:p>
        </w:tc>
        <w:tc>
          <w:tcPr>
            <w:tcW w:type="dxa" w:w="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°C</w:t>
            </w:r>
          </w:p>
        </w:tc>
        <w:tc>
          <w:tcPr>
            <w:tcW w:type="dxa" w:w="16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-8°C (no free water in pipeline)</w:t>
            </w:r>
          </w:p>
        </w:tc>
        <w:tc>
          <w:tcPr>
            <w:tcW w:type="dxa" w:w="11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-15°C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 16726 §6.2.2</w:t>
            </w:r>
          </w:p>
        </w:tc>
        <w:tc>
          <w:tcPr>
            <w:tcW w:type="dxa" w:w="19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VENDOR GUARANTEE – must hold at all ambient conditions within design envelope.</w:t>
            </w:r>
          </w:p>
        </w:tc>
      </w:tr>
      <w:tr>
        <w:tc>
          <w:tcPr>
            <w:tcW w:type="dxa" w:w="23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Mol. sieve dust / fines at outlet</w:t>
            </w:r>
          </w:p>
        </w:tc>
        <w:tc>
          <w:tcPr>
            <w:tcW w:type="dxa" w:w="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mg/Nm³</w:t>
            </w:r>
          </w:p>
        </w:tc>
        <w:tc>
          <w:tcPr>
            <w:tcW w:type="dxa" w:w="16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0.1 mg/Nm³</w:t>
            </w:r>
          </w:p>
        </w:tc>
        <w:tc>
          <w:tcPr>
            <w:tcW w:type="dxa" w:w="11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Zero</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Downstream NGL plant spec</w:t>
            </w:r>
          </w:p>
        </w:tc>
        <w:tc>
          <w:tcPr>
            <w:tcW w:type="dxa" w:w="19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VENDOR GUARANTEE – outlet fines filter mandatory. Replacement interval in O&amp;M.</w:t>
            </w:r>
          </w:p>
        </w:tc>
      </w:tr>
      <w:tr>
        <w:tc>
          <w:tcPr>
            <w:tcW w:type="dxa" w:w="9360"/>
            <w:gridSpan w:val="6"/>
            <w:tcBorders>
              <w:top w:val="single" w:color="C0CDD8" w:sz="1"/>
              <w:left w:val="single" w:color="C0CDD8" w:sz="1"/>
              <w:bottom w:val="single" w:color="C0CDD8" w:sz="1"/>
              <w:right w:val="single" w:color="C0CDD8" w:sz="1"/>
            </w:tcBorders>
            <w:shd w:fill="1B3A5C" w:val="clear"/>
            <w:tcMar>
              <w:top w:type="dxa" w:w="50"/>
              <w:left w:type="dxa" w:w="120"/>
              <w:bottom w:type="dxa" w:w="50"/>
              <w:right w:type="dxa" w:w="120"/>
            </w:tcMar>
          </w:tcPr>
          <w:p>
            <w:r>
              <w:rPr>
                <w:rFonts w:ascii="Arial" w:cs="Arial" w:eastAsia="Arial" w:hAnsi="Arial"/>
                <w:b/>
                <w:bCs/>
                <w:color w:val="FFFFFF"/>
                <w:sz w:val="18"/>
                <w:szCs w:val="18"/>
              </w:rPr>
              <w:t xml:space="preserve">B. SULFUR COMPOUNDS – PASS-THROUGH (GDU does NOT remove sulfur)</w:t>
            </w:r>
          </w:p>
        </w:tc>
      </w:tr>
      <w:tr>
        <w:tc>
          <w:tcPr>
            <w:tcW w:type="dxa" w:w="23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H₂S</w:t>
            </w:r>
          </w:p>
        </w:tc>
        <w:tc>
          <w:tcPr>
            <w:tcW w:type="dxa" w:w="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ppm vol</w:t>
            </w:r>
          </w:p>
        </w:tc>
        <w:tc>
          <w:tcPr>
            <w:tcW w:type="dxa" w:w="16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2 ppm (inlet level – GDU does NOT remove H₂S)</w:t>
            </w:r>
          </w:p>
        </w:tc>
        <w:tc>
          <w:tcPr>
            <w:tcW w:type="dxa" w:w="11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2 ppm</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 16726 §6.3.4 (grid: ≤ 5 ppm)</w:t>
            </w:r>
          </w:p>
        </w:tc>
        <w:tc>
          <w:tcPr>
            <w:tcW w:type="dxa" w:w="19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PASS-THROUGH: vendor confirms 3A sieve does not remove H₂S at these concentrations. No upstream sweetening in Phase II scope. Grid injection not yet required.</w:t>
            </w:r>
          </w:p>
        </w:tc>
      </w:tr>
      <w:tr>
        <w:tc>
          <w:tcPr>
            <w:tcW w:type="dxa" w:w="23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Total Sulfur (all species)</w:t>
            </w:r>
          </w:p>
        </w:tc>
        <w:tc>
          <w:tcPr>
            <w:tcW w:type="dxa" w:w="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mg/Nm³</w:t>
            </w:r>
          </w:p>
        </w:tc>
        <w:tc>
          <w:tcPr>
            <w:tcW w:type="dxa" w:w="16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30 mg/Nm³</w:t>
            </w:r>
          </w:p>
        </w:tc>
        <w:tc>
          <w:tcPr>
            <w:tcW w:type="dxa" w:w="11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15</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 16726 §6.3.5</w:t>
            </w:r>
          </w:p>
        </w:tc>
        <w:tc>
          <w:tcPr>
            <w:tcW w:type="dxa" w:w="19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PASS-THROUGH: vendor to confirm no sulfur species enrichment by sieve adsorption/desorption cycle. Quantify any sulfur desorption peak during regen.</w:t>
            </w:r>
          </w:p>
        </w:tc>
      </w:tr>
      <w:tr>
        <w:tc>
          <w:tcPr>
            <w:tcW w:type="dxa" w:w="23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Mercaptans (RSH)</w:t>
            </w:r>
          </w:p>
        </w:tc>
        <w:tc>
          <w:tcPr>
            <w:tcW w:type="dxa" w:w="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mg/Nm³</w:t>
            </w:r>
          </w:p>
        </w:tc>
        <w:tc>
          <w:tcPr>
            <w:tcW w:type="dxa" w:w="16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6 mg/Nm³</w:t>
            </w:r>
          </w:p>
        </w:tc>
        <w:tc>
          <w:tcPr>
            <w:tcW w:type="dxa" w:w="11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3</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 16726 §6.3.5</w:t>
            </w:r>
          </w:p>
        </w:tc>
        <w:tc>
          <w:tcPr>
            <w:tcW w:type="dxa" w:w="19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PASS-THROUGH: inlet value assumed &lt; 6 mg/Nm³. Vendor to confirm and quantify any mercaptan adsorption/desorption effect.</w:t>
            </w:r>
          </w:p>
        </w:tc>
      </w:tr>
      <w:tr>
        <w:tc>
          <w:tcPr>
            <w:tcW w:type="dxa" w:w="9360"/>
            <w:gridSpan w:val="6"/>
            <w:tcBorders>
              <w:top w:val="single" w:color="C0CDD8" w:sz="1"/>
              <w:left w:val="single" w:color="C0CDD8" w:sz="1"/>
              <w:bottom w:val="single" w:color="C0CDD8" w:sz="1"/>
              <w:right w:val="single" w:color="C0CDD8" w:sz="1"/>
            </w:tcBorders>
            <w:shd w:fill="1B3A5C" w:val="clear"/>
            <w:tcMar>
              <w:top w:type="dxa" w:w="50"/>
              <w:left w:type="dxa" w:w="120"/>
              <w:bottom w:type="dxa" w:w="50"/>
              <w:right w:type="dxa" w:w="120"/>
            </w:tcMar>
          </w:tcPr>
          <w:p>
            <w:r>
              <w:rPr>
                <w:rFonts w:ascii="Arial" w:cs="Arial" w:eastAsia="Arial" w:hAnsi="Arial"/>
                <w:b/>
                <w:bCs/>
                <w:color w:val="FFFFFF"/>
                <w:sz w:val="18"/>
                <w:szCs w:val="18"/>
              </w:rPr>
              <w:t xml:space="preserve">C. ACID GASES &amp; INERTS – PASS-THROUGH (sieve selectivity critical)</w:t>
            </w:r>
          </w:p>
        </w:tc>
      </w:tr>
      <w:tr>
        <w:tc>
          <w:tcPr>
            <w:tcW w:type="dxa" w:w="23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CO₂ outlet content (bulk)</w:t>
            </w:r>
          </w:p>
        </w:tc>
        <w:tc>
          <w:tcPr>
            <w:tcW w:type="dxa" w:w="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mol%</w:t>
            </w:r>
          </w:p>
        </w:tc>
        <w:tc>
          <w:tcPr>
            <w:tcW w:type="dxa" w:w="16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3.5 mol% (inlet level – GDU not designed to remove CO₂)</w:t>
            </w:r>
          </w:p>
        </w:tc>
        <w:tc>
          <w:tcPr>
            <w:tcW w:type="dxa" w:w="11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3.5 mol%</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 16726 §6.3.3 (grid: ≤ 2.5 mol%) – NGL plant inlet: ≤ 4 mol%</w:t>
            </w:r>
          </w:p>
        </w:tc>
        <w:tc>
          <w:tcPr>
            <w:tcW w:type="dxa" w:w="19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PASS-THROUGH: 3A sieve minimises CO₂ co-adsorption. VENDOR MUST quantify CO₂ loss per cycle and confirm &lt; 1% of inlet CO₂ adsorbed. If grid injection needed in future, upstream CO₂ removal required (not in scope).</w:t>
            </w:r>
          </w:p>
        </w:tc>
      </w:tr>
      <w:tr>
        <w:tc>
          <w:tcPr>
            <w:tcW w:type="dxa" w:w="23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CO₂ desorption peak in regen gas (max concentration)</w:t>
            </w:r>
          </w:p>
        </w:tc>
        <w:tc>
          <w:tcPr>
            <w:tcW w:type="dxa" w:w="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mol%</w:t>
            </w:r>
          </w:p>
        </w:tc>
        <w:tc>
          <w:tcPr>
            <w:tcW w:type="dxa" w:w="16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Vendor to state expected value</w:t>
            </w:r>
          </w:p>
        </w:tc>
        <w:tc>
          <w:tcPr>
            <w:tcW w:type="dxa" w:w="11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Report value</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design</w:t>
            </w:r>
          </w:p>
        </w:tc>
        <w:tc>
          <w:tcPr>
            <w:tcW w:type="dxa" w:w="19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REPORT: state expected CO₂ concentration in regeneration gas during desorption peak. Required for flare/KO drum sizing.</w:t>
            </w:r>
          </w:p>
        </w:tc>
      </w:tr>
      <w:tr>
        <w:tc>
          <w:tcPr>
            <w:tcW w:type="dxa" w:w="23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N₂ content</w:t>
            </w:r>
          </w:p>
        </w:tc>
        <w:tc>
          <w:tcPr>
            <w:tcW w:type="dxa" w:w="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mol%</w:t>
            </w:r>
          </w:p>
        </w:tc>
        <w:tc>
          <w:tcPr>
            <w:tcW w:type="dxa" w:w="16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1.2 mol% (same as inlet)</w:t>
            </w:r>
          </w:p>
        </w:tc>
        <w:tc>
          <w:tcPr>
            <w:tcW w:type="dxa" w:w="11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1.2 mol%</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 16726 §6.3.2 (grid: ≤ 5 mol%)</w:t>
            </w:r>
          </w:p>
        </w:tc>
        <w:tc>
          <w:tcPr>
            <w:tcW w:type="dxa" w:w="19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PASS-THROUGH: 3A sieve does not adsorb N₂. No change.</w:t>
            </w:r>
          </w:p>
        </w:tc>
      </w:tr>
      <w:tr>
        <w:tc>
          <w:tcPr>
            <w:tcW w:type="dxa" w:w="23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O₂ content (must not be introduced by GDU)</w:t>
            </w:r>
          </w:p>
        </w:tc>
        <w:tc>
          <w:tcPr>
            <w:tcW w:type="dxa" w:w="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ppm vol</w:t>
            </w:r>
          </w:p>
        </w:tc>
        <w:tc>
          <w:tcPr>
            <w:tcW w:type="dxa" w:w="16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10 ppm vol</w:t>
            </w:r>
          </w:p>
        </w:tc>
        <w:tc>
          <w:tcPr>
            <w:tcW w:type="dxa" w:w="11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5 ppm</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 16726 §6.3.1; NGL catalyst protection</w:t>
            </w:r>
          </w:p>
        </w:tc>
        <w:tc>
          <w:tcPr>
            <w:tcW w:type="dxa" w:w="19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VENDOR GUARANTEE: confirm no O₂ ingress during regen cycle (nitrogen purge before air-side contact if any). GDU must not introduce O₂.</w:t>
            </w:r>
          </w:p>
        </w:tc>
      </w:tr>
      <w:tr>
        <w:tc>
          <w:tcPr>
            <w:tcW w:type="dxa" w:w="9360"/>
            <w:gridSpan w:val="6"/>
            <w:tcBorders>
              <w:top w:val="single" w:color="C0CDD8" w:sz="1"/>
              <w:left w:val="single" w:color="C0CDD8" w:sz="1"/>
              <w:bottom w:val="single" w:color="C0CDD8" w:sz="1"/>
              <w:right w:val="single" w:color="C0CDD8" w:sz="1"/>
            </w:tcBorders>
            <w:shd w:fill="1B3A5C" w:val="clear"/>
            <w:tcMar>
              <w:top w:type="dxa" w:w="50"/>
              <w:left w:type="dxa" w:w="120"/>
              <w:bottom w:type="dxa" w:w="50"/>
              <w:right w:type="dxa" w:w="120"/>
            </w:tcMar>
          </w:tcPr>
          <w:p>
            <w:r>
              <w:rPr>
                <w:rFonts w:ascii="Arial" w:cs="Arial" w:eastAsia="Arial" w:hAnsi="Arial"/>
                <w:b/>
                <w:bCs/>
                <w:color w:val="FFFFFF"/>
                <w:sz w:val="18"/>
                <w:szCs w:val="18"/>
              </w:rPr>
              <w:t xml:space="preserve">D. HYDROCARBON QUALITY – PASS-THROUGH (GDU does NOT change HC composition)</w:t>
            </w:r>
          </w:p>
        </w:tc>
      </w:tr>
      <w:tr>
        <w:tc>
          <w:tcPr>
            <w:tcW w:type="dxa" w:w="23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Hydrocarbon Dewpoint (HCDP) at 70 barg</w:t>
            </w:r>
          </w:p>
        </w:tc>
        <w:tc>
          <w:tcPr>
            <w:tcW w:type="dxa" w:w="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°C</w:t>
            </w:r>
          </w:p>
        </w:tc>
        <w:tc>
          <w:tcPr>
            <w:tcW w:type="dxa" w:w="16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-5°C (no HC condensation in pipeline)</w:t>
            </w:r>
          </w:p>
        </w:tc>
        <w:tc>
          <w:tcPr>
            <w:tcW w:type="dxa" w:w="11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-10°C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 16726 §6.2.3; NGL inlet spec</w:t>
            </w:r>
          </w:p>
        </w:tc>
        <w:tc>
          <w:tcPr>
            <w:tcW w:type="dxa" w:w="19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PASS-THROUGH: GDU does NOT change HCDP. EPC confirms inlet gas HCDP already meets spec at inlet conditions. NGL inlet scrubber (EPC scope) provides secondary protection.</w:t>
            </w:r>
          </w:p>
        </w:tc>
      </w:tr>
      <w:tr>
        <w:tc>
          <w:tcPr>
            <w:tcW w:type="dxa" w:w="23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C₃+ co-adsorption on sieve per cycle (loss)</w:t>
            </w:r>
          </w:p>
        </w:tc>
        <w:tc>
          <w:tcPr>
            <w:tcW w:type="dxa" w:w="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of inlet C₃+</w:t>
            </w:r>
          </w:p>
        </w:tc>
        <w:tc>
          <w:tcPr>
            <w:tcW w:type="dxa" w:w="16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2% of inlet C₃+</w:t>
            </w:r>
          </w:p>
        </w:tc>
        <w:tc>
          <w:tcPr>
            <w:tcW w:type="dxa" w:w="11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1%</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design calc</w:t>
            </w:r>
          </w:p>
        </w:tc>
        <w:tc>
          <w:tcPr>
            <w:tcW w:type="dxa" w:w="19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VENDOR GUARANTEE: quantify heavy HC (C₃+) co-adsorption rate in offer. Confirm completeness of C₃+ desorption during regen (no build-up leading to reduced sieve capacity over time).</w:t>
            </w:r>
          </w:p>
        </w:tc>
      </w:tr>
      <w:tr>
        <w:tc>
          <w:tcPr>
            <w:tcW w:type="dxa" w:w="23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Wobbe Index (superior)</w:t>
            </w:r>
          </w:p>
        </w:tc>
        <w:tc>
          <w:tcPr>
            <w:tcW w:type="dxa" w:w="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MJ/Nm³</w:t>
            </w:r>
          </w:p>
        </w:tc>
        <w:tc>
          <w:tcPr>
            <w:tcW w:type="dxa" w:w="16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48.0 – 56.9 MJ/Nm³</w:t>
            </w:r>
          </w:p>
        </w:tc>
        <w:tc>
          <w:tcPr>
            <w:tcW w:type="dxa" w:w="11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50–55</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 16726 §6.4.1</w:t>
            </w:r>
          </w:p>
        </w:tc>
        <w:tc>
          <w:tcPr>
            <w:tcW w:type="dxa" w:w="19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INFORMATIONAL: GDU does not change Wobbe. EPC to confirm with inlet gas composition.</w:t>
            </w:r>
          </w:p>
        </w:tc>
      </w:tr>
      <w:tr>
        <w:tc>
          <w:tcPr>
            <w:tcW w:type="dxa" w:w="9360"/>
            <w:gridSpan w:val="6"/>
            <w:tcBorders>
              <w:top w:val="single" w:color="C0CDD8" w:sz="1"/>
              <w:left w:val="single" w:color="C0CDD8" w:sz="1"/>
              <w:bottom w:val="single" w:color="C0CDD8" w:sz="1"/>
              <w:right w:val="single" w:color="C0CDD8" w:sz="1"/>
            </w:tcBorders>
            <w:shd w:fill="1B3A5C" w:val="clear"/>
            <w:tcMar>
              <w:top w:type="dxa" w:w="50"/>
              <w:left w:type="dxa" w:w="120"/>
              <w:bottom w:type="dxa" w:w="50"/>
              <w:right w:type="dxa" w:w="120"/>
            </w:tcMar>
          </w:tcPr>
          <w:p>
            <w:r>
              <w:rPr>
                <w:rFonts w:ascii="Arial" w:cs="Arial" w:eastAsia="Arial" w:hAnsi="Arial"/>
                <w:b/>
                <w:bCs/>
                <w:color w:val="FFFFFF"/>
                <w:sz w:val="18"/>
                <w:szCs w:val="18"/>
              </w:rPr>
              <w:t xml:space="preserve">E. CHEMICAL CONTAMINANTS – CRITICAL SIEVE PROTECTION &amp; DOWNSTREAM IMPACT</w:t>
            </w:r>
          </w:p>
        </w:tc>
      </w:tr>
      <w:tr>
        <w:tc>
          <w:tcPr>
            <w:tcW w:type="dxa" w:w="23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MEG (monoethylene glycol) carry-over – inlet</w:t>
            </w:r>
          </w:p>
        </w:tc>
        <w:tc>
          <w:tcPr>
            <w:tcW w:type="dxa" w:w="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ppm vol</w:t>
            </w:r>
          </w:p>
        </w:tc>
        <w:tc>
          <w:tcPr>
            <w:tcW w:type="dxa" w:w="16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10 ppm at inlet coalescer outlet (inlet to sieve beds)</w:t>
            </w:r>
          </w:p>
        </w:tc>
        <w:tc>
          <w:tcPr>
            <w:tcW w:type="dxa" w:w="11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5 ppm</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NGL plant inlet spec; sieve protection</w:t>
            </w:r>
          </w:p>
        </w:tc>
        <w:tc>
          <w:tcPr>
            <w:tcW w:type="dxa" w:w="19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VENDOR GUARANTEE: inlet coalescer must reduce MEG to &lt; 10 ppm before sieve beds. Vendor must confirm coalescer efficiency for MEG aerosol at 72 barg. MEG poisons sieve – quantify life impact if &gt; 5 ppm.</w:t>
            </w:r>
          </w:p>
        </w:tc>
      </w:tr>
      <w:tr>
        <w:tc>
          <w:tcPr>
            <w:tcW w:type="dxa" w:w="23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Methanol carry-over – outlet (if methanol injection upstream)</w:t>
            </w:r>
          </w:p>
        </w:tc>
        <w:tc>
          <w:tcPr>
            <w:tcW w:type="dxa" w:w="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ppm vol</w:t>
            </w:r>
          </w:p>
        </w:tc>
        <w:tc>
          <w:tcPr>
            <w:tcW w:type="dxa" w:w="16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1 ppm vol at outlet</w:t>
            </w:r>
          </w:p>
        </w:tc>
        <w:tc>
          <w:tcPr>
            <w:tcW w:type="dxa" w:w="11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0.5 ppm</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NGL plant licensor spec</w:t>
            </w:r>
          </w:p>
        </w:tc>
        <w:tc>
          <w:tcPr>
            <w:tcW w:type="dxa" w:w="19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VENDOR GUARANTEE: methanol adsorbed by 3A sieve; released in regen gas. Confirm steady-state methanol outlet level during normal operation at stated inlet methanol concentration.</w:t>
            </w:r>
          </w:p>
        </w:tc>
      </w:tr>
      <w:tr>
        <w:tc>
          <w:tcPr>
            <w:tcW w:type="dxa" w:w="23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Lube oil carry-over from regen gas compressor (if used)</w:t>
            </w:r>
          </w:p>
        </w:tc>
        <w:tc>
          <w:tcPr>
            <w:tcW w:type="dxa" w:w="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ppm vol</w:t>
            </w:r>
          </w:p>
        </w:tc>
        <w:tc>
          <w:tcPr>
            <w:tcW w:type="dxa" w:w="16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0.1 ppm vol (oil mist) to sieve beds</w:t>
            </w:r>
          </w:p>
        </w:tc>
        <w:tc>
          <w:tcPr>
            <w:tcW w:type="dxa" w:w="11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Zero</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Sieve protection</w:t>
            </w:r>
          </w:p>
        </w:tc>
        <w:tc>
          <w:tcPr>
            <w:tcW w:type="dxa" w:w="19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VENDOR GUARANTEE: oil-free compressor or oil coalescer on compressor discharge. Oil is a permanent sieve poison at any concentration – this is non-negotiable.</w:t>
            </w:r>
          </w:p>
        </w:tc>
      </w:tr>
      <w:tr>
        <w:tc>
          <w:tcPr>
            <w:tcW w:type="dxa" w:w="9360"/>
            <w:gridSpan w:val="6"/>
            <w:tcBorders>
              <w:top w:val="single" w:color="C0CDD8" w:sz="1"/>
              <w:left w:val="single" w:color="C0CDD8" w:sz="1"/>
              <w:bottom w:val="single" w:color="C0CDD8" w:sz="1"/>
              <w:right w:val="single" w:color="C0CDD8" w:sz="1"/>
            </w:tcBorders>
            <w:shd w:fill="1B3A5C" w:val="clear"/>
            <w:tcMar>
              <w:top w:type="dxa" w:w="50"/>
              <w:left w:type="dxa" w:w="120"/>
              <w:bottom w:type="dxa" w:w="50"/>
              <w:right w:type="dxa" w:w="120"/>
            </w:tcMar>
          </w:tcPr>
          <w:p>
            <w:r>
              <w:rPr>
                <w:rFonts w:ascii="Arial" w:cs="Arial" w:eastAsia="Arial" w:hAnsi="Arial"/>
                <w:b/>
                <w:bCs/>
                <w:color w:val="FFFFFF"/>
                <w:sz w:val="18"/>
                <w:szCs w:val="18"/>
              </w:rPr>
              <w:t xml:space="preserve">F. PHYSICAL DELIVERY CONDITIONS AT OUTLET BATTERY LIMIT FLANGE</w:t>
            </w:r>
          </w:p>
        </w:tc>
      </w:tr>
      <w:tr>
        <w:tc>
          <w:tcPr>
            <w:tcW w:type="dxa" w:w="23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Pressure at outlet BL flange (min)</w:t>
            </w:r>
          </w:p>
        </w:tc>
        <w:tc>
          <w:tcPr>
            <w:tcW w:type="dxa" w:w="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barg</w:t>
            </w:r>
          </w:p>
        </w:tc>
        <w:tc>
          <w:tcPr>
            <w:tcW w:type="dxa" w:w="16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70.5 barg at max flow (60 MMSCFD)</w:t>
            </w:r>
          </w:p>
        </w:tc>
        <w:tc>
          <w:tcPr>
            <w:tcW w:type="dxa" w:w="11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71.5</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Downstream NGL unit min. inlet P</w:t>
            </w:r>
          </w:p>
        </w:tc>
        <w:tc>
          <w:tcPr>
            <w:tcW w:type="dxa" w:w="19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VENDOR GUARANTEE: ΔP across GDU ≤ 1.5 barg at max flow. Confirm at offer stage with preliminary hydraulic calc.</w:t>
            </w:r>
          </w:p>
        </w:tc>
      </w:tr>
      <w:tr>
        <w:tc>
          <w:tcPr>
            <w:tcW w:type="dxa" w:w="23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Temperature at outlet BL flange</w:t>
            </w:r>
          </w:p>
        </w:tc>
        <w:tc>
          <w:tcPr>
            <w:tcW w:type="dxa" w:w="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°C</w:t>
            </w:r>
          </w:p>
        </w:tc>
        <w:tc>
          <w:tcPr>
            <w:tcW w:type="dxa" w:w="16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55°C</w:t>
            </w:r>
          </w:p>
        </w:tc>
        <w:tc>
          <w:tcPr>
            <w:tcW w:type="dxa" w:w="11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30–50°C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NGL plant inlet T limit</w:t>
            </w:r>
          </w:p>
        </w:tc>
        <w:tc>
          <w:tcPr>
            <w:tcW w:type="dxa" w:w="19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CONFIRMATION: dry gas not heated in main flow path. Outlet T ≈ inlet T (±2°C). Confirm no heat soak from adjacent hot regeneration piping.</w:t>
            </w:r>
          </w:p>
        </w:tc>
      </w:tr>
      <w:tr>
        <w:tc>
          <w:tcPr>
            <w:tcW w:type="dxa" w:w="23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Gas phase – no liquids at outlet</w:t>
            </w:r>
          </w:p>
        </w:tc>
        <w:tc>
          <w:tcPr>
            <w:tcW w:type="dxa" w:w="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6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100% dry gas – no liquid under any operating condition</w:t>
            </w:r>
          </w:p>
        </w:tc>
        <w:tc>
          <w:tcPr>
            <w:tcW w:type="dxa" w:w="11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100% gas</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NGL compressor protection</w:t>
            </w:r>
          </w:p>
        </w:tc>
        <w:tc>
          <w:tcPr>
            <w:tcW w:type="dxa" w:w="19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VENDOR GUARANTEE: inlet coalescer + outlet fines filter provide two layers of liquid protection. Vendor to confirm liquid carryover is physically impossible under defined operating envelope.</w:t>
            </w:r>
          </w:p>
        </w:tc>
      </w:tr>
      <w:tr>
        <w:tc>
          <w:tcPr>
            <w:tcW w:type="dxa" w:w="9360"/>
            <w:gridSpan w:val="6"/>
            <w:tcBorders>
              <w:top w:val="single" w:color="C0CDD8" w:sz="1"/>
              <w:left w:val="single" w:color="C0CDD8" w:sz="1"/>
              <w:bottom w:val="single" w:color="C0CDD8" w:sz="1"/>
              <w:right w:val="single" w:color="C0CDD8" w:sz="1"/>
            </w:tcBorders>
            <w:shd w:fill="F0F0F0" w:val="clear"/>
            <w:tcMar>
              <w:top w:type="dxa" w:w="60"/>
              <w:left w:type="dxa" w:w="120"/>
              <w:bottom w:type="dxa" w:w="60"/>
              <w:right w:type="dxa" w:w="120"/>
            </w:tcMar>
          </w:tcPr>
          <w:p>
            <w:r>
              <w:rPr>
                <w:rFonts w:ascii="Arial" w:cs="Arial" w:eastAsia="Arial" w:hAnsi="Arial"/>
                <w:b/>
                <w:bCs/>
                <w:sz w:val="16"/>
                <w:szCs w:val="16"/>
              </w:rPr>
              <w:t xml:space="preserve">LEGEND:  </w:t>
            </w:r>
            <w:r>
              <w:rPr>
                <w:rFonts w:ascii="Arial" w:cs="Arial" w:eastAsia="Arial" w:hAnsi="Arial"/>
                <w:sz w:val="16"/>
                <w:szCs w:val="16"/>
              </w:rPr>
              <w:t xml:space="preserve">GREEN = VENDOR GUARANTEE (LD-trigger or firm commitment)     </w:t>
            </w:r>
            <w:r>
              <w:rPr>
                <w:rFonts w:ascii="Arial" w:cs="Arial" w:eastAsia="Arial" w:hAnsi="Arial"/>
                <w:i/>
                <w:iCs/>
                <w:sz w:val="16"/>
                <w:szCs w:val="16"/>
              </w:rPr>
              <w:t xml:space="preserve">YELLOW = PASS-THROUGH (GDU does not change – vendor must confirm no adverse effect)     </w:t>
            </w:r>
            <w:r>
              <w:rPr>
                <w:rFonts w:ascii="Arial" w:cs="Arial" w:eastAsia="Arial" w:hAnsi="Arial"/>
                <w:b/>
                <w:bCs/>
                <w:sz w:val="16"/>
                <w:szCs w:val="16"/>
              </w:rPr>
              <w:t xml:space="preserve">All green parameters must appear in Vendor's 'Outlet Gas Quality Confirmation Sheet' submitted with the offer.</w:t>
            </w:r>
          </w:p>
        </w:tc>
      </w:tr>
    </w:tbl>
    <w:p>
      <w:pPr>
        <w:spacing w:after="160"/>
      </w:pPr>
      <w:r>
        <w:t xml:space="preserve"/>
      </w:r>
    </w:p>
    <w:p>
      <w:pPr>
        <w:pBdr>
          <w:left w:val="single" w:color="8B0000" w:sz="12" w:space="6"/>
        </w:pBdr>
        <w:spacing w:after="120"/>
        <w:ind w:left="360"/>
      </w:pPr>
      <w:r>
        <w:rPr>
          <w:rFonts w:ascii="Arial" w:cs="Arial" w:eastAsia="Arial" w:hAnsi="Arial"/>
          <w:b/>
          <w:bCs/>
          <w:color w:val="8B0000"/>
          <w:sz w:val="18"/>
          <w:szCs w:val="18"/>
        </w:rPr>
        <w:t xml:space="preserve">⚠  MANDATORY: Vendor's offer MUST include a completed 'Outlet Gas Quality Confirmation Sheet' addressing every row in the above table. Bids without this sheet will be classified as technically incomplete and may be disqualified. The sheet shall state: (1) guaranteed value, (2) basis of guarantee (design calculation reference), (3) any deviation from Owner's limit with justification.</w:t>
      </w:r>
    </w:p>
    <w:p>
      <w:pPr>
        <w:pBdr>
          <w:left w:val="single" w:color="E6A817" w:sz="12" w:space="6"/>
        </w:pBdr>
        <w:shd w:fill="FFF8E7" w:val="clear"/>
        <w:spacing w:after="120"/>
        <w:ind w:left="360"/>
      </w:pPr>
      <w:r>
        <w:rPr>
          <w:rFonts w:ascii="Arial" w:cs="Arial" w:eastAsia="Arial" w:hAnsi="Arial"/>
          <w:i/>
          <w:iCs/>
          <w:color w:val="7B4F00"/>
          <w:sz w:val="18"/>
          <w:szCs w:val="18"/>
        </w:rPr>
        <w:t xml:space="preserve">NOTE: TREATMENT SEQUENCE CONTEXT: The GDU is the ONLY gas treatment unit in Phase II scope. There is no upstream amine sweetening unit. H₂S and CO₂ remain at inlet levels (&lt; 2 ppm H₂S, 3.5 mol% CO₂) in the outlet. This is acceptable for the NGL plant inlet spec. If future grid injection is required (Phase III), an upstream CO₂ removal and sweetening unit will be added — that is OUTSIDE the scope of this document.</w:t>
      </w:r>
    </w:p>
    <w:p>
      <w:pPr>
        <w:spacing w:after="160"/>
      </w:pPr>
      <w:r>
        <w:t xml:space="preserve"/>
      </w:r>
    </w:p>
    <w:p>
      <w:pPr>
        <w:pStyle w:val="Heading2"/>
        <w:spacing w:after="120" w:before="240"/>
      </w:pPr>
      <w:r>
        <w:rPr>
          <w:rFonts w:ascii="Arial" w:cs="Arial" w:eastAsia="Arial" w:hAnsi="Arial"/>
          <w:b/>
          <w:bCs/>
          <w:color w:val="2E6DA4"/>
          <w:sz w:val="24"/>
          <w:szCs w:val="24"/>
        </w:rPr>
        <w:t xml:space="preserve">2.4 Process Guarantee Conditions</w:t>
      </w:r>
    </w:p>
    <w:p>
      <w:pPr>
        <w:spacing w:after="120"/>
      </w:pPr>
      <w:r>
        <w:rPr>
          <w:rFonts w:ascii="Arial" w:cs="Arial" w:eastAsia="Arial" w:hAnsi="Arial"/>
          <w:sz w:val="20"/>
          <w:szCs w:val="20"/>
        </w:rPr>
        <w:t xml:space="preserve">The guaranteed performance values stated in Section 5 of this document apply under the following guarantee conditions. Operation outside these envelope conditions does not relieve the Vendor of warranty obligations for equipment integrity but may suspend process performance guarantees:</w:t>
      </w:r>
    </w:p>
    <w:p>
      <w:pPr>
        <w:pStyle w:val="ListParagraph"/>
        <w:numPr>
          <w:ilvl w:val="0"/>
          <w:numId w:val="3"/>
        </w:numPr>
        <w:spacing w:after="60"/>
      </w:pPr>
      <w:r>
        <w:rPr>
          <w:rFonts w:ascii="Arial" w:cs="Arial" w:eastAsia="Arial" w:hAnsi="Arial"/>
          <w:sz w:val="20"/>
          <w:szCs w:val="20"/>
        </w:rPr>
        <w:t xml:space="preserve">Inlet gas flow: 40–60 MMSCFD (vendor responsible for maintaining outlet spec across this range)</w:t>
      </w:r>
    </w:p>
    <w:p>
      <w:pPr>
        <w:pStyle w:val="ListParagraph"/>
        <w:numPr>
          <w:ilvl w:val="0"/>
          <w:numId w:val="3"/>
        </w:numPr>
        <w:spacing w:after="60"/>
      </w:pPr>
      <w:r>
        <w:rPr>
          <w:rFonts w:ascii="Arial" w:cs="Arial" w:eastAsia="Arial" w:hAnsi="Arial"/>
          <w:sz w:val="20"/>
          <w:szCs w:val="20"/>
        </w:rPr>
        <w:t xml:space="preserve">Inlet gas pressure: 65–80 barg</w:t>
      </w:r>
    </w:p>
    <w:p>
      <w:pPr>
        <w:pStyle w:val="ListParagraph"/>
        <w:numPr>
          <w:ilvl w:val="0"/>
          <w:numId w:val="3"/>
        </w:numPr>
        <w:spacing w:after="60"/>
      </w:pPr>
      <w:r>
        <w:rPr>
          <w:rFonts w:ascii="Arial" w:cs="Arial" w:eastAsia="Arial" w:hAnsi="Arial"/>
          <w:sz w:val="20"/>
          <w:szCs w:val="20"/>
        </w:rPr>
        <w:t xml:space="preserve">Inlet gas temperature: 20–60°C (saturated with water at inlet conditions)</w:t>
      </w:r>
    </w:p>
    <w:p>
      <w:pPr>
        <w:pStyle w:val="ListParagraph"/>
        <w:numPr>
          <w:ilvl w:val="0"/>
          <w:numId w:val="3"/>
        </w:numPr>
        <w:spacing w:after="60"/>
      </w:pPr>
      <w:r>
        <w:rPr>
          <w:rFonts w:ascii="Arial" w:cs="Arial" w:eastAsia="Arial" w:hAnsi="Arial"/>
          <w:sz w:val="20"/>
          <w:szCs w:val="20"/>
        </w:rPr>
        <w:t xml:space="preserve">Inlet gas composition: as stated in process data table of RFQ (within ±15% of each component)</w:t>
      </w:r>
    </w:p>
    <w:p>
      <w:pPr>
        <w:pStyle w:val="ListParagraph"/>
        <w:numPr>
          <w:ilvl w:val="0"/>
          <w:numId w:val="3"/>
        </w:numPr>
        <w:spacing w:after="60"/>
      </w:pPr>
      <w:r>
        <w:rPr>
          <w:rFonts w:ascii="Arial" w:cs="Arial" w:eastAsia="Arial" w:hAnsi="Arial"/>
          <w:sz w:val="20"/>
          <w:szCs w:val="20"/>
        </w:rPr>
        <w:t xml:space="preserve">Utility supplies at battery limit: within specification (no performance guarantee if utilities are off-spec)</w:t>
      </w:r>
    </w:p>
    <w:p>
      <w:pPr>
        <w:pStyle w:val="ListParagraph"/>
        <w:numPr>
          <w:ilvl w:val="0"/>
          <w:numId w:val="3"/>
        </w:numPr>
        <w:spacing w:after="60"/>
      </w:pPr>
      <w:r>
        <w:rPr>
          <w:rFonts w:ascii="Arial" w:cs="Arial" w:eastAsia="Arial" w:hAnsi="Arial"/>
          <w:sz w:val="20"/>
          <w:szCs w:val="20"/>
        </w:rPr>
        <w:t xml:space="preserve">Ambient temperature: -5°C to +40°C</w:t>
      </w:r>
    </w:p>
    <w:p>
      <w:pPr>
        <w:pStyle w:val="ListParagraph"/>
        <w:numPr>
          <w:ilvl w:val="0"/>
          <w:numId w:val="3"/>
        </w:numPr>
        <w:spacing w:after="60"/>
      </w:pPr>
      <w:r>
        <w:rPr>
          <w:rFonts w:ascii="Arial" w:cs="Arial" w:eastAsia="Arial" w:hAnsi="Arial"/>
          <w:sz w:val="20"/>
          <w:szCs w:val="20"/>
        </w:rPr>
        <w:t xml:space="preserve">All equipment in good working order (no degraded sensors, no damaged internals)</w:t>
      </w:r>
    </w:p>
    <w:p>
      <w:pPr>
        <w:spacing w:after="160"/>
      </w:pPr>
      <w:r>
        <w:t xml:space="preserve"/>
      </w:r>
    </w:p>
    <w:p>
      <w:r>
        <w:br w:type="page"/>
      </w:r>
    </w:p>
    <w:p>
      <w:pPr>
        <w:pStyle w:val="Heading1"/>
        <w:pBdr>
          <w:bottom w:val="single" w:color="8B0000" w:sz="10" w:space="4"/>
        </w:pBdr>
        <w:spacing w:after="180" w:before="360"/>
      </w:pPr>
      <w:r>
        <w:rPr>
          <w:rFonts w:ascii="Arial" w:cs="Arial" w:eastAsia="Arial" w:hAnsi="Arial"/>
          <w:b/>
          <w:bCs/>
          <w:color w:val="1B3A5C"/>
          <w:sz w:val="28"/>
          <w:szCs w:val="28"/>
        </w:rPr>
        <w:t xml:space="preserve">3. BATTERY LIMITS AND INTERFACE DEFINITION</w:t>
      </w:r>
    </w:p>
    <w:p>
      <w:pPr>
        <w:pStyle w:val="Heading2"/>
        <w:spacing w:after="120" w:before="240"/>
      </w:pPr>
      <w:r>
        <w:rPr>
          <w:rFonts w:ascii="Arial" w:cs="Arial" w:eastAsia="Arial" w:hAnsi="Arial"/>
          <w:b/>
          <w:bCs/>
          <w:color w:val="2E6DA4"/>
          <w:sz w:val="24"/>
          <w:szCs w:val="24"/>
        </w:rPr>
        <w:t xml:space="preserve">3.1 Battery Limit Philosophy</w:t>
      </w:r>
    </w:p>
    <w:p>
      <w:pPr>
        <w:spacing w:after="120"/>
      </w:pPr>
      <w:r>
        <w:rPr>
          <w:rFonts w:ascii="Arial" w:cs="Arial" w:eastAsia="Arial" w:hAnsi="Arial"/>
          <w:sz w:val="20"/>
          <w:szCs w:val="20"/>
        </w:rPr>
        <w:t xml:space="preserve">The GDU Package battery limit (BL) is defined as the face of the first (outermost) process flange on each connecting pipe at the edge of the vendor's skid frame. All equipment, piping, instrumentation, wiring, and structural items within the skid frame boundary are the Vendor's scope. All items outside the skid frame boundary (except as noted below) are NES/EPC scope.</w:t>
      </w:r>
    </w:p>
    <w:p>
      <w:pPr>
        <w:pBdr>
          <w:left w:val="single" w:color="8B0000" w:sz="12" w:space="6"/>
        </w:pBdr>
        <w:spacing w:after="120"/>
        <w:ind w:left="360"/>
      </w:pPr>
      <w:r>
        <w:rPr>
          <w:rFonts w:ascii="Arial" w:cs="Arial" w:eastAsia="Arial" w:hAnsi="Arial"/>
          <w:b/>
          <w:bCs/>
          <w:color w:val="8B0000"/>
          <w:sz w:val="18"/>
          <w:szCs w:val="18"/>
        </w:rPr>
        <w:t xml:space="preserve">⚠  MANDATORY: All BL flanges shall be clearly marked on the General Arrangement drawing with arrow notation 'TO PLANT – VENDOR SCOPE ENDS HERE' or 'FROM PLANT – VENDOR SCOPE ENDS HERE'. Mismatch of flange ratings at BL is a common source of NCRs – verify all BL flange classes against NES-issued line list before fabrication.</w:t>
      </w:r>
    </w:p>
    <w:p>
      <w:pPr>
        <w:spacing w:after="160"/>
      </w:pPr>
      <w:r>
        <w:t xml:space="preserve"/>
      </w:r>
    </w:p>
    <w:p>
      <w:pPr>
        <w:pStyle w:val="Heading2"/>
        <w:spacing w:after="120" w:before="240"/>
      </w:pPr>
      <w:r>
        <w:rPr>
          <w:rFonts w:ascii="Arial" w:cs="Arial" w:eastAsia="Arial" w:hAnsi="Arial"/>
          <w:b/>
          <w:bCs/>
          <w:color w:val="2E6DA4"/>
          <w:sz w:val="24"/>
          <w:szCs w:val="24"/>
        </w:rPr>
        <w:t xml:space="preserve">3.2 Interface Register</w:t>
      </w:r>
    </w:p>
    <w:p>
      <w:pPr>
        <w:spacing w:after="120"/>
      </w:pPr>
      <w:r>
        <w:rPr>
          <w:rFonts w:ascii="Arial" w:cs="Arial" w:eastAsia="Arial" w:hAnsi="Arial"/>
          <w:sz w:val="20"/>
          <w:szCs w:val="20"/>
        </w:rPr>
        <w:t xml:space="preserve">All process, utility, electrical, and instrument interfaces between the GDU Package and the plant (NES/EPC scope) are defined in the following table. This table shall be maintained as a live document and updated at every drawing revision. Any undocumented interface requires a formal Vendor change request.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880"/>
        <w:gridCol w:w="2880"/>
        <w:gridCol w:w="1000"/>
      </w:tblGrid>
      <w:tr>
        <w:tc>
          <w:tcPr>
            <w:tcW w:type="dxa" w:w="1200"/>
            <w:gridSpan w:val="1"/>
            <w:tcBorders>
              <w:top w:val="single" w:color="C0CDD8" w:sz="1"/>
              <w:left w:val="single" w:color="C0CDD8" w:sz="1"/>
              <w:bottom w:val="single" w:color="C0CDD8" w:sz="1"/>
              <w:right w:val="single" w:color="C0CD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Interface Ref.</w:t>
            </w:r>
          </w:p>
        </w:tc>
        <w:tc>
          <w:tcPr>
            <w:tcW w:type="dxa" w:w="1400"/>
            <w:gridSpan w:val="1"/>
            <w:tcBorders>
              <w:top w:val="single" w:color="C0CDD8" w:sz="1"/>
              <w:left w:val="single" w:color="C0CDD8" w:sz="1"/>
              <w:bottom w:val="single" w:color="C0CDD8" w:sz="1"/>
              <w:right w:val="single" w:color="C0CD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Interface Type</w:t>
            </w:r>
          </w:p>
        </w:tc>
        <w:tc>
          <w:tcPr>
            <w:tcW w:type="dxa" w:w="2880"/>
            <w:gridSpan w:val="1"/>
            <w:tcBorders>
              <w:top w:val="single" w:color="C0CDD8" w:sz="1"/>
              <w:left w:val="single" w:color="C0CDD8" w:sz="1"/>
              <w:bottom w:val="single" w:color="C0CDD8" w:sz="1"/>
              <w:right w:val="single" w:color="C0CD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NES/Client Responsibility</w:t>
            </w:r>
          </w:p>
        </w:tc>
        <w:tc>
          <w:tcPr>
            <w:tcW w:type="dxa" w:w="2880"/>
            <w:gridSpan w:val="1"/>
            <w:tcBorders>
              <w:top w:val="single" w:color="C0CDD8" w:sz="1"/>
              <w:left w:val="single" w:color="C0CDD8" w:sz="1"/>
              <w:bottom w:val="single" w:color="C0CDD8" w:sz="1"/>
              <w:right w:val="single" w:color="C0CD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Vendor Responsibility</w:t>
            </w:r>
          </w:p>
        </w:tc>
        <w:tc>
          <w:tcPr>
            <w:tcW w:type="dxa" w:w="1000"/>
            <w:gridSpan w:val="1"/>
            <w:tcBorders>
              <w:top w:val="single" w:color="C0CDD8" w:sz="1"/>
              <w:left w:val="single" w:color="C0CDD8" w:sz="1"/>
              <w:bottom w:val="single" w:color="C0CDD8" w:sz="1"/>
              <w:right w:val="single" w:color="C0CD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Flange Spec.</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INT-01</w:t>
            </w:r>
          </w:p>
        </w:tc>
        <w:tc>
          <w:tcPr>
            <w:tcW w:type="dxa" w:w="1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Gas Inlet</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Provide gas at BL flange: 72 barg, 30-55°C, 50 MMSCFD normal. Pipe: 16" Class 900.</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Provide inlet flange on skid (16" 900# RF min). Inlet coalescing filter within vendor scope.</w:t>
            </w:r>
          </w:p>
        </w:tc>
        <w:tc>
          <w:tcPr>
            <w:tcW w:type="dxa" w:w="1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16" CL900 RF</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INT-02</w:t>
            </w:r>
          </w:p>
        </w:tc>
        <w:tc>
          <w:tcPr>
            <w:tcW w:type="dxa" w:w="1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Gas Outlet (Dry)</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Receive dry gas at BL flange for routing to NGL plant inlet. Pipe: 16" Class 900.</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Provide outlet flange on skid (16" CL900 RF min). Guarantee ≤1 lb/MMSCF.</w:t>
            </w:r>
          </w:p>
        </w:tc>
        <w:tc>
          <w:tcPr>
            <w:tcW w:type="dxa" w:w="1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16" CL900 RF</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INT-03</w:t>
            </w:r>
          </w:p>
        </w:tc>
        <w:tc>
          <w:tcPr>
            <w:tcW w:type="dxa" w:w="1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Regen Gas Return</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Receive regeneration gas (wet, warm) for routing to flare header or compressor suction. NES confirms pressure level.</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Provide 4" CL300 RF outlet flange at skid BL. State required return pressure.</w:t>
            </w:r>
          </w:p>
        </w:tc>
        <w:tc>
          <w:tcPr>
            <w:tcW w:type="dxa" w:w="1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4" CL300 RF</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INT-04</w:t>
            </w:r>
          </w:p>
        </w:tc>
        <w:tc>
          <w:tcPr>
            <w:tcW w:type="dxa" w:w="1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Fuel Gas Supply</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Supply fuel gas at skid BL: 60-75 barg, CH4 &gt;90%, temp ambient. Pipe: 2" CL600.</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Fuel gas inlet valve (pressure reduction, strainer, metering) within vendor scope inside skid.</w:t>
            </w:r>
          </w:p>
        </w:tc>
        <w:tc>
          <w:tcPr>
            <w:tcW w:type="dxa" w:w="1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 CL600 RF</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INT-05</w:t>
            </w:r>
          </w:p>
        </w:tc>
        <w:tc>
          <w:tcPr>
            <w:tcW w:type="dxa" w:w="1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Instrument Air</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Supply instrument air at skid BL: 7 barg, dry (-40°C DP), oil-free. Pipe: 1" CL150.</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instrument air distribution manifolds, filters, and regulators within skid in vendor scope.</w:t>
            </w:r>
          </w:p>
        </w:tc>
        <w:tc>
          <w:tcPr>
            <w:tcW w:type="dxa" w:w="1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 CL150 RF</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INT-06</w:t>
            </w:r>
          </w:p>
        </w:tc>
        <w:tc>
          <w:tcPr>
            <w:tcW w:type="dxa" w:w="1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Electrical Power (LV)</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NES provides 400V/50Hz/3-phase MCC feeding (one or two circuits, TBD) at skid BL terminal box.</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provide IP65 terminal box on skid, motor starters/VFDs if needed, internal wiring.</w:t>
            </w:r>
          </w:p>
        </w:tc>
        <w:tc>
          <w:tcPr>
            <w:tcW w:type="dxa" w:w="1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Terminal box</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INT-07</w:t>
            </w:r>
          </w:p>
        </w:tc>
        <w:tc>
          <w:tcPr>
            <w:tcW w:type="dxa" w:w="1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Electrical Power (UPS)</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NES provides 230V/50Hz/1-phase UPS supply to skid BL terminal box.</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PLC, HMI, safety relay systems to be powered from UPS feed.</w:t>
            </w:r>
          </w:p>
        </w:tc>
        <w:tc>
          <w:tcPr>
            <w:tcW w:type="dxa" w:w="1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Terminal box</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INT-08</w:t>
            </w:r>
          </w:p>
        </w:tc>
        <w:tc>
          <w:tcPr>
            <w:tcW w:type="dxa" w:w="1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DCS Interface</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NES DCS: Yokogawa CENTUM VP (to be confirmed at PO). Multicore instrument cable from JB to DCS in EPC scope.</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provide skid-mounted Junction Boxes (JBs) with terminals, tag lists, and I/O list. Agree on protocol (PROFINET / Modbus TCP).</w:t>
            </w:r>
          </w:p>
        </w:tc>
        <w:tc>
          <w:tcPr>
            <w:tcW w:type="dxa" w:w="1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Terminals</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INT-09</w:t>
            </w:r>
          </w:p>
        </w:tc>
        <w:tc>
          <w:tcPr>
            <w:tcW w:type="dxa" w:w="1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ESD Interface</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Plant ESD system: Triconex or equivalent Safety PLC (to be confirmed). ESD hardwired signals from skid to plant SIS at JB terminals.</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Provide hardwired ESD relay outputs and SIL-rated I/Os to plant ESD. SIL 1 minimum for package shutdown function.</w:t>
            </w:r>
          </w:p>
        </w:tc>
        <w:tc>
          <w:tcPr>
            <w:tcW w:type="dxa" w:w="1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Terminals</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INT-10</w:t>
            </w:r>
          </w:p>
        </w:tc>
        <w:tc>
          <w:tcPr>
            <w:tcW w:type="dxa" w:w="1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Closed Drain</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provides closed drain header 1" at skid BL.</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route all process drains (coalescer, KO drum, vessel drains) to a single drain collection point at skid BL.</w:t>
            </w:r>
          </w:p>
        </w:tc>
        <w:tc>
          <w:tcPr>
            <w:tcW w:type="dxa" w:w="1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 CL150</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INT-11</w:t>
            </w:r>
          </w:p>
        </w:tc>
        <w:tc>
          <w:tcPr>
            <w:tcW w:type="dxa" w:w="1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Flare Header</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provides flare header connection 2" CL150 at skid BL for PSV outlets and blowdown.</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PSV outlet piping to be routed to skid BL flare nozzle. Vendor to calculate PSV back-pressure.</w:t>
            </w:r>
          </w:p>
        </w:tc>
        <w:tc>
          <w:tcPr>
            <w:tcW w:type="dxa" w:w="1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 CL150</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INT-12</w:t>
            </w:r>
          </w:p>
        </w:tc>
        <w:tc>
          <w:tcPr>
            <w:tcW w:type="dxa" w:w="1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Nitrogen Supply</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provides N2 supply at BL: 8 barg, 99.9% purity. Pipe: 1" CL150.</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include N2 purge/blanket manifold within skid for commissioning and maintenance procedures.</w:t>
            </w:r>
          </w:p>
        </w:tc>
        <w:tc>
          <w:tcPr>
            <w:tcW w:type="dxa" w:w="1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 CL150</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INT-13</w:t>
            </w:r>
          </w:p>
        </w:tc>
        <w:tc>
          <w:tcPr>
            <w:tcW w:type="dxa" w:w="1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Earthing/Grounding</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provides site earth network connection point at skid base.</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provide all internal skid earthing, equipotential bonding, and connection bolts to site earth.</w:t>
            </w:r>
          </w:p>
        </w:tc>
        <w:tc>
          <w:tcPr>
            <w:tcW w:type="dxa" w:w="1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M16 earthing lug</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INT-14</w:t>
            </w:r>
          </w:p>
        </w:tc>
        <w:tc>
          <w:tcPr>
            <w:tcW w:type="dxa" w:w="1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Foundation</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designs and constructs concrete foundation based on vendor-provided loads and anchor bolt template.</w:t>
            </w:r>
          </w:p>
        </w:tc>
        <w:tc>
          <w:tcPr>
            <w:tcW w:type="dxa" w:w="28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supply: foundation load data (table), anchor bolt setting plan, base plate drawing within 10 wks of PO.</w:t>
            </w:r>
          </w:p>
        </w:tc>
        <w:tc>
          <w:tcPr>
            <w:tcW w:type="dxa" w:w="1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Design data</w:t>
            </w:r>
          </w:p>
        </w:tc>
      </w:tr>
    </w:tbl>
    <w:p>
      <w:pPr>
        <w:spacing w:after="160"/>
      </w:pPr>
      <w:r>
        <w:t xml:space="preserve"/>
      </w:r>
    </w:p>
    <w:p>
      <w:pPr>
        <w:pStyle w:val="Heading2"/>
        <w:spacing w:after="120" w:before="240"/>
      </w:pPr>
      <w:r>
        <w:rPr>
          <w:rFonts w:ascii="Arial" w:cs="Arial" w:eastAsia="Arial" w:hAnsi="Arial"/>
          <w:b/>
          <w:bCs/>
          <w:color w:val="2E6DA4"/>
          <w:sz w:val="24"/>
          <w:szCs w:val="24"/>
        </w:rPr>
        <w:t xml:space="preserve">3.3 BL Flange Specification Summary</w:t>
      </w:r>
    </w:p>
    <w:p>
      <w:pPr>
        <w:pStyle w:val="ListParagraph"/>
        <w:numPr>
          <w:ilvl w:val="0"/>
          <w:numId w:val="3"/>
        </w:numPr>
        <w:spacing w:after="60"/>
      </w:pPr>
      <w:r>
        <w:rPr>
          <w:rFonts w:ascii="Arial" w:cs="Arial" w:eastAsia="Arial" w:hAnsi="Arial"/>
          <w:sz w:val="20"/>
          <w:szCs w:val="20"/>
        </w:rPr>
        <w:t xml:space="preserve">All process gas BL flanges (INT-01, INT-02): DN400 nominal (or as sized by Vendor) – ANSI Class 900 Raised Face. Nozzle orientation: vendor to confirm on GA drawing (horizontal preferred; vertical acceptable with justification). Blind flange supplied by vendor for preservation.</w:t>
      </w:r>
    </w:p>
    <w:p>
      <w:pPr>
        <w:pStyle w:val="ListParagraph"/>
        <w:numPr>
          <w:ilvl w:val="0"/>
          <w:numId w:val="3"/>
        </w:numPr>
        <w:spacing w:after="60"/>
      </w:pPr>
      <w:r>
        <w:rPr>
          <w:rFonts w:ascii="Arial" w:cs="Arial" w:eastAsia="Arial" w:hAnsi="Arial"/>
          <w:sz w:val="20"/>
          <w:szCs w:val="20"/>
        </w:rPr>
        <w:t xml:space="preserve">All utility BL connections: as stated in interface table. Vendor to provide piping to BL with appropriate isolation valve and blind/spectacle flange for commissioning isolation.</w:t>
      </w:r>
    </w:p>
    <w:p>
      <w:pPr>
        <w:pStyle w:val="ListParagraph"/>
        <w:numPr>
          <w:ilvl w:val="0"/>
          <w:numId w:val="3"/>
        </w:numPr>
        <w:spacing w:after="60"/>
      </w:pPr>
      <w:r>
        <w:rPr>
          <w:rFonts w:ascii="Arial" w:cs="Arial" w:eastAsia="Arial" w:hAnsi="Arial"/>
          <w:sz w:val="20"/>
          <w:szCs w:val="20"/>
        </w:rPr>
        <w:t xml:space="preserve">Electrical BL: Vendor to provide skid-edge terminal boxes with sufficient terminals for all I/O signals. Terminal strip labelling per agreed I/O list. Gland plates for EPC cabling with appropriate ATEX cable glands (vendor to provide glands matched to vendor's JB entries).</w:t>
      </w:r>
    </w:p>
    <w:p>
      <w:pPr>
        <w:pStyle w:val="ListParagraph"/>
        <w:numPr>
          <w:ilvl w:val="0"/>
          <w:numId w:val="3"/>
        </w:numPr>
        <w:spacing w:after="60"/>
      </w:pPr>
      <w:r>
        <w:rPr>
          <w:rFonts w:ascii="Arial" w:cs="Arial" w:eastAsia="Arial" w:hAnsi="Arial"/>
          <w:sz w:val="20"/>
          <w:szCs w:val="20"/>
        </w:rPr>
        <w:t xml:space="preserve">DCS/ESD BL: Vendor to provide Modbus TCP or PROFINET server on PLC Ethernet switch port. NES will connect plant DCS to this port via fiber optic link (EPC scope). Vendor to document all I/O tags and memory addresses in the control database export format (.L5K for Allen-Bradley; step7/TIA for Siemens; to be agreed at KOM).</w:t>
      </w:r>
    </w:p>
    <w:p>
      <w:pPr>
        <w:spacing w:after="160"/>
      </w:pPr>
      <w:r>
        <w:t xml:space="preserve"/>
      </w:r>
    </w:p>
    <w:p>
      <w:r>
        <w:br w:type="page"/>
      </w:r>
    </w:p>
    <w:p>
      <w:pPr>
        <w:pStyle w:val="Heading1"/>
        <w:pBdr>
          <w:bottom w:val="single" w:color="8B0000" w:sz="10" w:space="4"/>
        </w:pBdr>
        <w:spacing w:after="180" w:before="360"/>
      </w:pPr>
      <w:r>
        <w:rPr>
          <w:rFonts w:ascii="Arial" w:cs="Arial" w:eastAsia="Arial" w:hAnsi="Arial"/>
          <w:b/>
          <w:bCs/>
          <w:color w:val="1B3A5C"/>
          <w:sz w:val="28"/>
          <w:szCs w:val="28"/>
        </w:rPr>
        <w:t xml:space="preserve">4. REGULATORY COMPLIANCE AND CERTIFICATION</w:t>
      </w:r>
    </w:p>
    <w:p>
      <w:pPr>
        <w:pStyle w:val="Heading2"/>
        <w:spacing w:after="120" w:before="240"/>
      </w:pPr>
      <w:r>
        <w:rPr>
          <w:rFonts w:ascii="Arial" w:cs="Arial" w:eastAsia="Arial" w:hAnsi="Arial"/>
          <w:b/>
          <w:bCs/>
          <w:color w:val="2E6DA4"/>
          <w:sz w:val="24"/>
          <w:szCs w:val="24"/>
        </w:rPr>
        <w:t xml:space="preserve">4.1 EU Regulatory Framework</w:t>
      </w:r>
    </w:p>
    <w:p>
      <w:pPr>
        <w:spacing w:after="120"/>
      </w:pPr>
      <w:r>
        <w:rPr>
          <w:rFonts w:ascii="Arial" w:cs="Arial" w:eastAsia="Arial" w:hAnsi="Arial"/>
          <w:sz w:val="20"/>
          <w:szCs w:val="20"/>
        </w:rPr>
        <w:t xml:space="preserve">The GDU Package is intended for installation and operation in Italy and must comply with all applicable EU Directives and Italian Regulations. The following are mandatory:</w:t>
      </w:r>
    </w:p>
    <w:p>
      <w:pPr>
        <w:pStyle w:val="ListParagraph"/>
        <w:numPr>
          <w:ilvl w:val="0"/>
          <w:numId w:val="3"/>
        </w:numPr>
        <w:spacing w:after="60"/>
      </w:pPr>
      <w:r>
        <w:rPr>
          <w:rFonts w:ascii="Arial" w:cs="Arial" w:eastAsia="Arial" w:hAnsi="Arial"/>
          <w:sz w:val="20"/>
          <w:szCs w:val="20"/>
        </w:rPr>
        <w:t xml:space="preserve">Pressure Equipment Directive 2014/68/EU (PED): All pressure vessels and piping assemblies meeting PED scope criteria (generally P &gt; 0.5 barg) shall be CE-marked per PED. Vendor to specify the applicable conformity assessment module (Module G for ASME-coded vessels by notified body; Module H1 preferred for consistency). A Notified Body (NoBo) acceptable to the Italian INAIL (Istituto Nazionale Assicurazione Infortuni sul Lavoro) shall be engaged by Vendor at Vendor's cost.</w:t>
      </w:r>
    </w:p>
    <w:p>
      <w:pPr>
        <w:pStyle w:val="ListParagraph"/>
        <w:numPr>
          <w:ilvl w:val="0"/>
          <w:numId w:val="3"/>
        </w:numPr>
        <w:spacing w:after="60"/>
      </w:pPr>
      <w:r>
        <w:rPr>
          <w:rFonts w:ascii="Arial" w:cs="Arial" w:eastAsia="Arial" w:hAnsi="Arial"/>
          <w:sz w:val="20"/>
          <w:szCs w:val="20"/>
        </w:rPr>
        <w:t xml:space="preserve">ATEX Equipment Directive 2014/34/EU: All equipment intended for use in explosive atmospheres (Zone 1 or Zone 2) shall carry the ATEX CE marking and II 2G certificate. Group IIB, Temperature Class T3 minimum. Certificates from approved Notified Bodies (e.g., INERIS, DEKRA, TUV SUD, CSA) required.</w:t>
      </w:r>
    </w:p>
    <w:p>
      <w:pPr>
        <w:pStyle w:val="ListParagraph"/>
        <w:numPr>
          <w:ilvl w:val="0"/>
          <w:numId w:val="3"/>
        </w:numPr>
        <w:spacing w:after="60"/>
      </w:pPr>
      <w:r>
        <w:rPr>
          <w:rFonts w:ascii="Arial" w:cs="Arial" w:eastAsia="Arial" w:hAnsi="Arial"/>
          <w:sz w:val="20"/>
          <w:szCs w:val="20"/>
        </w:rPr>
        <w:t xml:space="preserve">Machinery Directive 2006/42/EC: The GDU Package as a whole constitutes an 'assembly of machinery'. Vendor to issue EU Declaration of Conformity and compile Technical Construction File. CE marking on skid identification plate.</w:t>
      </w:r>
    </w:p>
    <w:p>
      <w:pPr>
        <w:pStyle w:val="ListParagraph"/>
        <w:numPr>
          <w:ilvl w:val="0"/>
          <w:numId w:val="3"/>
        </w:numPr>
        <w:spacing w:after="60"/>
      </w:pPr>
      <w:r>
        <w:rPr>
          <w:rFonts w:ascii="Arial" w:cs="Arial" w:eastAsia="Arial" w:hAnsi="Arial"/>
          <w:sz w:val="20"/>
          <w:szCs w:val="20"/>
        </w:rPr>
        <w:t xml:space="preserve">EMC Directive 2014/30/EU: All electronic systems (PLC, HMI, instrumentation) to be EMC-compliant. UKCA marking not required (UK not applicable), but IECEx certificates accepted alongside ATEX.</w:t>
      </w:r>
    </w:p>
    <w:p>
      <w:pPr>
        <w:pStyle w:val="ListParagraph"/>
        <w:numPr>
          <w:ilvl w:val="0"/>
          <w:numId w:val="3"/>
        </w:numPr>
        <w:spacing w:after="60"/>
      </w:pPr>
      <w:r>
        <w:rPr>
          <w:rFonts w:ascii="Arial" w:cs="Arial" w:eastAsia="Arial" w:hAnsi="Arial"/>
          <w:sz w:val="20"/>
          <w:szCs w:val="20"/>
        </w:rPr>
        <w:t xml:space="preserve">Low Voltage Directive 2014/35/EU: All electrical equipment operating at LV (50–1000V AC). CE-marked, conformity declaration required.</w:t>
      </w:r>
    </w:p>
    <w:p>
      <w:pPr>
        <w:pStyle w:val="ListParagraph"/>
        <w:numPr>
          <w:ilvl w:val="0"/>
          <w:numId w:val="3"/>
        </w:numPr>
        <w:spacing w:after="60"/>
      </w:pPr>
      <w:r>
        <w:rPr>
          <w:rFonts w:ascii="Arial" w:cs="Arial" w:eastAsia="Arial" w:hAnsi="Arial"/>
          <w:sz w:val="20"/>
          <w:szCs w:val="20"/>
        </w:rPr>
        <w:t xml:space="preserve">Electromagnetic Compatibility: Per IEC 61000 series. Vendor to confirm EMC compliance of PLC system.</w:t>
      </w:r>
    </w:p>
    <w:p>
      <w:pPr>
        <w:spacing w:after="160"/>
      </w:pPr>
      <w:r>
        <w:t xml:space="preserve"/>
      </w:r>
    </w:p>
    <w:p>
      <w:pPr>
        <w:pStyle w:val="Heading2"/>
        <w:spacing w:after="120" w:before="240"/>
      </w:pPr>
      <w:r>
        <w:rPr>
          <w:rFonts w:ascii="Arial" w:cs="Arial" w:eastAsia="Arial" w:hAnsi="Arial"/>
          <w:b/>
          <w:bCs/>
          <w:color w:val="2E6DA4"/>
          <w:sz w:val="24"/>
          <w:szCs w:val="24"/>
        </w:rPr>
        <w:t xml:space="preserve">4.2 Italian National Regulations</w:t>
      </w:r>
    </w:p>
    <w:p>
      <w:pPr>
        <w:pStyle w:val="ListParagraph"/>
        <w:numPr>
          <w:ilvl w:val="0"/>
          <w:numId w:val="3"/>
        </w:numPr>
        <w:spacing w:after="60"/>
      </w:pPr>
      <w:r>
        <w:rPr>
          <w:rFonts w:ascii="Arial" w:cs="Arial" w:eastAsia="Arial" w:hAnsi="Arial"/>
          <w:sz w:val="20"/>
          <w:szCs w:val="20"/>
        </w:rPr>
        <w:t xml:space="preserve">Italian Legislative Decree D.Lgs. 81/2008 (Health and Safety at Work): Vendor to ensure equipment does not expose operators to risks not identified in the risk assessment (RA) during normal and maintenance operations. Italian-language safety labels and O&amp;M manual sections required.</w:t>
      </w:r>
    </w:p>
    <w:p>
      <w:pPr>
        <w:pStyle w:val="ListParagraph"/>
        <w:numPr>
          <w:ilvl w:val="0"/>
          <w:numId w:val="3"/>
        </w:numPr>
        <w:spacing w:after="60"/>
      </w:pPr>
      <w:r>
        <w:rPr>
          <w:rFonts w:ascii="Arial" w:cs="Arial" w:eastAsia="Arial" w:hAnsi="Arial"/>
          <w:sz w:val="20"/>
          <w:szCs w:val="20"/>
        </w:rPr>
        <w:t xml:space="preserve">Italian Fire Code (D.M. 03/08/2015 and related TUSSL provisions): Vendor to confirm that the GDU Package, when installed at the Ravenna site, does not create additional fire prevention certification obligations beyond those addressed by the general site permit. Vendor to supply fire hazard data (inventory of flammable substances in the package at any one time).</w:t>
      </w:r>
    </w:p>
    <w:p>
      <w:pPr>
        <w:pStyle w:val="ListParagraph"/>
        <w:numPr>
          <w:ilvl w:val="0"/>
          <w:numId w:val="3"/>
        </w:numPr>
        <w:spacing w:after="60"/>
      </w:pPr>
      <w:r>
        <w:rPr>
          <w:rFonts w:ascii="Arial" w:cs="Arial" w:eastAsia="Arial" w:hAnsi="Arial"/>
          <w:sz w:val="20"/>
          <w:szCs w:val="20"/>
        </w:rPr>
        <w:t xml:space="preserve">INAIL Pressure Vessel Registration: All PED Category III and IV vessels must be registered with INAIL before commissioning. Vendor to supply all documentation required for INAIL registration (CE declaration, NoBo certificate, engineering drawings in Italian or bilingual format). This is Vendor's responsibility to prepare; NES/Owner will submit to INAIL.</w:t>
      </w:r>
    </w:p>
    <w:p>
      <w:pPr>
        <w:pStyle w:val="ListParagraph"/>
        <w:numPr>
          <w:ilvl w:val="0"/>
          <w:numId w:val="3"/>
        </w:numPr>
        <w:spacing w:after="60"/>
      </w:pPr>
      <w:r>
        <w:rPr>
          <w:rFonts w:ascii="Arial" w:cs="Arial" w:eastAsia="Arial" w:hAnsi="Arial"/>
          <w:sz w:val="20"/>
          <w:szCs w:val="20"/>
        </w:rPr>
        <w:t xml:space="preserve">CNR/UNI Standards for Seismic Design: Vendor's structural design to comply with NTC 2018 (D.M. 17/01/2018) for seismic zone 3 in Ravenna. Third-party structural verification (collaudo statico) may be required; Vendor to flag if their structural design requires a registered Italian Structural Engineer's review.</w:t>
      </w:r>
    </w:p>
    <w:p>
      <w:pPr>
        <w:spacing w:after="160"/>
      </w:pPr>
      <w:r>
        <w:t xml:space="preserve"/>
      </w:r>
    </w:p>
    <w:p>
      <w:pPr>
        <w:pStyle w:val="Heading2"/>
        <w:spacing w:after="120" w:before="240"/>
      </w:pPr>
      <w:r>
        <w:rPr>
          <w:rFonts w:ascii="Arial" w:cs="Arial" w:eastAsia="Arial" w:hAnsi="Arial"/>
          <w:b/>
          <w:bCs/>
          <w:color w:val="2E6DA4"/>
          <w:sz w:val="24"/>
          <w:szCs w:val="24"/>
        </w:rPr>
        <w:t xml:space="preserve">4.3 Other International Standards Compliance</w:t>
      </w:r>
    </w:p>
    <w:p>
      <w:pPr>
        <w:pStyle w:val="ListParagraph"/>
        <w:numPr>
          <w:ilvl w:val="0"/>
          <w:numId w:val="3"/>
        </w:numPr>
        <w:spacing w:after="60"/>
      </w:pPr>
      <w:r>
        <w:rPr>
          <w:rFonts w:ascii="Arial" w:cs="Arial" w:eastAsia="Arial" w:hAnsi="Arial"/>
          <w:sz w:val="20"/>
          <w:szCs w:val="20"/>
        </w:rPr>
        <w:t xml:space="preserve">U-Stamp Certification: If ASME Code is applied to pressure vessels, full U-stamp (ASME National Board registration) required. UV-stamp for PSVs. NR stamp for repair/alteration register.</w:t>
      </w:r>
    </w:p>
    <w:p>
      <w:pPr>
        <w:pStyle w:val="ListParagraph"/>
        <w:numPr>
          <w:ilvl w:val="0"/>
          <w:numId w:val="3"/>
        </w:numPr>
        <w:spacing w:after="60"/>
      </w:pPr>
      <w:r>
        <w:rPr>
          <w:rFonts w:ascii="Arial" w:cs="Arial" w:eastAsia="Arial" w:hAnsi="Arial"/>
          <w:sz w:val="20"/>
          <w:szCs w:val="20"/>
        </w:rPr>
        <w:t xml:space="preserve">IECEx System: Vendor may use IECEx certificates in lieu of ATEX for imported components where an EU equivalent is not available, provided the hazardous area group and temperature class are equivalent or superior.</w:t>
      </w:r>
    </w:p>
    <w:p>
      <w:pPr>
        <w:pStyle w:val="ListParagraph"/>
        <w:numPr>
          <w:ilvl w:val="0"/>
          <w:numId w:val="3"/>
        </w:numPr>
        <w:spacing w:after="60"/>
      </w:pPr>
      <w:r>
        <w:rPr>
          <w:rFonts w:ascii="Arial" w:cs="Arial" w:eastAsia="Arial" w:hAnsi="Arial"/>
          <w:sz w:val="20"/>
          <w:szCs w:val="20"/>
        </w:rPr>
        <w:t xml:space="preserve">ISO 9001:2015 QMS: Mandatory. Proof of certification from an IAF-accredited certification body required with offer.</w:t>
      </w:r>
    </w:p>
    <w:p>
      <w:pPr>
        <w:pStyle w:val="ListParagraph"/>
        <w:numPr>
          <w:ilvl w:val="0"/>
          <w:numId w:val="3"/>
        </w:numPr>
        <w:spacing w:after="60"/>
      </w:pPr>
      <w:r>
        <w:rPr>
          <w:rFonts w:ascii="Arial" w:cs="Arial" w:eastAsia="Arial" w:hAnsi="Arial"/>
          <w:sz w:val="20"/>
          <w:szCs w:val="20"/>
        </w:rPr>
        <w:t xml:space="preserve">NACE MR0175 / ISO 15156: Mandatory for all wetted parts in H₂S-containing service (although H₂S &lt; 2 ppm, sour service compliance required per Client HSE policy). All material MTRs to confirm compliance.</w:t>
      </w:r>
    </w:p>
    <w:p>
      <w:pPr>
        <w:spacing w:after="160"/>
      </w:pPr>
      <w:r>
        <w:t xml:space="preserve"/>
      </w:r>
    </w:p>
    <w:p>
      <w:r>
        <w:br w:type="page"/>
      </w:r>
    </w:p>
    <w:p>
      <w:pPr>
        <w:pStyle w:val="Heading1"/>
        <w:pBdr>
          <w:bottom w:val="single" w:color="8B0000" w:sz="10" w:space="4"/>
        </w:pBdr>
        <w:spacing w:after="180" w:before="360"/>
      </w:pPr>
      <w:r>
        <w:rPr>
          <w:rFonts w:ascii="Arial" w:cs="Arial" w:eastAsia="Arial" w:hAnsi="Arial"/>
          <w:b/>
          <w:bCs/>
          <w:color w:val="1B3A5C"/>
          <w:sz w:val="28"/>
          <w:szCs w:val="28"/>
        </w:rPr>
        <w:t xml:space="preserve">5. PERFORMANCE GUARANTEES AND ACCEPTANCE CRITERIA</w:t>
      </w:r>
    </w:p>
    <w:p>
      <w:pPr>
        <w:pStyle w:val="Heading2"/>
        <w:spacing w:after="120" w:before="240"/>
      </w:pPr>
      <w:r>
        <w:rPr>
          <w:rFonts w:ascii="Arial" w:cs="Arial" w:eastAsia="Arial" w:hAnsi="Arial"/>
          <w:b/>
          <w:bCs/>
          <w:color w:val="2E6DA4"/>
          <w:sz w:val="24"/>
          <w:szCs w:val="24"/>
        </w:rPr>
        <w:t xml:space="preserve">5.1 Overview</w:t>
      </w:r>
    </w:p>
    <w:p>
      <w:pPr>
        <w:spacing w:after="120"/>
      </w:pPr>
      <w:r>
        <w:rPr>
          <w:rFonts w:ascii="Arial" w:cs="Arial" w:eastAsia="Arial" w:hAnsi="Arial"/>
          <w:sz w:val="20"/>
          <w:szCs w:val="20"/>
        </w:rPr>
        <w:t xml:space="preserve">The following performance guarantee table is the master contractual reference for all guaranteed parameters. It supersedes and expands upon the basic outlet water content specification — covering the full outlet gas quality as defined in Section 2.3, hydraulic performance, molecular sieve performance, and regeneration efficiency. All guarantees apply at the defined guarantee conditions (Section 2.4) and shall be demonstrated during commissioning or during the optional site performance test. The 'LD Trigger?' column indicates whether non-compliance activates Performance Liquidated Damages.</w:t>
      </w:r>
    </w:p>
    <w:p>
      <w:pPr>
        <w:spacing w:after="160"/>
      </w:pPr>
      <w:r>
        <w:t xml:space="preserve"/>
      </w:r>
    </w:p>
    <w:p>
      <w:pPr>
        <w:pStyle w:val="Heading2"/>
        <w:spacing w:after="120" w:before="240"/>
      </w:pPr>
      <w:r>
        <w:rPr>
          <w:rFonts w:ascii="Arial" w:cs="Arial" w:eastAsia="Arial" w:hAnsi="Arial"/>
          <w:b/>
          <w:bCs/>
          <w:color w:val="2E6DA4"/>
          <w:sz w:val="24"/>
          <w:szCs w:val="24"/>
        </w:rPr>
        <w:t xml:space="preserve">5.2 Complete Performance Guarantee Table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2400"/>
        <w:gridCol w:w="1800"/>
      </w:tblGrid>
      <w:tr>
        <w:tc>
          <w:tcPr>
            <w:tcW w:type="dxa" w:w="28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Performance Parameter</w:t>
            </w:r>
          </w:p>
        </w:tc>
        <w:tc>
          <w:tcPr>
            <w:tcW w:type="dxa" w:w="236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Guaranteed Value</w:t>
            </w:r>
          </w:p>
        </w:tc>
        <w:tc>
          <w:tcPr>
            <w:tcW w:type="dxa" w:w="24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Measurement Method</w:t>
            </w:r>
          </w:p>
        </w:tc>
        <w:tc>
          <w:tcPr>
            <w:tcW w:type="dxa" w:w="18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LD Trigger?</w:t>
            </w:r>
          </w:p>
        </w:tc>
      </w:tr>
      <w:tr>
        <w:tc>
          <w:tcPr>
            <w:tcW w:type="dxa" w:w="9360"/>
            <w:gridSpan w:val="4"/>
            <w:tcBorders>
              <w:top w:val="single" w:color="C0CDD8" w:sz="1"/>
              <w:left w:val="single" w:color="C0CDD8" w:sz="1"/>
              <w:bottom w:val="single" w:color="C0CDD8" w:sz="1"/>
              <w:right w:val="single" w:color="C0CDD8" w:sz="1"/>
            </w:tcBorders>
            <w:shd w:fill="2E6DA4" w:val="clear"/>
            <w:tcMar>
              <w:top w:type="dxa" w:w="50"/>
              <w:left w:type="dxa" w:w="120"/>
              <w:bottom w:type="dxa" w:w="50"/>
              <w:right w:type="dxa" w:w="120"/>
            </w:tcMar>
          </w:tcPr>
          <w:p>
            <w:r>
              <w:rPr>
                <w:rFonts w:ascii="Arial" w:cs="Arial" w:eastAsia="Arial" w:hAnsi="Arial"/>
                <w:b/>
                <w:bCs/>
                <w:color w:val="FFFFFF"/>
                <w:sz w:val="18"/>
                <w:szCs w:val="18"/>
              </w:rPr>
              <w:t xml:space="preserve">PRIMARY DRYING PERFORMANCE</w:t>
            </w:r>
          </w:p>
        </w:tc>
      </w:tr>
      <w:tr>
        <w:tc>
          <w:tcPr>
            <w:tcW w:type="dxa" w:w="28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Outlet Water Content (24h average)</w:t>
            </w:r>
          </w:p>
        </w:tc>
        <w:tc>
          <w:tcPr>
            <w:tcW w:type="dxa" w:w="236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1.0 lb/MMSCF (16 mg/Nm³)</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Al₂O₃ capacitance online analyser at outlet BL flange</w:t>
            </w:r>
          </w:p>
        </w:tc>
        <w:tc>
          <w:tcPr>
            <w:tcW w:type="dxa" w:w="180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YES – primary LD trigger</w:t>
            </w:r>
          </w:p>
        </w:tc>
      </w:tr>
      <w:tr>
        <w:tc>
          <w:tcPr>
            <w:tcW w:type="dxa" w:w="28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Outlet Water Dewpoint at 70 barg</w:t>
            </w:r>
          </w:p>
        </w:tc>
        <w:tc>
          <w:tcPr>
            <w:tcW w:type="dxa" w:w="236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-40°C (design: -50°C)</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Calculated from water content via ISO 23874</w:t>
            </w:r>
          </w:p>
        </w:tc>
        <w:tc>
          <w:tcPr>
            <w:tcW w:type="dxa" w:w="180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YES</w:t>
            </w:r>
          </w:p>
        </w:tc>
      </w:tr>
      <w:tr>
        <w:tc>
          <w:tcPr>
            <w:tcW w:type="dxa" w:w="28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Outlet Water Dewpoint – no free water at -5°C ambient</w:t>
            </w:r>
          </w:p>
        </w:tc>
        <w:tc>
          <w:tcPr>
            <w:tcW w:type="dxa" w:w="236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-8°C (dewpoint at line P)</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Calculated from analyser reading at min ambient</w:t>
            </w:r>
          </w:p>
        </w:tc>
        <w:tc>
          <w:tcPr>
            <w:tcW w:type="dxa" w:w="180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YES</w:t>
            </w:r>
          </w:p>
        </w:tc>
      </w:tr>
      <w:tr>
        <w:tc>
          <w:tcPr>
            <w:tcW w:type="dxa" w:w="28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Mol. sieve dust carry-over at outlet</w:t>
            </w:r>
          </w:p>
        </w:tc>
        <w:tc>
          <w:tcPr>
            <w:tcW w:type="dxa" w:w="236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0.1 mg/Nm³</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Isokinetic sampling per ISO 9096 at outlet BL nozzle during commissioning</w:t>
            </w:r>
          </w:p>
        </w:tc>
        <w:tc>
          <w:tcPr>
            <w:tcW w:type="dxa" w:w="180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YES</w:t>
            </w:r>
          </w:p>
        </w:tc>
      </w:tr>
      <w:tr>
        <w:tc>
          <w:tcPr>
            <w:tcW w:type="dxa" w:w="28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Minimum turndown maintaining outlet spec</w:t>
            </w:r>
          </w:p>
        </w:tc>
        <w:tc>
          <w:tcPr>
            <w:tcW w:type="dxa" w:w="236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40% of design flow (20 MMSCFD)</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Reduce flow + verify outlet moisture spec maintained</w:t>
            </w:r>
          </w:p>
        </w:tc>
        <w:tc>
          <w:tcPr>
            <w:tcW w:type="dxa" w:w="180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YES</w:t>
            </w:r>
          </w:p>
        </w:tc>
      </w:tr>
      <w:tr>
        <w:tc>
          <w:tcPr>
            <w:tcW w:type="dxa" w:w="9360"/>
            <w:gridSpan w:val="4"/>
            <w:tcBorders>
              <w:top w:val="single" w:color="C0CDD8" w:sz="1"/>
              <w:left w:val="single" w:color="C0CDD8" w:sz="1"/>
              <w:bottom w:val="single" w:color="C0CDD8" w:sz="1"/>
              <w:right w:val="single" w:color="C0CDD8" w:sz="1"/>
            </w:tcBorders>
            <w:shd w:fill="2E6DA4" w:val="clear"/>
            <w:tcMar>
              <w:top w:type="dxa" w:w="50"/>
              <w:left w:type="dxa" w:w="120"/>
              <w:bottom w:type="dxa" w:w="50"/>
              <w:right w:type="dxa" w:w="120"/>
            </w:tcMar>
          </w:tcPr>
          <w:p>
            <w:r>
              <w:rPr>
                <w:rFonts w:ascii="Arial" w:cs="Arial" w:eastAsia="Arial" w:hAnsi="Arial"/>
                <w:b/>
                <w:bCs/>
                <w:color w:val="FFFFFF"/>
                <w:sz w:val="18"/>
                <w:szCs w:val="18"/>
              </w:rPr>
              <w:t xml:space="preserve">HYDRAULIC PERFORMANCE</w:t>
            </w:r>
          </w:p>
        </w:tc>
      </w:tr>
      <w:tr>
        <w:tc>
          <w:tcPr>
            <w:tcW w:type="dxa" w:w="28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Max. pressure drop at design flow (50 MMSCFD)</w:t>
            </w:r>
          </w:p>
        </w:tc>
        <w:tc>
          <w:tcPr>
            <w:tcW w:type="dxa" w:w="236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1.5 barg total (inlet to outlet BL)</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DPT across package at design flow and inlet conditions</w:t>
            </w:r>
          </w:p>
        </w:tc>
        <w:tc>
          <w:tcPr>
            <w:tcW w:type="dxa" w:w="180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YES</w:t>
            </w:r>
          </w:p>
        </w:tc>
      </w:tr>
      <w:tr>
        <w:tc>
          <w:tcPr>
            <w:tcW w:type="dxa" w:w="28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Max. pressure drop at max flow (60 MMSCFD)</w:t>
            </w:r>
          </w:p>
        </w:tc>
        <w:tc>
          <w:tcPr>
            <w:tcW w:type="dxa" w:w="236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2.0 barg total</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Site performance test (optional)</w:t>
            </w:r>
          </w:p>
        </w:tc>
        <w:tc>
          <w:tcPr>
            <w:tcW w:type="dxa" w:w="180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YES</w:t>
            </w:r>
          </w:p>
        </w:tc>
      </w:tr>
      <w:tr>
        <w:tc>
          <w:tcPr>
            <w:tcW w:type="dxa" w:w="28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Min. outlet pressure at max flow</w:t>
            </w:r>
          </w:p>
        </w:tc>
        <w:tc>
          <w:tcPr>
            <w:tcW w:type="dxa" w:w="236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70.5 barg</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PT at outlet BL</w:t>
            </w:r>
          </w:p>
        </w:tc>
        <w:tc>
          <w:tcPr>
            <w:tcW w:type="dxa" w:w="180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YES – downstream NGL unit protection</w:t>
            </w:r>
          </w:p>
        </w:tc>
      </w:tr>
      <w:tr>
        <w:tc>
          <w:tcPr>
            <w:tcW w:type="dxa" w:w="28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Outlet gas temperature</w:t>
            </w:r>
          </w:p>
        </w:tc>
        <w:tc>
          <w:tcPr>
            <w:tcW w:type="dxa" w:w="236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55°C</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TT at outlet BL flange</w:t>
            </w:r>
          </w:p>
        </w:tc>
        <w:tc>
          <w:tcPr>
            <w:tcW w:type="dxa" w:w="180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YES</w:t>
            </w:r>
          </w:p>
        </w:tc>
      </w:tr>
      <w:tr>
        <w:tc>
          <w:tcPr>
            <w:tcW w:type="dxa" w:w="9360"/>
            <w:gridSpan w:val="4"/>
            <w:tcBorders>
              <w:top w:val="single" w:color="C0CDD8" w:sz="1"/>
              <w:left w:val="single" w:color="C0CDD8" w:sz="1"/>
              <w:bottom w:val="single" w:color="C0CDD8" w:sz="1"/>
              <w:right w:val="single" w:color="C0CDD8" w:sz="1"/>
            </w:tcBorders>
            <w:shd w:fill="2E6DA4" w:val="clear"/>
            <w:tcMar>
              <w:top w:type="dxa" w:w="50"/>
              <w:left w:type="dxa" w:w="120"/>
              <w:bottom w:type="dxa" w:w="50"/>
              <w:right w:type="dxa" w:w="120"/>
            </w:tcMar>
          </w:tcPr>
          <w:p>
            <w:r>
              <w:rPr>
                <w:rFonts w:ascii="Arial" w:cs="Arial" w:eastAsia="Arial" w:hAnsi="Arial"/>
                <w:b/>
                <w:bCs/>
                <w:color w:val="FFFFFF"/>
                <w:sz w:val="18"/>
                <w:szCs w:val="18"/>
              </w:rPr>
              <w:t xml:space="preserve">MOLECULAR SIEVE PERFORMANCE</w:t>
            </w:r>
          </w:p>
        </w:tc>
      </w:tr>
      <w:tr>
        <w:tc>
          <w:tcPr>
            <w:tcW w:type="dxa" w:w="28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Minimum sieve life before first replacement</w:t>
            </w:r>
          </w:p>
        </w:tc>
        <w:tc>
          <w:tcPr>
            <w:tcW w:type="dxa" w:w="236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3 years under design conditions</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Breakthrough monitoring via DPT + moisture analyser. Sieve sample ports provided.</w:t>
            </w:r>
          </w:p>
        </w:tc>
        <w:tc>
          <w:tcPr>
            <w:tcW w:type="dxa" w:w="180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YES – vendor replaces sieve at own cost if &lt; 3 years</w:t>
            </w:r>
          </w:p>
        </w:tc>
      </w:tr>
      <w:tr>
        <w:tc>
          <w:tcPr>
            <w:tcW w:type="dxa" w:w="28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CO₂ co-adsorption loss per cycle</w:t>
            </w:r>
          </w:p>
        </w:tc>
        <w:tc>
          <w:tcPr>
            <w:tcW w:type="dxa" w:w="236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1% of inlet CO₂ (&lt; 0.035 mol% absolute)</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Vendor's design calculation submitted at offer. Validated against site analyser data post-commissioning.</w:t>
            </w:r>
          </w:p>
        </w:tc>
        <w:tc>
          <w:tcPr>
            <w:tcW w:type="dxa" w:w="180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YES – if exceeded, sieve type must be changed at vendor cost</w:t>
            </w:r>
          </w:p>
        </w:tc>
      </w:tr>
      <w:tr>
        <w:tc>
          <w:tcPr>
            <w:tcW w:type="dxa" w:w="28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C₃+ heavy HC co-adsorption per cycle</w:t>
            </w:r>
          </w:p>
        </w:tc>
        <w:tc>
          <w:tcPr>
            <w:tcW w:type="dxa" w:w="236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2% of inlet C₃+ content</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Vendor's design calculation. Validated by C₃+ balance at site.</w:t>
            </w:r>
          </w:p>
        </w:tc>
        <w:tc>
          <w:tcPr>
            <w:tcW w:type="dxa" w:w="180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YES – if exceeded, impacts sieve life and downstream NGL yield</w:t>
            </w:r>
          </w:p>
        </w:tc>
      </w:tr>
      <w:tr>
        <w:tc>
          <w:tcPr>
            <w:tcW w:type="dxa" w:w="28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Outlet switchover quality (max exceedance duration)</w:t>
            </w:r>
          </w:p>
        </w:tc>
        <w:tc>
          <w:tcPr>
            <w:tcW w:type="dxa" w:w="236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Outlet spec must be met at all times. Max tolerated exceedance at vessel switchover: 30 min / event</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Continuous online moisture analyser trend; logged in PLC historian</w:t>
            </w:r>
          </w:p>
        </w:tc>
        <w:tc>
          <w:tcPr>
            <w:tcW w:type="dxa" w:w="180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YES – if switchover spike &gt; 30 min, LD trigger per event</w:t>
            </w:r>
          </w:p>
        </w:tc>
      </w:tr>
      <w:tr>
        <w:tc>
          <w:tcPr>
            <w:tcW w:type="dxa" w:w="9360"/>
            <w:gridSpan w:val="4"/>
            <w:tcBorders>
              <w:top w:val="single" w:color="C0CDD8" w:sz="1"/>
              <w:left w:val="single" w:color="C0CDD8" w:sz="1"/>
              <w:bottom w:val="single" w:color="C0CDD8" w:sz="1"/>
              <w:right w:val="single" w:color="C0CDD8" w:sz="1"/>
            </w:tcBorders>
            <w:shd w:fill="2E6DA4" w:val="clear"/>
            <w:tcMar>
              <w:top w:type="dxa" w:w="50"/>
              <w:left w:type="dxa" w:w="120"/>
              <w:bottom w:type="dxa" w:w="50"/>
              <w:right w:type="dxa" w:w="120"/>
            </w:tcMar>
          </w:tcPr>
          <w:p>
            <w:r>
              <w:rPr>
                <w:rFonts w:ascii="Arial" w:cs="Arial" w:eastAsia="Arial" w:hAnsi="Arial"/>
                <w:b/>
                <w:bCs/>
                <w:color w:val="FFFFFF"/>
                <w:sz w:val="18"/>
                <w:szCs w:val="18"/>
              </w:rPr>
              <w:t xml:space="preserve">REGENERATION AND UTILITIES</w:t>
            </w:r>
          </w:p>
        </w:tc>
      </w:tr>
      <w:tr>
        <w:tc>
          <w:tcPr>
            <w:tcW w:type="dxa" w:w="28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Regeneration gas consumption (% of treated gas)</w:t>
            </w:r>
          </w:p>
        </w:tc>
        <w:tc>
          <w:tcPr>
            <w:tcW w:type="dxa" w:w="236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3% of inlet gas flow (time-averaged over full cycle)</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Flow measurement on regen gas line; averaged over full adsorption + regen cycle</w:t>
            </w:r>
          </w:p>
        </w:tc>
        <w:tc>
          <w:tcPr>
            <w:tcW w:type="dxa" w:w="180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YES</w:t>
            </w:r>
          </w:p>
        </w:tc>
      </w:tr>
      <w:tr>
        <w:tc>
          <w:tcPr>
            <w:tcW w:type="dxa" w:w="28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Regen gas return temperature (at KO drum inlet)</w:t>
            </w:r>
          </w:p>
        </w:tc>
        <w:tc>
          <w:tcPr>
            <w:tcW w:type="dxa" w:w="236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40°C</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TT at regen cooler outlet</w:t>
            </w:r>
          </w:p>
        </w:tc>
        <w:tc>
          <w:tcPr>
            <w:tcW w:type="dxa" w:w="180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YES – KO drum and downstream equipment design basis</w:t>
            </w:r>
          </w:p>
        </w:tc>
      </w:tr>
      <w:tr>
        <w:tc>
          <w:tcPr>
            <w:tcW w:type="dxa" w:w="28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Electrical power consumption (auxiliary equipment)</w:t>
            </w:r>
          </w:p>
        </w:tc>
        <w:tc>
          <w:tcPr>
            <w:tcW w:type="dxa" w:w="236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stated value in offer ± 5% at design conditions</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Power analyser on main LV feed at design conditions</w:t>
            </w:r>
          </w:p>
        </w:tc>
        <w:tc>
          <w:tcPr>
            <w:tcW w:type="dxa" w:w="18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 – informational</w:t>
            </w:r>
          </w:p>
        </w:tc>
      </w:tr>
      <w:tr>
        <w:tc>
          <w:tcPr>
            <w:tcW w:type="dxa" w:w="28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Fuel gas consumption of regen heater</w:t>
            </w:r>
          </w:p>
        </w:tc>
        <w:tc>
          <w:tcPr>
            <w:tcW w:type="dxa" w:w="236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stated value in offer ± 5% at design regen duty</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Flow meter on fuel gas supply to heater during regen cycle</w:t>
            </w:r>
          </w:p>
        </w:tc>
        <w:tc>
          <w:tcPr>
            <w:tcW w:type="dxa" w:w="18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 – informational; OPEX basis</w:t>
            </w:r>
          </w:p>
        </w:tc>
      </w:tr>
      <w:tr>
        <w:tc>
          <w:tcPr>
            <w:tcW w:type="dxa" w:w="9360"/>
            <w:gridSpan w:val="4"/>
            <w:tcBorders>
              <w:top w:val="single" w:color="C0CDD8" w:sz="1"/>
              <w:left w:val="single" w:color="C0CDD8" w:sz="1"/>
              <w:bottom w:val="single" w:color="C0CDD8" w:sz="1"/>
              <w:right w:val="single" w:color="C0CDD8" w:sz="1"/>
            </w:tcBorders>
            <w:shd w:fill="2E6DA4" w:val="clear"/>
            <w:tcMar>
              <w:top w:type="dxa" w:w="50"/>
              <w:left w:type="dxa" w:w="120"/>
              <w:bottom w:type="dxa" w:w="50"/>
              <w:right w:type="dxa" w:w="120"/>
            </w:tcMar>
          </w:tcPr>
          <w:p>
            <w:r>
              <w:rPr>
                <w:rFonts w:ascii="Arial" w:cs="Arial" w:eastAsia="Arial" w:hAnsi="Arial"/>
                <w:b/>
                <w:bCs/>
                <w:color w:val="FFFFFF"/>
                <w:sz w:val="18"/>
                <w:szCs w:val="18"/>
              </w:rPr>
              <w:t xml:space="preserve">SAFETY AND ENVIRONMENTAL</w:t>
            </w:r>
          </w:p>
        </w:tc>
      </w:tr>
      <w:tr>
        <w:tc>
          <w:tcPr>
            <w:tcW w:type="dxa" w:w="28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O₂ introduced into process gas by GDU</w:t>
            </w:r>
          </w:p>
        </w:tc>
        <w:tc>
          <w:tcPr>
            <w:tcW w:type="dxa" w:w="236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10 ppm (GDU must not introduce O₂)</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O₂ analyser at outlet (if required by NGL plant licensor); vendor to confirm via design review</w:t>
            </w:r>
          </w:p>
        </w:tc>
        <w:tc>
          <w:tcPr>
            <w:tcW w:type="dxa" w:w="180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YES – NGL catalyst protection</w:t>
            </w:r>
          </w:p>
        </w:tc>
      </w:tr>
      <w:tr>
        <w:tc>
          <w:tcPr>
            <w:tcW w:type="dxa" w:w="28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Noise level at 1 m from any equipment surface</w:t>
            </w:r>
          </w:p>
        </w:tc>
        <w:tc>
          <w:tcPr>
            <w:tcW w:type="dxa" w:w="236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85 dB(A)</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Sound level meter during commissioning at normal operation</w:t>
            </w:r>
          </w:p>
        </w:tc>
        <w:tc>
          <w:tcPr>
            <w:tcW w:type="dxa" w:w="180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YES – regulatory compliance</w:t>
            </w:r>
          </w:p>
        </w:tc>
      </w:tr>
      <w:tr>
        <w:tc>
          <w:tcPr>
            <w:tcW w:type="dxa" w:w="28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Plant availability (design basis)</w:t>
            </w:r>
          </w:p>
        </w:tc>
        <w:tc>
          <w:tcPr>
            <w:tcW w:type="dxa" w:w="236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98.5% annual online time (maintenance schedule support)</w:t>
            </w:r>
          </w:p>
        </w:tc>
        <w:tc>
          <w:tcPr>
            <w:tcW w:type="dxa" w:w="2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Maintenance interval and duration in O&amp;M manual; reviewed at 12-month post-commissioning audit</w:t>
            </w:r>
          </w:p>
        </w:tc>
        <w:tc>
          <w:tcPr>
            <w:tcW w:type="dxa" w:w="18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 – design target (not an LD trigger; subject to correct operation and maintenance)</w:t>
            </w:r>
          </w:p>
        </w:tc>
      </w:tr>
    </w:tbl>
    <w:p>
      <w:pPr>
        <w:spacing w:after="160"/>
      </w:pPr>
      <w:r>
        <w:t xml:space="preserve"/>
      </w:r>
    </w:p>
    <w:p>
      <w:pPr>
        <w:pStyle w:val="Heading2"/>
        <w:spacing w:after="120" w:before="240"/>
      </w:pPr>
      <w:r>
        <w:rPr>
          <w:rFonts w:ascii="Arial" w:cs="Arial" w:eastAsia="Arial" w:hAnsi="Arial"/>
          <w:b/>
          <w:bCs/>
          <w:color w:val="2E6DA4"/>
          <w:sz w:val="24"/>
          <w:szCs w:val="24"/>
        </w:rPr>
        <w:t xml:space="preserve">5.3 Performance Liquidated Damages (PLDs)</w:t>
      </w:r>
    </w:p>
    <w:p>
      <w:pPr>
        <w:spacing w:after="120"/>
      </w:pPr>
      <w:r>
        <w:rPr>
          <w:rFonts w:ascii="Arial" w:cs="Arial" w:eastAsia="Arial" w:hAnsi="Arial"/>
          <w:sz w:val="20"/>
          <w:szCs w:val="20"/>
        </w:rPr>
        <w:t xml:space="preserve">If the GDU Package fails to meet any LD-trigger performance parameter after three (3) attempts at remediation within the warranty period, Performance Liquidated Damages shall apply as follows:</w:t>
      </w:r>
    </w:p>
    <w:p>
      <w:pPr>
        <w:pStyle w:val="ListParagraph"/>
        <w:numPr>
          <w:ilvl w:val="0"/>
          <w:numId w:val="3"/>
        </w:numPr>
        <w:spacing w:after="60"/>
      </w:pPr>
      <w:r>
        <w:rPr>
          <w:rFonts w:ascii="Arial" w:cs="Arial" w:eastAsia="Arial" w:hAnsi="Arial"/>
          <w:sz w:val="20"/>
          <w:szCs w:val="20"/>
        </w:rPr>
        <w:t xml:space="preserve">Outlet Water Content Exceedance: For every 0.1 lb/MMSCF above the guaranteed value (measured as 72-hour average), PLD rate = 0.5% of contract value per week of non-compliance, capped at 10% of contract value.</w:t>
      </w:r>
    </w:p>
    <w:p>
      <w:pPr>
        <w:pStyle w:val="ListParagraph"/>
        <w:numPr>
          <w:ilvl w:val="0"/>
          <w:numId w:val="3"/>
        </w:numPr>
        <w:spacing w:after="60"/>
      </w:pPr>
      <w:r>
        <w:rPr>
          <w:rFonts w:ascii="Arial" w:cs="Arial" w:eastAsia="Arial" w:hAnsi="Arial"/>
          <w:sz w:val="20"/>
          <w:szCs w:val="20"/>
        </w:rPr>
        <w:t xml:space="preserve">Outlet Water Dewpoint Exceedance: Same rate as water content. Both parameters are simultaneously measured; the more onerous reading governs.</w:t>
      </w:r>
    </w:p>
    <w:p>
      <w:pPr>
        <w:pStyle w:val="ListParagraph"/>
        <w:numPr>
          <w:ilvl w:val="0"/>
          <w:numId w:val="3"/>
        </w:numPr>
        <w:spacing w:after="60"/>
      </w:pPr>
      <w:r>
        <w:rPr>
          <w:rFonts w:ascii="Arial" w:cs="Arial" w:eastAsia="Arial" w:hAnsi="Arial"/>
          <w:sz w:val="20"/>
          <w:szCs w:val="20"/>
        </w:rPr>
        <w:t xml:space="preserve">Pressure Drop Exceedance at Design Flow: For every 0.1 barg above guaranteed maximum at design flow, PLD rate = 0.2% of contract value per week, capped at 5% of contract value.</w:t>
      </w:r>
    </w:p>
    <w:p>
      <w:pPr>
        <w:pStyle w:val="ListParagraph"/>
        <w:numPr>
          <w:ilvl w:val="0"/>
          <w:numId w:val="3"/>
        </w:numPr>
        <w:spacing w:after="60"/>
      </w:pPr>
      <w:r>
        <w:rPr>
          <w:rFonts w:ascii="Arial" w:cs="Arial" w:eastAsia="Arial" w:hAnsi="Arial"/>
          <w:sz w:val="20"/>
          <w:szCs w:val="20"/>
        </w:rPr>
        <w:t xml:space="preserve">Switchover Quality Exceedance (&gt; 30 min above spec): PLD of 0.1% of contract value per event, capped at 3% total.</w:t>
      </w:r>
    </w:p>
    <w:p>
      <w:pPr>
        <w:pStyle w:val="ListParagraph"/>
        <w:numPr>
          <w:ilvl w:val="0"/>
          <w:numId w:val="3"/>
        </w:numPr>
        <w:spacing w:after="60"/>
      </w:pPr>
      <w:r>
        <w:rPr>
          <w:rFonts w:ascii="Arial" w:cs="Arial" w:eastAsia="Arial" w:hAnsi="Arial"/>
          <w:sz w:val="20"/>
          <w:szCs w:val="20"/>
        </w:rPr>
        <w:t xml:space="preserve">CO₂ Co-adsorption Exceedance: If measured CO₂ loss &gt; 1% of inlet CO₂ continuously, Vendor must change sieve type at Vendor's cost within 6 months or pay 0.3% per week, capped at 5%.</w:t>
      </w:r>
    </w:p>
    <w:p>
      <w:pPr>
        <w:pStyle w:val="ListParagraph"/>
        <w:numPr>
          <w:ilvl w:val="0"/>
          <w:numId w:val="3"/>
        </w:numPr>
        <w:spacing w:after="60"/>
      </w:pPr>
      <w:r>
        <w:rPr>
          <w:rFonts w:ascii="Arial" w:cs="Arial" w:eastAsia="Arial" w:hAnsi="Arial"/>
          <w:sz w:val="20"/>
          <w:szCs w:val="20"/>
        </w:rPr>
        <w:t xml:space="preserve">Mol. sieve dust carry-over exceedance: If fines exceed 0.1 mg/Nm³ after first year, Vendor to replace outlet filter and inspect bed screens at own cost.</w:t>
      </w:r>
    </w:p>
    <w:p>
      <w:pPr>
        <w:pStyle w:val="ListParagraph"/>
        <w:numPr>
          <w:ilvl w:val="0"/>
          <w:numId w:val="3"/>
        </w:numPr>
        <w:spacing w:after="60"/>
      </w:pPr>
      <w:r>
        <w:rPr>
          <w:rFonts w:ascii="Arial" w:cs="Arial" w:eastAsia="Arial" w:hAnsi="Arial"/>
          <w:sz w:val="20"/>
          <w:szCs w:val="20"/>
        </w:rPr>
        <w:t xml:space="preserve">Molecular Sieve Life below guarantee (&lt; 3 years): Vendor to supply and install replacement sieve at Vendor's cost, within 3 months of breakthrough confirmation.</w:t>
      </w:r>
    </w:p>
    <w:p>
      <w:pPr>
        <w:pStyle w:val="ListParagraph"/>
        <w:numPr>
          <w:ilvl w:val="0"/>
          <w:numId w:val="3"/>
        </w:numPr>
        <w:spacing w:after="60"/>
      </w:pPr>
      <w:r>
        <w:rPr>
          <w:rFonts w:ascii="Arial" w:cs="Arial" w:eastAsia="Arial" w:hAnsi="Arial"/>
          <w:sz w:val="20"/>
          <w:szCs w:val="20"/>
        </w:rPr>
        <w:t xml:space="preserve">O₂ introduced by GDU (&gt; 10 ppm): Immediate shutdown until resolved. PLD of 1.0% per week, uncapped, until resolved. This is a critical safety and catalyst protection issue.</w:t>
      </w:r>
    </w:p>
    <w:p>
      <w:pPr>
        <w:pStyle w:val="ListParagraph"/>
        <w:numPr>
          <w:ilvl w:val="0"/>
          <w:numId w:val="3"/>
        </w:numPr>
        <w:spacing w:after="60"/>
      </w:pPr>
      <w:r>
        <w:rPr>
          <w:rFonts w:ascii="Arial" w:cs="Arial" w:eastAsia="Arial" w:hAnsi="Arial"/>
          <w:sz w:val="20"/>
          <w:szCs w:val="20"/>
        </w:rPr>
        <w:t xml:space="preserve">Total Performance LDs are capped at 15% of contract value (all categories combined). Exceedance of this cap constitutes material breach, entitling Owner to terminate and seek full damages.</w:t>
      </w:r>
    </w:p>
    <w:p>
      <w:pPr>
        <w:spacing w:after="160"/>
      </w:pPr>
      <w:r>
        <w:t xml:space="preserve"/>
      </w:r>
    </w:p>
    <w:p>
      <w:r>
        <w:br w:type="page"/>
      </w:r>
    </w:p>
    <w:p>
      <w:pPr>
        <w:pStyle w:val="Heading1"/>
        <w:pBdr>
          <w:bottom w:val="single" w:color="8B0000" w:sz="10" w:space="4"/>
        </w:pBdr>
        <w:spacing w:after="180" w:before="360"/>
      </w:pPr>
      <w:r>
        <w:rPr>
          <w:rFonts w:ascii="Arial" w:cs="Arial" w:eastAsia="Arial" w:hAnsi="Arial"/>
          <w:b/>
          <w:bCs/>
          <w:color w:val="1B3A5C"/>
          <w:sz w:val="28"/>
          <w:szCs w:val="28"/>
        </w:rPr>
        <w:t xml:space="preserve">6. HEALTH, SAFETY, AND ENVIRONMENTAL REQUIREMENTS</w:t>
      </w:r>
    </w:p>
    <w:p>
      <w:pPr>
        <w:pStyle w:val="Heading2"/>
        <w:spacing w:after="120" w:before="240"/>
      </w:pPr>
      <w:r>
        <w:rPr>
          <w:rFonts w:ascii="Arial" w:cs="Arial" w:eastAsia="Arial" w:hAnsi="Arial"/>
          <w:b/>
          <w:bCs/>
          <w:color w:val="2E6DA4"/>
          <w:sz w:val="24"/>
          <w:szCs w:val="24"/>
        </w:rPr>
        <w:t xml:space="preserve">6.1 HSE Requirements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HSE Area</w:t>
            </w:r>
          </w:p>
        </w:tc>
        <w:tc>
          <w:tcPr>
            <w:tcW w:type="dxa" w:w="636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HAZOP / LOPA</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shall formally respond to all HAZOP actions raised during project HAZOP study (to be conducted during FEED phase by NES). Vendor's Process Lead to attend HAZOP as required (estimated 3 days attendance). LOPA/SIL assessment output to be incorporated in design.</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Emergency Shutdown (ESD) Philosophy</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dangerous high-pressure deviations, fire inputs, and operator-initiated emergency stops shall result in a safe, defined fail-safe state: all inlet/outlet switching valves close; regeneration heater fuel gas valve shuts; all motor-operated valves fail to closed (gas-tight). ESD to be independently de-energized from normal process shutdown.</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Process Safety Management (PSM)</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Design shall comply with EU Seveso III Directive (Directive 2012/18/EU) if facility falls under lower or upper tier. Vendor to confirm whether package quantities of hazardous substances trigger Seveso III obligations in Italy.</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Overpressure Protection</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pressure vessels and piping systems protected per API 520/521. PSV calculations to be provided. No vessel shall exceed MAWP under any credible scenario. Blocked outlet and fire case scenarios to be evaluated.</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Fire Case PSV Sizing</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adsorber vessels and heater to have fire case PSV sized per API 520 Annex C. Fire case assumes jet fire impingement on liquid filled vessel (unlikely but conservative for adsorber with sieve pore water at regeneration start).</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Toxic Gas Handling (H₂S)</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Although H₂S ≤ 2 ppm, design shall comply with NACE MR0175 for all wetted parts as a minimum. No H₂S detector in vendor scope, but vendor to provide nozzles for client-supplied H₂S detectors if requested.</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Access and Egress</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Skid design shall provide safe access to all maintenance items: vessel manholes, instrument connections, safety valves. Minimum 750 mm clear walkway on all sides. All elevated work platforms (&gt; 500 mm) to have 3-rail handrails and kick plates per EN ISO 14122-3.</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Hot Surface Warning</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surfaces at temperature &gt; 60°C to be insulated or guarded with mesh cages + yellow warning labels per EN ISO 11684.</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Electrical Safety</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Equipotential bonding bar throughout skid. Lightning protection per EN 62305. Minimum IP65 for all electrical enclosures in Zone 2; Ex e / Ex d for Zone 1 per ATEX. No exposed mains terminals without IP2X minimum cover.</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Chemical Handling (Molecular Sieve)</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supply SDS (Safety Data Sheet) for molecular sieve material. Sieve dust is classified as a nuisance dust (OEL: 10 mg/m³ inhalable). All vessel openings during loading/unloading to have dust containment.</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Waste / Spent Sieve Disposal</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Spent molecular sieve to be treated as hazardous waste containing hydrocarbons/H₂S after service. Vendor to specify handling, packaging, and disposal guidance per local and EU hazardous waste regulations (Directive 2008/98/EC).</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Environmental Emissions</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Regeneration gas vent: must be routed to flare or controlled vent. No uncontrolled atmospheric venting of process gas. Vendor to quantify estimated BTEX emissions from regeneration gas during normal operation.</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Noise Compliance</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EU Directive 2003/10/EC (Noise at Work). Maximum 85 dB(A) at 1 m from equipment. Maximum 80 dB(A) from regeneration heater burner. Vendor to provide noise datasheet at offer stage (estimated values; final guaranteed values at AFC).</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Confined Space Entry</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Adsorber vessel manholes shall be designed for safe confined space entry per EN 13798. Minimum manway DN500 (600 mm preferred). Lockout/tagout (LOTO) provisions: double block and bleed (DBB) isolation on all vessel inlet/outlet connections.</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Construction Phase Safety</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submit fabrication shop HSE Plan within 6 weeks of PO. Shop incidents to be reported to NES within 24 hours of occurrence.</w:t>
            </w:r>
          </w:p>
        </w:tc>
      </w:tr>
    </w:tbl>
    <w:p>
      <w:pPr>
        <w:spacing w:after="160"/>
      </w:pPr>
      <w:r>
        <w:t xml:space="preserve"/>
      </w:r>
    </w:p>
    <w:p>
      <w:pPr>
        <w:pStyle w:val="Heading2"/>
        <w:spacing w:after="120" w:before="240"/>
      </w:pPr>
      <w:r>
        <w:rPr>
          <w:rFonts w:ascii="Arial" w:cs="Arial" w:eastAsia="Arial" w:hAnsi="Arial"/>
          <w:b/>
          <w:bCs/>
          <w:color w:val="2E6DA4"/>
          <w:sz w:val="24"/>
          <w:szCs w:val="24"/>
        </w:rPr>
        <w:t xml:space="preserve">6.2 Safety in Design – Key Requirements</w:t>
      </w:r>
    </w:p>
    <w:p>
      <w:pPr>
        <w:pStyle w:val="Heading3"/>
        <w:spacing w:after="80" w:before="160"/>
      </w:pPr>
      <w:r>
        <w:rPr>
          <w:rFonts w:ascii="Arial" w:cs="Arial" w:eastAsia="Arial" w:hAnsi="Arial"/>
          <w:b/>
          <w:bCs/>
          <w:color w:val="1B3A5C"/>
          <w:sz w:val="22"/>
          <w:szCs w:val="22"/>
        </w:rPr>
        <w:t xml:space="preserve">6.2.1 Pressure Relief and Blowdown</w:t>
      </w:r>
    </w:p>
    <w:p>
      <w:pPr>
        <w:pStyle w:val="ListParagraph"/>
        <w:numPr>
          <w:ilvl w:val="0"/>
          <w:numId w:val="3"/>
        </w:numPr>
        <w:spacing w:after="60"/>
      </w:pPr>
      <w:r>
        <w:rPr>
          <w:rFonts w:ascii="Arial" w:cs="Arial" w:eastAsia="Arial" w:hAnsi="Arial"/>
          <w:sz w:val="20"/>
          <w:szCs w:val="20"/>
        </w:rPr>
        <w:t xml:space="preserve">Each adsorber vessel, inlet separator, and regeneration heater to have at minimum one (1) PSV sized for the controlling relief scenario (blocked outlet, fire case, thermal expansion). PSV sizing calculations to be submitted for NES review.</w:t>
      </w:r>
    </w:p>
    <w:p>
      <w:pPr>
        <w:pStyle w:val="ListParagraph"/>
        <w:numPr>
          <w:ilvl w:val="0"/>
          <w:numId w:val="3"/>
        </w:numPr>
        <w:spacing w:after="60"/>
      </w:pPr>
      <w:r>
        <w:rPr>
          <w:rFonts w:ascii="Arial" w:cs="Arial" w:eastAsia="Arial" w:hAnsi="Arial"/>
          <w:sz w:val="20"/>
          <w:szCs w:val="20"/>
        </w:rPr>
        <w:t xml:space="preserve">A manual blowdown valve and dedicated blowdown nozzle (minimum DN50, Class 900) to be provided on each adsorber vessel, routed to the flare header (EPC scope connection at BL). Blowdown to be controlled (restricted orifice or globe valve) to limit blowdown rate per API 521 guidelines (prevent vessel thermal stress from rapid depressurization).</w:t>
      </w:r>
    </w:p>
    <w:p>
      <w:pPr>
        <w:pStyle w:val="ListParagraph"/>
        <w:numPr>
          <w:ilvl w:val="0"/>
          <w:numId w:val="3"/>
        </w:numPr>
        <w:spacing w:after="60"/>
      </w:pPr>
      <w:r>
        <w:rPr>
          <w:rFonts w:ascii="Arial" w:cs="Arial" w:eastAsia="Arial" w:hAnsi="Arial"/>
          <w:sz w:val="20"/>
          <w:szCs w:val="20"/>
        </w:rPr>
        <w:t xml:space="preserve">Emergency depressurization (EDP) function: Not required for this package, but blowdown connectivity to be designed compatible with a future EDP addition.</w:t>
      </w:r>
    </w:p>
    <w:p>
      <w:pPr>
        <w:spacing w:after="160"/>
      </w:pPr>
      <w:r>
        <w:t xml:space="preserve"/>
      </w:r>
    </w:p>
    <w:p>
      <w:pPr>
        <w:pStyle w:val="Heading3"/>
        <w:spacing w:after="80" w:before="160"/>
      </w:pPr>
      <w:r>
        <w:rPr>
          <w:rFonts w:ascii="Arial" w:cs="Arial" w:eastAsia="Arial" w:hAnsi="Arial"/>
          <w:b/>
          <w:bCs/>
          <w:color w:val="1B3A5C"/>
          <w:sz w:val="22"/>
          <w:szCs w:val="22"/>
        </w:rPr>
        <w:t xml:space="preserve">6.2.2 Fire and Gas Protection</w:t>
      </w:r>
    </w:p>
    <w:p>
      <w:pPr>
        <w:pStyle w:val="ListParagraph"/>
        <w:numPr>
          <w:ilvl w:val="0"/>
          <w:numId w:val="3"/>
        </w:numPr>
        <w:spacing w:after="60"/>
      </w:pPr>
      <w:r>
        <w:rPr>
          <w:rFonts w:ascii="Arial" w:cs="Arial" w:eastAsia="Arial" w:hAnsi="Arial"/>
          <w:sz w:val="20"/>
          <w:szCs w:val="20"/>
        </w:rPr>
        <w:t xml:space="preserve">Vendor to provide: (a) identification of all potential gas release points (flanges, valve packing glands, instrument connections); (b) connection point stubs (2" NPT) on appropriate locations for plant-supplied gas detectors; (c) structural support for flame detector and gas detector mounts (not instruments themselves – EPC scope).</w:t>
      </w:r>
    </w:p>
    <w:p>
      <w:pPr>
        <w:pStyle w:val="ListParagraph"/>
        <w:numPr>
          <w:ilvl w:val="0"/>
          <w:numId w:val="3"/>
        </w:numPr>
        <w:spacing w:after="60"/>
      </w:pPr>
      <w:r>
        <w:rPr>
          <w:rFonts w:ascii="Arial" w:cs="Arial" w:eastAsia="Arial" w:hAnsi="Arial"/>
          <w:sz w:val="20"/>
          <w:szCs w:val="20"/>
        </w:rPr>
        <w:t xml:space="preserve">Fire suppression: Vendor to confirm fire suppression medium compatibility with molecular sieve (CO2, dry chemical, or deluge water acceptable; Halon not permitted). Vendor to include fireproofing (intumescent coating) on all structural skid columns within 1 m of major process flanges per fireproofing specification (to be provided by NES).</w:t>
      </w:r>
    </w:p>
    <w:p>
      <w:pPr>
        <w:spacing w:after="160"/>
      </w:pPr>
      <w:r>
        <w:t xml:space="preserve"/>
      </w:r>
    </w:p>
    <w:p>
      <w:pPr>
        <w:pStyle w:val="Heading3"/>
        <w:spacing w:after="80" w:before="160"/>
      </w:pPr>
      <w:r>
        <w:rPr>
          <w:rFonts w:ascii="Arial" w:cs="Arial" w:eastAsia="Arial" w:hAnsi="Arial"/>
          <w:b/>
          <w:bCs/>
          <w:color w:val="1B3A5C"/>
          <w:sz w:val="22"/>
          <w:szCs w:val="22"/>
        </w:rPr>
        <w:t xml:space="preserve">6.2.3 Static Electricity and Grounding</w:t>
      </w:r>
    </w:p>
    <w:p>
      <w:pPr>
        <w:pStyle w:val="ListParagraph"/>
        <w:numPr>
          <w:ilvl w:val="0"/>
          <w:numId w:val="3"/>
        </w:numPr>
        <w:spacing w:after="60"/>
      </w:pPr>
      <w:r>
        <w:rPr>
          <w:rFonts w:ascii="Arial" w:cs="Arial" w:eastAsia="Arial" w:hAnsi="Arial"/>
          <w:sz w:val="20"/>
          <w:szCs w:val="20"/>
        </w:rPr>
        <w:t xml:space="preserve">Risk of static discharge during molecular sieve loading (fine powder) is to be addressed: conductive sieve loading hose, operator grounding strap, vessel internal grounding rod during loading operations.</w:t>
      </w:r>
    </w:p>
    <w:p>
      <w:pPr>
        <w:pStyle w:val="ListParagraph"/>
        <w:numPr>
          <w:ilvl w:val="0"/>
          <w:numId w:val="3"/>
        </w:numPr>
        <w:spacing w:after="60"/>
      </w:pPr>
      <w:r>
        <w:rPr>
          <w:rFonts w:ascii="Arial" w:cs="Arial" w:eastAsia="Arial" w:hAnsi="Arial"/>
          <w:sz w:val="20"/>
          <w:szCs w:val="20"/>
        </w:rPr>
        <w:t xml:space="preserve">All metallic parts on skid to be equipotentially bonded. Resistance from any point on skid to main earth connection point: ≤ 1 ohm. Bonding test to be conducted and documented during FAT.</w:t>
      </w:r>
    </w:p>
    <w:p>
      <w:pPr>
        <w:spacing w:after="160"/>
      </w:pPr>
      <w:r>
        <w:t xml:space="preserve"/>
      </w:r>
    </w:p>
    <w:p>
      <w:r>
        <w:br w:type="page"/>
      </w:r>
    </w:p>
    <w:p>
      <w:pPr>
        <w:pStyle w:val="Heading1"/>
        <w:pBdr>
          <w:bottom w:val="single" w:color="8B0000" w:sz="10" w:space="4"/>
        </w:pBdr>
        <w:spacing w:after="180" w:before="360"/>
      </w:pPr>
      <w:r>
        <w:rPr>
          <w:rFonts w:ascii="Arial" w:cs="Arial" w:eastAsia="Arial" w:hAnsi="Arial"/>
          <w:b/>
          <w:bCs/>
          <w:color w:val="1B3A5C"/>
          <w:sz w:val="28"/>
          <w:szCs w:val="28"/>
        </w:rPr>
        <w:t xml:space="preserve">7. PROJECT SCHEDULE REQUIREMENTS AND MILESTONES</w:t>
      </w:r>
    </w:p>
    <w:p>
      <w:pPr>
        <w:pStyle w:val="Heading2"/>
        <w:spacing w:after="120" w:before="240"/>
      </w:pPr>
      <w:r>
        <w:rPr>
          <w:rFonts w:ascii="Arial" w:cs="Arial" w:eastAsia="Arial" w:hAnsi="Arial"/>
          <w:b/>
          <w:bCs/>
          <w:color w:val="2E6DA4"/>
          <w:sz w:val="24"/>
          <w:szCs w:val="24"/>
        </w:rPr>
        <w:t xml:space="preserve">7.1 Overview</w:t>
      </w:r>
    </w:p>
    <w:p>
      <w:pPr>
        <w:spacing w:after="120"/>
      </w:pPr>
      <w:r>
        <w:rPr>
          <w:rFonts w:ascii="Arial" w:cs="Arial" w:eastAsia="Arial" w:hAnsi="Arial"/>
          <w:sz w:val="20"/>
          <w:szCs w:val="20"/>
        </w:rPr>
        <w:t xml:space="preserve">The overall project completion date for the Adriatic Gas Processing Facility Phase II is targeted for Q3 2027. The GDU Package is on the critical path due to adsorber vessel fabrication lead time. The following milestone schedule represents NES's requirements. Vendor shall confirm achievability in the offer and provide a detailed Gantt chart within 2 weeks of PO award.</w:t>
      </w:r>
    </w:p>
    <w:p>
      <w:pPr>
        <w:pBdr>
          <w:left w:val="single" w:color="E6A817" w:sz="12" w:space="6"/>
        </w:pBdr>
        <w:shd w:fill="FFF8E7" w:val="clear"/>
        <w:spacing w:after="120"/>
        <w:ind w:left="360"/>
      </w:pPr>
      <w:r>
        <w:rPr>
          <w:rFonts w:ascii="Arial" w:cs="Arial" w:eastAsia="Arial" w:hAnsi="Arial"/>
          <w:i/>
          <w:iCs/>
          <w:color w:val="7B4F00"/>
          <w:sz w:val="18"/>
          <w:szCs w:val="18"/>
        </w:rPr>
        <w:t xml:space="preserve">NOTE: The target FAT completion date is Week 34 from PO award (approximately 28 January 2027, assuming PO award 28 May 2026). Any schedule proposal beyond Week 36 FAT will be technically disadvantaged in the evaluation.</w:t>
      </w:r>
    </w:p>
    <w:p>
      <w:pPr>
        <w:spacing w:after="160"/>
      </w:pPr>
      <w:r>
        <w:t xml:space="preserve"/>
      </w:r>
    </w:p>
    <w:p>
      <w:pPr>
        <w:pStyle w:val="Heading2"/>
        <w:spacing w:after="120" w:before="240"/>
      </w:pPr>
      <w:r>
        <w:rPr>
          <w:rFonts w:ascii="Arial" w:cs="Arial" w:eastAsia="Arial" w:hAnsi="Arial"/>
          <w:b/>
          <w:bCs/>
          <w:color w:val="2E6DA4"/>
          <w:sz w:val="24"/>
          <w:szCs w:val="24"/>
        </w:rPr>
        <w:t xml:space="preserve">7.2 Key Milestones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576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c>
          <w:tcPr>
            <w:tcW w:type="dxa" w:w="30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Week (from PO)</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M-01</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Purchase Order (PO) award and execution</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0 (baseline)</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M-02</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Kick-Off Meeting (KOM) – NES + Vendor + Client</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2</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M-03</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Document Register (VDR) submission</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3</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M-04</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Project Quality Plan (PQP) submitted</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4</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M-05</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Preliminary PFD + Equipment List submitted for review</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6</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M-06</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P&amp;ID Rev.0 (Preliminary) submitted for HAZOP</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8</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M-07</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HAZOP session (with vendor Process Lead)</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10</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M-08</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P&amp;ID Rev.1 (AFC) incorporating HAZOP actions submitted</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12</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M-09</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Vessel design calculations and data sheets (AFC) submitted</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12</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M-10</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ITP submitted and approved by NES</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8</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M-11</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Sub-vendor list approved by NES</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6</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M-12</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Vessel material procurement complete (mill order plates)</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8</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M-13</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GA drawings Rev. AFC submitted and approved</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12</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M-14</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Instrument data sheets and valve data sheets AFC submitted</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12</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M-15</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PLC FDS (Functional Design Specification) submitted and approved</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14</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M-16</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Cause and Effect Diagram submitted and approved</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14</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M-17</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SIL Assessment Report submitted</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16</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M-18</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Vessel fabrication start</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10</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M-19</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Vessel shell and heads complete (WPS/PQR submitted)</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18</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M-20</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Vessel hydrostatic test (HOLD point – NES witness)</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22</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M-21</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Skid frame fabrication and galvanizing complete</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20</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M-22</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Regeneration heater fabrication and factory test complete</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22</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M-23</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instrumentation on-skid installation complete</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26</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M-24</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PLC software testing complete (internal bench test)</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26</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M-25</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Painting and coating complete</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28</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M-26</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Insulation and heat tracing complete</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30</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M-27</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Pre-FAT inspection (punch list items identified)</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32</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M-28</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FAT readiness notification to NES (5 business days notice)</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32</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M-29</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Factory Acceptance Test (FAT) – HOLD POINT – NES Witness</w:t>
            </w:r>
          </w:p>
        </w:tc>
        <w:tc>
          <w:tcPr>
            <w:tcW w:type="dxa" w:w="30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Week 34 (Target)</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M-30</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FAT Certificate signed / punch list A cleared</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35</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M-31</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Preservation and packing for shipment</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36</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M-32</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Shipment / ex-works departure</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37</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M-33</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Arrival at Ravenna Site (DAP delivery)</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38–40 (depending on transport mode)</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M-34</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Final MDR package (as-built) delivered to NES</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40 (or at shipment, whichever earlier)</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M-35</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On-site commissioning start (with Vendor representative)</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Per overall project schedule – TBD</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M-36</w:t>
            </w:r>
          </w:p>
        </w:tc>
        <w:tc>
          <w:tcPr>
            <w:tcW w:type="dxa" w:w="57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Mechanical Completion Certificate (MC)</w:t>
            </w:r>
          </w:p>
        </w:tc>
        <w:tc>
          <w:tcPr>
            <w:tcW w:type="dxa" w:w="3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Per overall project schedule</w:t>
            </w:r>
          </w:p>
        </w:tc>
      </w:tr>
    </w:tbl>
    <w:p>
      <w:pPr>
        <w:spacing w:after="160"/>
      </w:pPr>
      <w:r>
        <w:t xml:space="preserve"/>
      </w:r>
    </w:p>
    <w:p>
      <w:pPr>
        <w:pStyle w:val="Heading2"/>
        <w:spacing w:after="120" w:before="240"/>
      </w:pPr>
      <w:r>
        <w:rPr>
          <w:rFonts w:ascii="Arial" w:cs="Arial" w:eastAsia="Arial" w:hAnsi="Arial"/>
          <w:b/>
          <w:bCs/>
          <w:color w:val="2E6DA4"/>
          <w:sz w:val="24"/>
          <w:szCs w:val="24"/>
        </w:rPr>
        <w:t xml:space="preserve">7.3 Schedule Delay Provisions</w:t>
      </w:r>
    </w:p>
    <w:p>
      <w:pPr>
        <w:spacing w:after="120"/>
      </w:pPr>
      <w:r>
        <w:rPr>
          <w:rFonts w:ascii="Arial" w:cs="Arial" w:eastAsia="Arial" w:hAnsi="Arial"/>
          <w:sz w:val="20"/>
          <w:szCs w:val="20"/>
        </w:rPr>
        <w:t xml:space="preserve">Liquidated Damages for schedule delay shall apply per Section 8 of the RFQ (0.5% of contract value per week, capped at 10%). To avoid LDs:</w:t>
      </w:r>
    </w:p>
    <w:p>
      <w:pPr>
        <w:pStyle w:val="ListParagraph"/>
        <w:numPr>
          <w:ilvl w:val="0"/>
          <w:numId w:val="3"/>
        </w:numPr>
        <w:spacing w:after="60"/>
      </w:pPr>
      <w:r>
        <w:rPr>
          <w:rFonts w:ascii="Arial" w:cs="Arial" w:eastAsia="Arial" w:hAnsi="Arial"/>
          <w:sz w:val="20"/>
          <w:szCs w:val="20"/>
        </w:rPr>
        <w:t xml:space="preserve">Vendor shall maintain a monthly progress report (first day of each month) showing earned value, schedule status, critical path activities, and any emerging risks.</w:t>
      </w:r>
    </w:p>
    <w:p>
      <w:pPr>
        <w:pStyle w:val="ListParagraph"/>
        <w:numPr>
          <w:ilvl w:val="0"/>
          <w:numId w:val="3"/>
        </w:numPr>
        <w:spacing w:after="60"/>
      </w:pPr>
      <w:r>
        <w:rPr>
          <w:rFonts w:ascii="Arial" w:cs="Arial" w:eastAsia="Arial" w:hAnsi="Arial"/>
          <w:sz w:val="20"/>
          <w:szCs w:val="20"/>
        </w:rPr>
        <w:t xml:space="preserve">If at any stage the projected FAT date slips by more than 2 weeks from the baseline, Vendor shall submit a recovery plan within 5 business days. Recovery measures may include: additional shift work (at vendor's cost), fast-tracking of sub-vendor orders, re-sequencing of fabrication activities.</w:t>
      </w:r>
    </w:p>
    <w:p>
      <w:pPr>
        <w:pStyle w:val="ListParagraph"/>
        <w:numPr>
          <w:ilvl w:val="0"/>
          <w:numId w:val="3"/>
        </w:numPr>
        <w:spacing w:after="60"/>
      </w:pPr>
      <w:r>
        <w:rPr>
          <w:rFonts w:ascii="Arial" w:cs="Arial" w:eastAsia="Arial" w:hAnsi="Arial"/>
          <w:sz w:val="20"/>
          <w:szCs w:val="20"/>
        </w:rPr>
        <w:t xml:space="preserve">Schedule acceleration options (to be priced as Option OPT-C in bid) shall be available for NES to exercise within 4 weeks of PO award without penalty.</w:t>
      </w:r>
    </w:p>
    <w:p>
      <w:pPr>
        <w:spacing w:after="160"/>
      </w:pPr>
      <w:r>
        <w:t xml:space="preserve"/>
      </w:r>
    </w:p>
    <w:p>
      <w:r>
        <w:br w:type="page"/>
      </w:r>
    </w:p>
    <w:p>
      <w:pPr>
        <w:pStyle w:val="Heading1"/>
        <w:pBdr>
          <w:bottom w:val="single" w:color="8B0000" w:sz="10" w:space="4"/>
        </w:pBdr>
        <w:spacing w:after="180" w:before="360"/>
      </w:pPr>
      <w:r>
        <w:rPr>
          <w:rFonts w:ascii="Arial" w:cs="Arial" w:eastAsia="Arial" w:hAnsi="Arial"/>
          <w:b/>
          <w:bCs/>
          <w:color w:val="1B3A5C"/>
          <w:sz w:val="28"/>
          <w:szCs w:val="28"/>
        </w:rPr>
        <w:t xml:space="preserve">8. VENDOR OBLIGATIONS AND CONDUCT OF WORKS</w:t>
      </w:r>
    </w:p>
    <w:p>
      <w:pPr>
        <w:pStyle w:val="Heading2"/>
        <w:spacing w:after="120" w:before="240"/>
      </w:pPr>
      <w:r>
        <w:rPr>
          <w:rFonts w:ascii="Arial" w:cs="Arial" w:eastAsia="Arial" w:hAnsi="Arial"/>
          <w:b/>
          <w:bCs/>
          <w:color w:val="2E6DA4"/>
          <w:sz w:val="24"/>
          <w:szCs w:val="24"/>
        </w:rPr>
        <w:t xml:space="preserve">8.1 Kick-Off Meeting</w:t>
      </w:r>
    </w:p>
    <w:p>
      <w:pPr>
        <w:spacing w:after="120"/>
      </w:pPr>
      <w:r>
        <w:rPr>
          <w:rFonts w:ascii="Arial" w:cs="Arial" w:eastAsia="Arial" w:hAnsi="Arial"/>
          <w:sz w:val="20"/>
          <w:szCs w:val="20"/>
        </w:rPr>
        <w:t xml:space="preserve">Within 2 weeks of PO award, NES and Vendor shall conduct a formal Kick-Off Meeting (KOM) at NES Milan office (or via video conference if Vendor is non-Italian). The KOM shall cover at minimum:</w:t>
      </w:r>
    </w:p>
    <w:p>
      <w:pPr>
        <w:pStyle w:val="ListParagraph"/>
        <w:numPr>
          <w:ilvl w:val="0"/>
          <w:numId w:val="3"/>
        </w:numPr>
        <w:spacing w:after="60"/>
      </w:pPr>
      <w:r>
        <w:rPr>
          <w:rFonts w:ascii="Arial" w:cs="Arial" w:eastAsia="Arial" w:hAnsi="Arial"/>
          <w:sz w:val="20"/>
          <w:szCs w:val="20"/>
        </w:rPr>
        <w:t xml:space="preserve">Introduction of project team members (both sides)</w:t>
      </w:r>
    </w:p>
    <w:p>
      <w:pPr>
        <w:pStyle w:val="ListParagraph"/>
        <w:numPr>
          <w:ilvl w:val="0"/>
          <w:numId w:val="3"/>
        </w:numPr>
        <w:spacing w:after="60"/>
      </w:pPr>
      <w:r>
        <w:rPr>
          <w:rFonts w:ascii="Arial" w:cs="Arial" w:eastAsia="Arial" w:hAnsi="Arial"/>
          <w:sz w:val="20"/>
          <w:szCs w:val="20"/>
        </w:rPr>
        <w:t xml:space="preserve">Review and agreement on Vendor Document Register (VDR) and document submittal schedule</w:t>
      </w:r>
    </w:p>
    <w:p>
      <w:pPr>
        <w:pStyle w:val="ListParagraph"/>
        <w:numPr>
          <w:ilvl w:val="0"/>
          <w:numId w:val="3"/>
        </w:numPr>
        <w:spacing w:after="60"/>
      </w:pPr>
      <w:r>
        <w:rPr>
          <w:rFonts w:ascii="Arial" w:cs="Arial" w:eastAsia="Arial" w:hAnsi="Arial"/>
          <w:sz w:val="20"/>
          <w:szCs w:val="20"/>
        </w:rPr>
        <w:t xml:space="preserve">Confirmation of battery limits and interface data</w:t>
      </w:r>
    </w:p>
    <w:p>
      <w:pPr>
        <w:pStyle w:val="ListParagraph"/>
        <w:numPr>
          <w:ilvl w:val="0"/>
          <w:numId w:val="3"/>
        </w:numPr>
        <w:spacing w:after="60"/>
      </w:pPr>
      <w:r>
        <w:rPr>
          <w:rFonts w:ascii="Arial" w:cs="Arial" w:eastAsia="Arial" w:hAnsi="Arial"/>
          <w:sz w:val="20"/>
          <w:szCs w:val="20"/>
        </w:rPr>
        <w:t xml:space="preserve">Agreement on DCS/ESD interface protocol and signal list format</w:t>
      </w:r>
    </w:p>
    <w:p>
      <w:pPr>
        <w:pStyle w:val="ListParagraph"/>
        <w:numPr>
          <w:ilvl w:val="0"/>
          <w:numId w:val="3"/>
        </w:numPr>
        <w:spacing w:after="60"/>
      </w:pPr>
      <w:r>
        <w:rPr>
          <w:rFonts w:ascii="Arial" w:cs="Arial" w:eastAsia="Arial" w:hAnsi="Arial"/>
          <w:sz w:val="20"/>
          <w:szCs w:val="20"/>
        </w:rPr>
        <w:t xml:space="preserve">Agreement on painting, insulation, and heat tracing standards</w:t>
      </w:r>
    </w:p>
    <w:p>
      <w:pPr>
        <w:pStyle w:val="ListParagraph"/>
        <w:numPr>
          <w:ilvl w:val="0"/>
          <w:numId w:val="3"/>
        </w:numPr>
        <w:spacing w:after="60"/>
      </w:pPr>
      <w:r>
        <w:rPr>
          <w:rFonts w:ascii="Arial" w:cs="Arial" w:eastAsia="Arial" w:hAnsi="Arial"/>
          <w:sz w:val="20"/>
          <w:szCs w:val="20"/>
        </w:rPr>
        <w:t xml:space="preserve">Review of ITP and QA/QC plan</w:t>
      </w:r>
    </w:p>
    <w:p>
      <w:pPr>
        <w:pStyle w:val="ListParagraph"/>
        <w:numPr>
          <w:ilvl w:val="0"/>
          <w:numId w:val="3"/>
        </w:numPr>
        <w:spacing w:after="60"/>
      </w:pPr>
      <w:r>
        <w:rPr>
          <w:rFonts w:ascii="Arial" w:cs="Arial" w:eastAsia="Arial" w:hAnsi="Arial"/>
          <w:sz w:val="20"/>
          <w:szCs w:val="20"/>
        </w:rPr>
        <w:t xml:space="preserve">Confirmation of sub-vendor list and approval process</w:t>
      </w:r>
    </w:p>
    <w:p>
      <w:pPr>
        <w:pStyle w:val="ListParagraph"/>
        <w:numPr>
          <w:ilvl w:val="0"/>
          <w:numId w:val="3"/>
        </w:numPr>
        <w:spacing w:after="60"/>
      </w:pPr>
      <w:r>
        <w:rPr>
          <w:rFonts w:ascii="Arial" w:cs="Arial" w:eastAsia="Arial" w:hAnsi="Arial"/>
          <w:sz w:val="20"/>
          <w:szCs w:val="20"/>
        </w:rPr>
        <w:t xml:space="preserve">Agreement on communication protocol (weekly progress calls, monthly progress reports)</w:t>
      </w:r>
    </w:p>
    <w:p>
      <w:pPr>
        <w:pStyle w:val="ListParagraph"/>
        <w:numPr>
          <w:ilvl w:val="0"/>
          <w:numId w:val="3"/>
        </w:numPr>
        <w:spacing w:after="60"/>
      </w:pPr>
      <w:r>
        <w:rPr>
          <w:rFonts w:ascii="Arial" w:cs="Arial" w:eastAsia="Arial" w:hAnsi="Arial"/>
          <w:sz w:val="20"/>
          <w:szCs w:val="20"/>
        </w:rPr>
        <w:t xml:space="preserve">Review of outstanding RFQ clarifications and any technical deviations accepted at PO stage</w:t>
      </w:r>
    </w:p>
    <w:p>
      <w:pPr>
        <w:spacing w:after="160"/>
      </w:pPr>
      <w:r>
        <w:t xml:space="preserve"/>
      </w:r>
    </w:p>
    <w:p>
      <w:pPr>
        <w:pStyle w:val="Heading2"/>
        <w:spacing w:after="120" w:before="240"/>
      </w:pPr>
      <w:r>
        <w:rPr>
          <w:rFonts w:ascii="Arial" w:cs="Arial" w:eastAsia="Arial" w:hAnsi="Arial"/>
          <w:b/>
          <w:bCs/>
          <w:color w:val="2E6DA4"/>
          <w:sz w:val="24"/>
          <w:szCs w:val="24"/>
        </w:rPr>
        <w:t xml:space="preserve">8.2 Sub-Vendor Control</w:t>
      </w:r>
    </w:p>
    <w:p>
      <w:pPr>
        <w:pStyle w:val="ListParagraph"/>
        <w:numPr>
          <w:ilvl w:val="0"/>
          <w:numId w:val="3"/>
        </w:numPr>
        <w:spacing w:after="60"/>
      </w:pPr>
      <w:r>
        <w:rPr>
          <w:rFonts w:ascii="Arial" w:cs="Arial" w:eastAsia="Arial" w:hAnsi="Arial"/>
          <w:sz w:val="20"/>
          <w:szCs w:val="20"/>
        </w:rPr>
        <w:t xml:space="preserve">Vendor shall submit a complete Sub-Vendor List within 4 weeks of PO award. All sub-vendors for major equipment (pressure vessels, regeneration heater, PLC system, moisture analyser, major actuated valves) require NES written approval.</w:t>
      </w:r>
    </w:p>
    <w:p>
      <w:pPr>
        <w:pStyle w:val="ListParagraph"/>
        <w:numPr>
          <w:ilvl w:val="0"/>
          <w:numId w:val="3"/>
        </w:numPr>
        <w:spacing w:after="60"/>
      </w:pPr>
      <w:r>
        <w:rPr>
          <w:rFonts w:ascii="Arial" w:cs="Arial" w:eastAsia="Arial" w:hAnsi="Arial"/>
          <w:sz w:val="20"/>
          <w:szCs w:val="20"/>
        </w:rPr>
        <w:t xml:space="preserve">NES may blacklist specific sub-vendors based on previous performance. NES will communicate any such restrictions at PO stage or KOM.</w:t>
      </w:r>
    </w:p>
    <w:p>
      <w:pPr>
        <w:pStyle w:val="ListParagraph"/>
        <w:numPr>
          <w:ilvl w:val="0"/>
          <w:numId w:val="3"/>
        </w:numPr>
        <w:spacing w:after="60"/>
      </w:pPr>
      <w:r>
        <w:rPr>
          <w:rFonts w:ascii="Arial" w:cs="Arial" w:eastAsia="Arial" w:hAnsi="Arial"/>
          <w:sz w:val="20"/>
          <w:szCs w:val="20"/>
        </w:rPr>
        <w:t xml:space="preserve">Vendor remains solely responsible for the quality and performance of sub-vendor supplied items. Vendor's QC team shall perform incoming inspection of all major sub-vendor items before installation.</w:t>
      </w:r>
    </w:p>
    <w:p>
      <w:pPr>
        <w:pStyle w:val="ListParagraph"/>
        <w:numPr>
          <w:ilvl w:val="0"/>
          <w:numId w:val="3"/>
        </w:numPr>
        <w:spacing w:after="60"/>
      </w:pPr>
      <w:r>
        <w:rPr>
          <w:rFonts w:ascii="Arial" w:cs="Arial" w:eastAsia="Arial" w:hAnsi="Arial"/>
          <w:sz w:val="20"/>
          <w:szCs w:val="20"/>
        </w:rPr>
        <w:t xml:space="preserve">NES reserves the right to conduct supplier audits at sub-vendor facilities with 5 business days' notice.</w:t>
      </w:r>
    </w:p>
    <w:p>
      <w:pPr>
        <w:spacing w:after="160"/>
      </w:pPr>
      <w:r>
        <w:t xml:space="preserve"/>
      </w:r>
    </w:p>
    <w:p>
      <w:pPr>
        <w:pStyle w:val="Heading2"/>
        <w:spacing w:after="120" w:before="240"/>
      </w:pPr>
      <w:r>
        <w:rPr>
          <w:rFonts w:ascii="Arial" w:cs="Arial" w:eastAsia="Arial" w:hAnsi="Arial"/>
          <w:b/>
          <w:bCs/>
          <w:color w:val="2E6DA4"/>
          <w:sz w:val="24"/>
          <w:szCs w:val="24"/>
        </w:rPr>
        <w:t xml:space="preserve">8.3 Engineering Change Control</w:t>
      </w:r>
    </w:p>
    <w:p>
      <w:pPr>
        <w:pStyle w:val="ListParagraph"/>
        <w:numPr>
          <w:ilvl w:val="0"/>
          <w:numId w:val="3"/>
        </w:numPr>
        <w:spacing w:after="60"/>
      </w:pPr>
      <w:r>
        <w:rPr>
          <w:rFonts w:ascii="Arial" w:cs="Arial" w:eastAsia="Arial" w:hAnsi="Arial"/>
          <w:sz w:val="20"/>
          <w:szCs w:val="20"/>
        </w:rPr>
        <w:t xml:space="preserve">No design change (affecting P&amp;IDs, data sheets, dimensional drawings, or equipment specifications) shall be implemented after AFC issue without a formal NES-approved Engineering Change Request (ECR).</w:t>
      </w:r>
    </w:p>
    <w:p>
      <w:pPr>
        <w:pStyle w:val="ListParagraph"/>
        <w:numPr>
          <w:ilvl w:val="0"/>
          <w:numId w:val="3"/>
        </w:numPr>
        <w:spacing w:after="60"/>
      </w:pPr>
      <w:r>
        <w:rPr>
          <w:rFonts w:ascii="Arial" w:cs="Arial" w:eastAsia="Arial" w:hAnsi="Arial"/>
          <w:sz w:val="20"/>
          <w:szCs w:val="20"/>
        </w:rPr>
        <w:t xml:space="preserve">Vendor to submit ECR using NES ECR Form (to be provided at KOM). NES target review time: 5 business days for minor changes, 10 business days for major changes (NES to advise classification).</w:t>
      </w:r>
    </w:p>
    <w:p>
      <w:pPr>
        <w:pStyle w:val="ListParagraph"/>
        <w:numPr>
          <w:ilvl w:val="0"/>
          <w:numId w:val="3"/>
        </w:numPr>
        <w:spacing w:after="60"/>
      </w:pPr>
      <w:r>
        <w:rPr>
          <w:rFonts w:ascii="Arial" w:cs="Arial" w:eastAsia="Arial" w:hAnsi="Arial"/>
          <w:sz w:val="20"/>
          <w:szCs w:val="20"/>
        </w:rPr>
        <w:t xml:space="preserve">Any change that affects the Performance Guarantee values, BL interface flange sizes/ratings, or overall skid footprint/weight requires written approval from both NES Engineering and NES Procurement before implementation.</w:t>
      </w:r>
    </w:p>
    <w:p>
      <w:pPr>
        <w:spacing w:after="160"/>
      </w:pPr>
      <w:r>
        <w:t xml:space="preserve"/>
      </w:r>
    </w:p>
    <w:p>
      <w:pPr>
        <w:pStyle w:val="Heading2"/>
        <w:spacing w:after="120" w:before="240"/>
      </w:pPr>
      <w:r>
        <w:rPr>
          <w:rFonts w:ascii="Arial" w:cs="Arial" w:eastAsia="Arial" w:hAnsi="Arial"/>
          <w:b/>
          <w:bCs/>
          <w:color w:val="2E6DA4"/>
          <w:sz w:val="24"/>
          <w:szCs w:val="24"/>
        </w:rPr>
        <w:t xml:space="preserve">8.4 Non-Conformance Reporting</w:t>
      </w:r>
    </w:p>
    <w:p>
      <w:pPr>
        <w:pStyle w:val="ListParagraph"/>
        <w:numPr>
          <w:ilvl w:val="0"/>
          <w:numId w:val="3"/>
        </w:numPr>
        <w:spacing w:after="60"/>
      </w:pPr>
      <w:r>
        <w:rPr>
          <w:rFonts w:ascii="Arial" w:cs="Arial" w:eastAsia="Arial" w:hAnsi="Arial"/>
          <w:sz w:val="20"/>
          <w:szCs w:val="20"/>
        </w:rPr>
        <w:t xml:space="preserve">Vendor shall maintain a Non-Conformance Report (NCR) register throughout fabrication. All NCRs, including root cause analysis and corrective action, to be submitted to NES within 5 business days of identification.</w:t>
      </w:r>
    </w:p>
    <w:p>
      <w:pPr>
        <w:pStyle w:val="ListParagraph"/>
        <w:numPr>
          <w:ilvl w:val="0"/>
          <w:numId w:val="3"/>
        </w:numPr>
        <w:spacing w:after="60"/>
      </w:pPr>
      <w:r>
        <w:rPr>
          <w:rFonts w:ascii="Arial" w:cs="Arial" w:eastAsia="Arial" w:hAnsi="Arial"/>
          <w:sz w:val="20"/>
          <w:szCs w:val="20"/>
        </w:rPr>
        <w:t xml:space="preserve">Vendor may not disposition NCRs classified as 'Use As Is' or 'Repair' without NES written approval for any pressure-containing part.</w:t>
      </w:r>
    </w:p>
    <w:p>
      <w:pPr>
        <w:pStyle w:val="ListParagraph"/>
        <w:numPr>
          <w:ilvl w:val="0"/>
          <w:numId w:val="3"/>
        </w:numPr>
        <w:spacing w:after="60"/>
      </w:pPr>
      <w:r>
        <w:rPr>
          <w:rFonts w:ascii="Arial" w:cs="Arial" w:eastAsia="Arial" w:hAnsi="Arial"/>
          <w:sz w:val="20"/>
          <w:szCs w:val="20"/>
        </w:rPr>
        <w:t xml:space="preserve">NCR register to be included in MDR.</w:t>
      </w:r>
    </w:p>
    <w:p>
      <w:pPr>
        <w:spacing w:after="160"/>
      </w:pPr>
      <w:r>
        <w:t xml:space="preserve"/>
      </w:r>
    </w:p>
    <w:p>
      <w:pPr>
        <w:pStyle w:val="Heading2"/>
        <w:spacing w:after="120" w:before="240"/>
      </w:pPr>
      <w:r>
        <w:rPr>
          <w:rFonts w:ascii="Arial" w:cs="Arial" w:eastAsia="Arial" w:hAnsi="Arial"/>
          <w:b/>
          <w:bCs/>
          <w:color w:val="2E6DA4"/>
          <w:sz w:val="24"/>
          <w:szCs w:val="24"/>
        </w:rPr>
        <w:t xml:space="preserve">8.5 Progress Reporting</w:t>
      </w:r>
    </w:p>
    <w:p>
      <w:pPr>
        <w:pStyle w:val="ListParagraph"/>
        <w:numPr>
          <w:ilvl w:val="0"/>
          <w:numId w:val="3"/>
        </w:numPr>
        <w:spacing w:after="60"/>
      </w:pPr>
      <w:r>
        <w:rPr>
          <w:rFonts w:ascii="Arial" w:cs="Arial" w:eastAsia="Arial" w:hAnsi="Arial"/>
          <w:sz w:val="20"/>
          <w:szCs w:val="20"/>
        </w:rPr>
        <w:t xml:space="preserve">Weekly: Brief email/Teams call update (15 minutes) – fabrication progress, drawing status, any emerging issues. No formal report required; summary email accepted.</w:t>
      </w:r>
    </w:p>
    <w:p>
      <w:pPr>
        <w:pStyle w:val="ListParagraph"/>
        <w:numPr>
          <w:ilvl w:val="0"/>
          <w:numId w:val="3"/>
        </w:numPr>
        <w:spacing w:after="60"/>
      </w:pPr>
      <w:r>
        <w:rPr>
          <w:rFonts w:ascii="Arial" w:cs="Arial" w:eastAsia="Arial" w:hAnsi="Arial"/>
          <w:sz w:val="20"/>
          <w:szCs w:val="20"/>
        </w:rPr>
        <w:t xml:space="preserve">Monthly (1st working day of each month): Formal Progress Report including: % completion (engineering, procurement, fabrication, testing), earned value vs. planned, critical path status, upcoming hold/witness points (3-week lookahead), NCR summary, updated risk register.</w:t>
      </w:r>
    </w:p>
    <w:p>
      <w:pPr>
        <w:pStyle w:val="ListParagraph"/>
        <w:numPr>
          <w:ilvl w:val="0"/>
          <w:numId w:val="3"/>
        </w:numPr>
        <w:spacing w:after="60"/>
      </w:pPr>
      <w:r>
        <w:rPr>
          <w:rFonts w:ascii="Arial" w:cs="Arial" w:eastAsia="Arial" w:hAnsi="Arial"/>
          <w:sz w:val="20"/>
          <w:szCs w:val="20"/>
        </w:rPr>
        <w:t xml:space="preserve">4-week advance notification for all HOLD point activities (vessel hydro test, FAT, etc.).</w:t>
      </w:r>
    </w:p>
    <w:p>
      <w:pPr>
        <w:spacing w:after="160"/>
      </w:pPr>
      <w:r>
        <w:t xml:space="preserve"/>
      </w:r>
    </w:p>
    <w:p>
      <w:pPr>
        <w:pStyle w:val="Heading2"/>
        <w:spacing w:after="120" w:before="240"/>
      </w:pPr>
      <w:r>
        <w:rPr>
          <w:rFonts w:ascii="Arial" w:cs="Arial" w:eastAsia="Arial" w:hAnsi="Arial"/>
          <w:b/>
          <w:bCs/>
          <w:color w:val="2E6DA4"/>
          <w:sz w:val="24"/>
          <w:szCs w:val="24"/>
        </w:rPr>
        <w:t xml:space="preserve">8.6 Spare Parts</w:t>
      </w:r>
    </w:p>
    <w:p>
      <w:pPr>
        <w:pStyle w:val="ListParagraph"/>
        <w:numPr>
          <w:ilvl w:val="0"/>
          <w:numId w:val="3"/>
        </w:numPr>
        <w:spacing w:after="60"/>
      </w:pPr>
      <w:r>
        <w:rPr>
          <w:rFonts w:ascii="Arial" w:cs="Arial" w:eastAsia="Arial" w:hAnsi="Arial"/>
          <w:sz w:val="20"/>
          <w:szCs w:val="20"/>
        </w:rPr>
        <w:t xml:space="preserve">Commissioning Spares: Vendor to supply a recommended commissioning spares list with the offer. All commissioning spares to be shipped with the main package (separate clearly labeled box).</w:t>
      </w:r>
    </w:p>
    <w:p>
      <w:pPr>
        <w:pStyle w:val="ListParagraph"/>
        <w:numPr>
          <w:ilvl w:val="0"/>
          <w:numId w:val="3"/>
        </w:numPr>
        <w:spacing w:after="60"/>
      </w:pPr>
      <w:r>
        <w:rPr>
          <w:rFonts w:ascii="Arial" w:cs="Arial" w:eastAsia="Arial" w:hAnsi="Arial"/>
          <w:sz w:val="20"/>
          <w:szCs w:val="20"/>
        </w:rPr>
        <w:t xml:space="preserve">Two-Year Operational Spares: Vendor to supply a recommended 2-year operational spares list with the offer (itemized, with unit prices). NES/Client will review and confirm purchase at PO stage. Spares not ordered at PO stage may be ordered separately during commissioning.</w:t>
      </w:r>
    </w:p>
    <w:p>
      <w:pPr>
        <w:pStyle w:val="ListParagraph"/>
        <w:numPr>
          <w:ilvl w:val="0"/>
          <w:numId w:val="3"/>
        </w:numPr>
        <w:spacing w:after="60"/>
      </w:pPr>
      <w:r>
        <w:rPr>
          <w:rFonts w:ascii="Arial" w:cs="Arial" w:eastAsia="Arial" w:hAnsi="Arial"/>
          <w:sz w:val="20"/>
          <w:szCs w:val="20"/>
        </w:rPr>
        <w:t xml:space="preserve">Capital Spares: Vendor to identify any long-lead capital spare items (e.g., spare adsorber vessel, full sieve charge, spare actuated valve body) that may be prudent for a remote site. Pricing to be provided; Owner will decide at PO stage.</w:t>
      </w:r>
    </w:p>
    <w:p>
      <w:pPr>
        <w:pStyle w:val="ListParagraph"/>
        <w:numPr>
          <w:ilvl w:val="0"/>
          <w:numId w:val="3"/>
        </w:numPr>
        <w:spacing w:after="60"/>
      </w:pPr>
      <w:r>
        <w:rPr>
          <w:rFonts w:ascii="Arial" w:cs="Arial" w:eastAsia="Arial" w:hAnsi="Arial"/>
          <w:sz w:val="20"/>
          <w:szCs w:val="20"/>
        </w:rPr>
        <w:t xml:space="preserve">Spare Parts Availability: Vendor warrants that all parts required for normal maintenance of the GDU Package will be available for minimum 15 years after final delivery. If Vendor ceases to manufacture any part, 6 months' advance notice to Owner is required and a last-time-buy opportunity shall be offered.</w:t>
      </w:r>
    </w:p>
    <w:p>
      <w:pPr>
        <w:spacing w:after="160"/>
      </w:pPr>
      <w:r>
        <w:t xml:space="preserve"/>
      </w:r>
    </w:p>
    <w:p>
      <w:r>
        <w:br w:type="page"/>
      </w:r>
    </w:p>
    <w:p>
      <w:pPr>
        <w:pStyle w:val="Heading1"/>
        <w:pBdr>
          <w:bottom w:val="single" w:color="8B0000" w:sz="10" w:space="4"/>
        </w:pBdr>
        <w:spacing w:after="180" w:before="360"/>
      </w:pPr>
      <w:r>
        <w:rPr>
          <w:rFonts w:ascii="Arial" w:cs="Arial" w:eastAsia="Arial" w:hAnsi="Arial"/>
          <w:b/>
          <w:bCs/>
          <w:color w:val="1B3A5C"/>
          <w:sz w:val="28"/>
          <w:szCs w:val="28"/>
        </w:rPr>
        <w:t xml:space="preserve">9. COMMISSIONING, START-UP AND WARRANTY REQUIREMENTS</w:t>
      </w:r>
    </w:p>
    <w:p>
      <w:pPr>
        <w:pStyle w:val="Heading2"/>
        <w:spacing w:after="120" w:before="240"/>
      </w:pPr>
      <w:r>
        <w:rPr>
          <w:rFonts w:ascii="Arial" w:cs="Arial" w:eastAsia="Arial" w:hAnsi="Arial"/>
          <w:b/>
          <w:bCs/>
          <w:color w:val="2E6DA4"/>
          <w:sz w:val="24"/>
          <w:szCs w:val="24"/>
        </w:rPr>
        <w:t xml:space="preserve">9.1 Commissioning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Commissioning Phase</w:t>
            </w:r>
          </w:p>
        </w:tc>
        <w:tc>
          <w:tcPr>
            <w:tcW w:type="dxa" w:w="636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Vendor Obligations and Deliverables</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Pre-Commissioning Support (remote)</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be available for technical queries (email/video) during EPC installation phase at no extra cost. Estimated 30-60 engineer-hours remote support.</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On-Site Commissioning – Scope</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Minimum 5 calendar days for one (1) Lead Process / Control Engineer. Vendor representative to: supervise first gas introduction, assist with cycle parameter tuning, verify moisture analyser calibration in operating conditions, confirm PLC sequence logic performance.</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Performance Test at Site</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An optional site performance test (separate line item in bid) to be offered: 72-hour continuous operation test at design flow, verifying outlet water content ≤ guaranteed value. Measurement by calibrated online analyser (vendor's) and independent reference (NES-supplied).</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Commissioning Spares</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supply a recommended commissioning spare parts list with the offer. Spares to be shipped with the main package (separate packing). Priced separately in bid.</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Personnel Qualifications</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commissioning engineer shall be factory-qualified (training certificate), fluent in English, and familiar with the specific package controls software version.</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HSE During Commissioning</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personnel to comply with Adriatico Energia site HSE rules (site induction mandatory, PPE, PTW system). No commissioning activities without valid Permit to Work issued by Client.</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Punch List Clearance</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responsible for closing all Category A and B punch list items before declaring the unit ready for performance test. Category C items to be agreed and scheduled.</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Mechanical Completion Certificate</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Upon successful commissioning and punch list clearance, Vendor to co-sign Mechanical Completion Certificate with NES and Client. This triggers warranty period start.</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Ongoing Warranty Support</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During the warranty period (24 months post-MC), Vendor to provide technical telephone/email support within 2 business hours. On-site response for critical failures (rendering unit non-operable) within 48 hours anywhere in Italy.</w:t>
            </w:r>
          </w:p>
        </w:tc>
      </w:tr>
    </w:tbl>
    <w:p>
      <w:pPr>
        <w:spacing w:after="160"/>
      </w:pPr>
      <w:r>
        <w:t xml:space="preserve"/>
      </w:r>
    </w:p>
    <w:p>
      <w:pPr>
        <w:pStyle w:val="Heading2"/>
        <w:spacing w:after="120" w:before="240"/>
      </w:pPr>
      <w:r>
        <w:rPr>
          <w:rFonts w:ascii="Arial" w:cs="Arial" w:eastAsia="Arial" w:hAnsi="Arial"/>
          <w:b/>
          <w:bCs/>
          <w:color w:val="2E6DA4"/>
          <w:sz w:val="24"/>
          <w:szCs w:val="24"/>
        </w:rPr>
        <w:t xml:space="preserve">9.2 First Gas Introduction Procedure</w:t>
      </w:r>
    </w:p>
    <w:p>
      <w:pPr>
        <w:spacing w:after="120"/>
      </w:pPr>
      <w:r>
        <w:rPr>
          <w:rFonts w:ascii="Arial" w:cs="Arial" w:eastAsia="Arial" w:hAnsi="Arial"/>
          <w:sz w:val="20"/>
          <w:szCs w:val="20"/>
        </w:rPr>
        <w:t xml:space="preserve">Vendor shall prepare a First Gas Introduction (FGI) procedure document describing the safe step-by-step procedure for introducing process gas into the GDU Package for the first time. This procedure shall address:</w:t>
      </w:r>
    </w:p>
    <w:p>
      <w:pPr>
        <w:pStyle w:val="ListParagraph"/>
        <w:numPr>
          <w:ilvl w:val="0"/>
          <w:numId w:val="3"/>
        </w:numPr>
        <w:spacing w:after="60"/>
      </w:pPr>
      <w:r>
        <w:rPr>
          <w:rFonts w:ascii="Arial" w:cs="Arial" w:eastAsia="Arial" w:hAnsi="Arial"/>
          <w:sz w:val="20"/>
          <w:szCs w:val="20"/>
        </w:rPr>
        <w:t xml:space="preserve">Pre-FGI checklist (all installation checks, instrument calibrations, PLC testing complete)</w:t>
      </w:r>
    </w:p>
    <w:p>
      <w:pPr>
        <w:pStyle w:val="ListParagraph"/>
        <w:numPr>
          <w:ilvl w:val="0"/>
          <w:numId w:val="3"/>
        </w:numPr>
        <w:spacing w:after="60"/>
      </w:pPr>
      <w:r>
        <w:rPr>
          <w:rFonts w:ascii="Arial" w:cs="Arial" w:eastAsia="Arial" w:hAnsi="Arial"/>
          <w:sz w:val="20"/>
          <w:szCs w:val="20"/>
        </w:rPr>
        <w:t xml:space="preserve">Initial nitrogen pressure test and leak check (prior to gas introduction)</w:t>
      </w:r>
    </w:p>
    <w:p>
      <w:pPr>
        <w:pStyle w:val="ListParagraph"/>
        <w:numPr>
          <w:ilvl w:val="0"/>
          <w:numId w:val="3"/>
        </w:numPr>
        <w:spacing w:after="60"/>
      </w:pPr>
      <w:r>
        <w:rPr>
          <w:rFonts w:ascii="Arial" w:cs="Arial" w:eastAsia="Arial" w:hAnsi="Arial"/>
          <w:sz w:val="20"/>
          <w:szCs w:val="20"/>
        </w:rPr>
        <w:t xml:space="preserve">Gas introduction rate limits (maximum 0.5 barg/min pressure ramp-up)</w:t>
      </w:r>
    </w:p>
    <w:p>
      <w:pPr>
        <w:pStyle w:val="ListParagraph"/>
        <w:numPr>
          <w:ilvl w:val="0"/>
          <w:numId w:val="3"/>
        </w:numPr>
        <w:spacing w:after="60"/>
      </w:pPr>
      <w:r>
        <w:rPr>
          <w:rFonts w:ascii="Arial" w:cs="Arial" w:eastAsia="Arial" w:hAnsi="Arial"/>
          <w:sz w:val="20"/>
          <w:szCs w:val="20"/>
        </w:rPr>
        <w:t xml:space="preserve">Activation of heat tracing and insulation check</w:t>
      </w:r>
    </w:p>
    <w:p>
      <w:pPr>
        <w:pStyle w:val="ListParagraph"/>
        <w:numPr>
          <w:ilvl w:val="0"/>
          <w:numId w:val="3"/>
        </w:numPr>
        <w:spacing w:after="60"/>
      </w:pPr>
      <w:r>
        <w:rPr>
          <w:rFonts w:ascii="Arial" w:cs="Arial" w:eastAsia="Arial" w:hAnsi="Arial"/>
          <w:sz w:val="20"/>
          <w:szCs w:val="20"/>
        </w:rPr>
        <w:t xml:space="preserve">First adsorption cycle monitoring requirements (continuous outlet moisture monitoring, manual bed temperature log every 15 min for first 2 cycles)</w:t>
      </w:r>
    </w:p>
    <w:p>
      <w:pPr>
        <w:pStyle w:val="ListParagraph"/>
        <w:numPr>
          <w:ilvl w:val="0"/>
          <w:numId w:val="3"/>
        </w:numPr>
        <w:spacing w:after="60"/>
      </w:pPr>
      <w:r>
        <w:rPr>
          <w:rFonts w:ascii="Arial" w:cs="Arial" w:eastAsia="Arial" w:hAnsi="Arial"/>
          <w:sz w:val="20"/>
          <w:szCs w:val="20"/>
        </w:rPr>
        <w:t xml:space="preserve">Actions required if outlet moisture specification exceeded during initial cycles</w:t>
      </w:r>
    </w:p>
    <w:p>
      <w:pPr>
        <w:pStyle w:val="ListParagraph"/>
        <w:numPr>
          <w:ilvl w:val="0"/>
          <w:numId w:val="3"/>
        </w:numPr>
        <w:spacing w:after="60"/>
      </w:pPr>
      <w:r>
        <w:rPr>
          <w:rFonts w:ascii="Arial" w:cs="Arial" w:eastAsia="Arial" w:hAnsi="Arial"/>
          <w:sz w:val="20"/>
          <w:szCs w:val="20"/>
        </w:rPr>
        <w:t xml:space="preserve">Handover criteria from commissioning to normal operation</w:t>
      </w:r>
    </w:p>
    <w:p>
      <w:pPr>
        <w:spacing w:after="160"/>
      </w:pPr>
      <w:r>
        <w:t xml:space="preserve"/>
      </w:r>
    </w:p>
    <w:p>
      <w:pPr>
        <w:pStyle w:val="Heading2"/>
        <w:spacing w:after="120" w:before="240"/>
      </w:pPr>
      <w:r>
        <w:rPr>
          <w:rFonts w:ascii="Arial" w:cs="Arial" w:eastAsia="Arial" w:hAnsi="Arial"/>
          <w:b/>
          <w:bCs/>
          <w:color w:val="2E6DA4"/>
          <w:sz w:val="24"/>
          <w:szCs w:val="24"/>
        </w:rPr>
        <w:t xml:space="preserve">9.3 Training Requirements</w:t>
      </w:r>
    </w:p>
    <w:p>
      <w:pPr>
        <w:spacing w:after="120"/>
      </w:pPr>
      <w:r>
        <w:rPr>
          <w:rFonts w:ascii="Arial" w:cs="Arial" w:eastAsia="Arial" w:hAnsi="Arial"/>
          <w:sz w:val="20"/>
          <w:szCs w:val="20"/>
        </w:rPr>
        <w:t xml:space="preserve">Vendor to provide a minimum 2-day training program for Client's operations and maintenance personnel. Training to be conducted in English (Italian translation acceptable for O&amp;M manual reference). Topics shall include at minimum:</w:t>
      </w:r>
    </w:p>
    <w:p>
      <w:pPr>
        <w:pStyle w:val="ListParagraph"/>
        <w:numPr>
          <w:ilvl w:val="0"/>
          <w:numId w:val="3"/>
        </w:numPr>
        <w:spacing w:after="60"/>
      </w:pPr>
      <w:r>
        <w:rPr>
          <w:rFonts w:ascii="Arial" w:cs="Arial" w:eastAsia="Arial" w:hAnsi="Arial"/>
          <w:sz w:val="20"/>
          <w:szCs w:val="20"/>
        </w:rPr>
        <w:t xml:space="preserve">Process overview and GDU operating principles (molecular sieve adsorption/regeneration, why 3A, cycle basis)</w:t>
      </w:r>
    </w:p>
    <w:p>
      <w:pPr>
        <w:pStyle w:val="ListParagraph"/>
        <w:numPr>
          <w:ilvl w:val="0"/>
          <w:numId w:val="3"/>
        </w:numPr>
        <w:spacing w:after="60"/>
      </w:pPr>
      <w:r>
        <w:rPr>
          <w:rFonts w:ascii="Arial" w:cs="Arial" w:eastAsia="Arial" w:hAnsi="Arial"/>
          <w:sz w:val="20"/>
          <w:szCs w:val="20"/>
        </w:rPr>
        <w:t xml:space="preserve">Normal operations: start-up, normal operation monitoring, shutdown procedures</w:t>
      </w:r>
    </w:p>
    <w:p>
      <w:pPr>
        <w:pStyle w:val="ListParagraph"/>
        <w:numPr>
          <w:ilvl w:val="0"/>
          <w:numId w:val="3"/>
        </w:numPr>
        <w:spacing w:after="60"/>
      </w:pPr>
      <w:r>
        <w:rPr>
          <w:rFonts w:ascii="Arial" w:cs="Arial" w:eastAsia="Arial" w:hAnsi="Arial"/>
          <w:sz w:val="20"/>
          <w:szCs w:val="20"/>
        </w:rPr>
        <w:t xml:space="preserve">Abnormal operations: high moisture alarm response, regeneration heater trip, vessel switching failure</w:t>
      </w:r>
    </w:p>
    <w:p>
      <w:pPr>
        <w:pStyle w:val="ListParagraph"/>
        <w:numPr>
          <w:ilvl w:val="0"/>
          <w:numId w:val="3"/>
        </w:numPr>
        <w:spacing w:after="60"/>
      </w:pPr>
      <w:r>
        <w:rPr>
          <w:rFonts w:ascii="Arial" w:cs="Arial" w:eastAsia="Arial" w:hAnsi="Arial"/>
          <w:sz w:val="20"/>
          <w:szCs w:val="20"/>
        </w:rPr>
        <w:t xml:space="preserve">Emergency procedures: ESD activation, fire response, gas release response</w:t>
      </w:r>
    </w:p>
    <w:p>
      <w:pPr>
        <w:pStyle w:val="ListParagraph"/>
        <w:numPr>
          <w:ilvl w:val="0"/>
          <w:numId w:val="3"/>
        </w:numPr>
        <w:spacing w:after="60"/>
      </w:pPr>
      <w:r>
        <w:rPr>
          <w:rFonts w:ascii="Arial" w:cs="Arial" w:eastAsia="Arial" w:hAnsi="Arial"/>
          <w:sz w:val="20"/>
          <w:szCs w:val="20"/>
        </w:rPr>
        <w:t xml:space="preserve">Maintenance: molecular sieve inspection and replacement procedure, filter element replacement, valve packing replacement, instrument calibration intervals</w:t>
      </w:r>
    </w:p>
    <w:p>
      <w:pPr>
        <w:pStyle w:val="ListParagraph"/>
        <w:numPr>
          <w:ilvl w:val="0"/>
          <w:numId w:val="3"/>
        </w:numPr>
        <w:spacing w:after="60"/>
      </w:pPr>
      <w:r>
        <w:rPr>
          <w:rFonts w:ascii="Arial" w:cs="Arial" w:eastAsia="Arial" w:hAnsi="Arial"/>
          <w:sz w:val="20"/>
          <w:szCs w:val="20"/>
        </w:rPr>
        <w:t xml:space="preserve">PLC and HMI operation: setpoint adjustments, alarm acknowledgement, historical data access, manual mode operation</w:t>
      </w:r>
    </w:p>
    <w:p>
      <w:pPr>
        <w:pStyle w:val="ListParagraph"/>
        <w:numPr>
          <w:ilvl w:val="0"/>
          <w:numId w:val="3"/>
        </w:numPr>
        <w:spacing w:after="60"/>
      </w:pPr>
      <w:r>
        <w:rPr>
          <w:rFonts w:ascii="Arial" w:cs="Arial" w:eastAsia="Arial" w:hAnsi="Arial"/>
          <w:sz w:val="20"/>
          <w:szCs w:val="20"/>
        </w:rPr>
        <w:t xml:space="preserve">Preservation and winterization procedures</w:t>
      </w:r>
    </w:p>
    <w:p>
      <w:pPr>
        <w:spacing w:after="160"/>
      </w:pPr>
      <w:r>
        <w:t xml:space="preserve"/>
      </w:r>
    </w:p>
    <w:p>
      <w:pPr>
        <w:pStyle w:val="Heading2"/>
        <w:spacing w:after="120" w:before="240"/>
      </w:pPr>
      <w:r>
        <w:rPr>
          <w:rFonts w:ascii="Arial" w:cs="Arial" w:eastAsia="Arial" w:hAnsi="Arial"/>
          <w:b/>
          <w:bCs/>
          <w:color w:val="2E6DA4"/>
          <w:sz w:val="24"/>
          <w:szCs w:val="24"/>
        </w:rPr>
        <w:t xml:space="preserve">9.4 Warranty Provisions</w:t>
      </w:r>
    </w:p>
    <w:p>
      <w:pPr>
        <w:pStyle w:val="ListParagraph"/>
        <w:numPr>
          <w:ilvl w:val="0"/>
          <w:numId w:val="3"/>
        </w:numPr>
        <w:spacing w:after="60"/>
      </w:pPr>
      <w:r>
        <w:rPr>
          <w:rFonts w:ascii="Arial" w:cs="Arial" w:eastAsia="Arial" w:hAnsi="Arial"/>
          <w:sz w:val="20"/>
          <w:szCs w:val="20"/>
        </w:rPr>
        <w:t xml:space="preserve">Warranty Period: 24 months from Mechanical Completion Certificate date, or 30 months from shipment date, whichever is earlier.</w:t>
      </w:r>
    </w:p>
    <w:p>
      <w:pPr>
        <w:pStyle w:val="ListParagraph"/>
        <w:numPr>
          <w:ilvl w:val="0"/>
          <w:numId w:val="3"/>
        </w:numPr>
        <w:spacing w:after="60"/>
      </w:pPr>
      <w:r>
        <w:rPr>
          <w:rFonts w:ascii="Arial" w:cs="Arial" w:eastAsia="Arial" w:hAnsi="Arial"/>
          <w:sz w:val="20"/>
          <w:szCs w:val="20"/>
        </w:rPr>
        <w:t xml:space="preserve">Scope of Warranty: Vendor warrants that the GDU Package is free from defects in materials, workmanship, and design for the warranty period. Process performance guarantees (Section 5) are active throughout the warranty period.</w:t>
      </w:r>
    </w:p>
    <w:p>
      <w:pPr>
        <w:pStyle w:val="ListParagraph"/>
        <w:numPr>
          <w:ilvl w:val="0"/>
          <w:numId w:val="3"/>
        </w:numPr>
        <w:spacing w:after="60"/>
      </w:pPr>
      <w:r>
        <w:rPr>
          <w:rFonts w:ascii="Arial" w:cs="Arial" w:eastAsia="Arial" w:hAnsi="Arial"/>
          <w:sz w:val="20"/>
          <w:szCs w:val="20"/>
        </w:rPr>
        <w:t xml:space="preserve">Warranty Response: For non-safety-critical defects: Vendor to respond with a repair plan within 5 business days. For safety-critical defects (leak, structural failure, SIS malfunction): Vendor to respond within 24 hours and be on-site within 48 hours.</w:t>
      </w:r>
    </w:p>
    <w:p>
      <w:pPr>
        <w:pStyle w:val="ListParagraph"/>
        <w:numPr>
          <w:ilvl w:val="0"/>
          <w:numId w:val="3"/>
        </w:numPr>
        <w:spacing w:after="60"/>
      </w:pPr>
      <w:r>
        <w:rPr>
          <w:rFonts w:ascii="Arial" w:cs="Arial" w:eastAsia="Arial" w:hAnsi="Arial"/>
          <w:sz w:val="20"/>
          <w:szCs w:val="20"/>
        </w:rPr>
        <w:t xml:space="preserve">Warranty Repair: Vendor to carry out all warranty repairs at Vendor's cost, including all labour, materials, travel, and any associated dismantling/re-installation. If Vendor cannot repair within a reasonable time, Owner may engage a third party at Vendor's cost.</w:t>
      </w:r>
    </w:p>
    <w:p>
      <w:pPr>
        <w:pStyle w:val="ListParagraph"/>
        <w:numPr>
          <w:ilvl w:val="0"/>
          <w:numId w:val="3"/>
        </w:numPr>
        <w:spacing w:after="60"/>
      </w:pPr>
      <w:r>
        <w:rPr>
          <w:rFonts w:ascii="Arial" w:cs="Arial" w:eastAsia="Arial" w:hAnsi="Arial"/>
          <w:sz w:val="20"/>
          <w:szCs w:val="20"/>
        </w:rPr>
        <w:t xml:space="preserve">Extended Warranty for Sieve: If the molecular sieve does not achieve guaranteed life (3 years) under documented correct operating conditions, Vendor to supply and install replacement sieve at Vendor's cost.</w:t>
      </w:r>
    </w:p>
    <w:p>
      <w:pPr>
        <w:spacing w:after="160"/>
      </w:pPr>
      <w:r>
        <w:t xml:space="preserve"/>
      </w:r>
    </w:p>
    <w:p>
      <w:r>
        <w:br w:type="page"/>
      </w:r>
    </w:p>
    <w:p>
      <w:pPr>
        <w:pStyle w:val="Heading1"/>
        <w:pBdr>
          <w:bottom w:val="single" w:color="8B0000" w:sz="10" w:space="4"/>
        </w:pBdr>
        <w:spacing w:after="180" w:before="360"/>
      </w:pPr>
      <w:r>
        <w:rPr>
          <w:rFonts w:ascii="Arial" w:cs="Arial" w:eastAsia="Arial" w:hAnsi="Arial"/>
          <w:b/>
          <w:bCs/>
          <w:color w:val="1B3A5C"/>
          <w:sz w:val="28"/>
          <w:szCs w:val="28"/>
        </w:rPr>
        <w:t xml:space="preserve">10. ADDITIONAL OWNER-SPECIFIC DOCUMENTATION REQUIREMENTS</w:t>
      </w:r>
    </w:p>
    <w:p>
      <w:pPr>
        <w:pStyle w:val="Heading2"/>
        <w:spacing w:after="120" w:before="240"/>
      </w:pPr>
      <w:r>
        <w:rPr>
          <w:rFonts w:ascii="Arial" w:cs="Arial" w:eastAsia="Arial" w:hAnsi="Arial"/>
          <w:b/>
          <w:bCs/>
          <w:color w:val="2E6DA4"/>
          <w:sz w:val="24"/>
          <w:szCs w:val="24"/>
        </w:rPr>
        <w:t xml:space="preserve">10.1 Operations and Maintenance Manual</w:t>
      </w:r>
    </w:p>
    <w:p>
      <w:pPr>
        <w:spacing w:after="120"/>
      </w:pPr>
      <w:r>
        <w:rPr>
          <w:rFonts w:ascii="Arial" w:cs="Arial" w:eastAsia="Arial" w:hAnsi="Arial"/>
          <w:sz w:val="20"/>
          <w:szCs w:val="20"/>
        </w:rPr>
        <w:t xml:space="preserve">The O&amp;M Manual is a critical deliverable for the Owner. It shall be structured as follows and submitted as a searchable PDF and editable MS Word file:</w:t>
      </w:r>
    </w:p>
    <w:p>
      <w:pPr>
        <w:pStyle w:val="ListParagraph"/>
        <w:numPr>
          <w:ilvl w:val="0"/>
          <w:numId w:val="3"/>
        </w:numPr>
        <w:spacing w:after="60"/>
      </w:pPr>
      <w:r>
        <w:rPr>
          <w:rFonts w:ascii="Arial" w:cs="Arial" w:eastAsia="Arial" w:hAnsi="Arial"/>
          <w:sz w:val="20"/>
          <w:szCs w:val="20"/>
        </w:rPr>
        <w:t xml:space="preserve">Volume 1 – Process Description and Operating Philosophy (PFD, heat &amp; material balance, process descriptions)</w:t>
      </w:r>
    </w:p>
    <w:p>
      <w:pPr>
        <w:pStyle w:val="ListParagraph"/>
        <w:numPr>
          <w:ilvl w:val="0"/>
          <w:numId w:val="3"/>
        </w:numPr>
        <w:spacing w:after="60"/>
      </w:pPr>
      <w:r>
        <w:rPr>
          <w:rFonts w:ascii="Arial" w:cs="Arial" w:eastAsia="Arial" w:hAnsi="Arial"/>
          <w:sz w:val="20"/>
          <w:szCs w:val="20"/>
        </w:rPr>
        <w:t xml:space="preserve">Volume 2 – Operating Procedures (normal start-up, normal operation, normal shutdown, emergency shutdown, emergency procedures, preservation)</w:t>
      </w:r>
    </w:p>
    <w:p>
      <w:pPr>
        <w:pStyle w:val="ListParagraph"/>
        <w:numPr>
          <w:ilvl w:val="0"/>
          <w:numId w:val="3"/>
        </w:numPr>
        <w:spacing w:after="60"/>
      </w:pPr>
      <w:r>
        <w:rPr>
          <w:rFonts w:ascii="Arial" w:cs="Arial" w:eastAsia="Arial" w:hAnsi="Arial"/>
          <w:sz w:val="20"/>
          <w:szCs w:val="20"/>
        </w:rPr>
        <w:t xml:space="preserve">Volume 3 – Maintenance Manual (preventive maintenance schedule, corrective maintenance procedures, spare parts list with part numbers and storage requirements)</w:t>
      </w:r>
    </w:p>
    <w:p>
      <w:pPr>
        <w:pStyle w:val="ListParagraph"/>
        <w:numPr>
          <w:ilvl w:val="0"/>
          <w:numId w:val="3"/>
        </w:numPr>
        <w:spacing w:after="60"/>
      </w:pPr>
      <w:r>
        <w:rPr>
          <w:rFonts w:ascii="Arial" w:cs="Arial" w:eastAsia="Arial" w:hAnsi="Arial"/>
          <w:sz w:val="20"/>
          <w:szCs w:val="20"/>
        </w:rPr>
        <w:t xml:space="preserve">Volume 4 – Instrumentation and Control Manual (PLC and HMI user guide, I/O list, alarm list, loop diagrams)</w:t>
      </w:r>
    </w:p>
    <w:p>
      <w:pPr>
        <w:pStyle w:val="ListParagraph"/>
        <w:numPr>
          <w:ilvl w:val="0"/>
          <w:numId w:val="3"/>
        </w:numPr>
        <w:spacing w:after="60"/>
      </w:pPr>
      <w:r>
        <w:rPr>
          <w:rFonts w:ascii="Arial" w:cs="Arial" w:eastAsia="Arial" w:hAnsi="Arial"/>
          <w:sz w:val="20"/>
          <w:szCs w:val="20"/>
        </w:rPr>
        <w:t xml:space="preserve">Volume 5 – Equipment Data (copies of all data sheets, GA drawings, design calculations, certificates)</w:t>
      </w:r>
    </w:p>
    <w:p>
      <w:pPr>
        <w:pStyle w:val="ListParagraph"/>
        <w:numPr>
          <w:ilvl w:val="0"/>
          <w:numId w:val="3"/>
        </w:numPr>
        <w:spacing w:after="60"/>
      </w:pPr>
      <w:r>
        <w:rPr>
          <w:rFonts w:ascii="Arial" w:cs="Arial" w:eastAsia="Arial" w:hAnsi="Arial"/>
          <w:sz w:val="20"/>
          <w:szCs w:val="20"/>
        </w:rPr>
        <w:t xml:space="preserve">Volume 6 – Vendor Sub-Documentation (sub-vendor manuals, certificates, and data sheets)</w:t>
      </w:r>
    </w:p>
    <w:p>
      <w:pPr>
        <w:spacing w:after="160"/>
      </w:pPr>
      <w:r>
        <w:t xml:space="preserve"/>
      </w:r>
    </w:p>
    <w:p>
      <w:pPr>
        <w:pStyle w:val="Heading2"/>
        <w:spacing w:after="120" w:before="240"/>
      </w:pPr>
      <w:r>
        <w:rPr>
          <w:rFonts w:ascii="Arial" w:cs="Arial" w:eastAsia="Arial" w:hAnsi="Arial"/>
          <w:b/>
          <w:bCs/>
          <w:color w:val="2E6DA4"/>
          <w:sz w:val="24"/>
          <w:szCs w:val="24"/>
        </w:rPr>
        <w:t xml:space="preserve">10.2 Digital Twin Data / 3D Model</w:t>
      </w:r>
    </w:p>
    <w:p>
      <w:pPr>
        <w:spacing w:after="120"/>
      </w:pPr>
      <w:r>
        <w:rPr>
          <w:rFonts w:ascii="Arial" w:cs="Arial" w:eastAsia="Arial" w:hAnsi="Arial"/>
          <w:sz w:val="20"/>
          <w:szCs w:val="20"/>
        </w:rPr>
        <w:t xml:space="preserve">If Vendor uses 3D CAD software for the package design, NES requests (not mandatory for this RFQ) delivery of the following digital deliverables in addition to 2D drawings:</w:t>
      </w:r>
    </w:p>
    <w:p>
      <w:pPr>
        <w:pStyle w:val="ListParagraph"/>
        <w:numPr>
          <w:ilvl w:val="0"/>
          <w:numId w:val="3"/>
        </w:numPr>
        <w:spacing w:after="60"/>
      </w:pPr>
      <w:r>
        <w:rPr>
          <w:rFonts w:ascii="Arial" w:cs="Arial" w:eastAsia="Arial" w:hAnsi="Arial"/>
          <w:sz w:val="20"/>
          <w:szCs w:val="20"/>
        </w:rPr>
        <w:t xml:space="preserve">3D model in STEP (.stp) or Intergraph SmartPlant / AVEVA E3D format (to be confirmed at KOM)</w:t>
      </w:r>
    </w:p>
    <w:p>
      <w:pPr>
        <w:pStyle w:val="ListParagraph"/>
        <w:numPr>
          <w:ilvl w:val="0"/>
          <w:numId w:val="3"/>
        </w:numPr>
        <w:spacing w:after="60"/>
      </w:pPr>
      <w:r>
        <w:rPr>
          <w:rFonts w:ascii="Arial" w:cs="Arial" w:eastAsia="Arial" w:hAnsi="Arial"/>
          <w:sz w:val="20"/>
          <w:szCs w:val="20"/>
        </w:rPr>
        <w:t xml:space="preserve">Equipment nozzle coordinates file (Excel) referenced to skid datum</w:t>
      </w:r>
    </w:p>
    <w:p>
      <w:pPr>
        <w:pStyle w:val="ListParagraph"/>
        <w:numPr>
          <w:ilvl w:val="0"/>
          <w:numId w:val="3"/>
        </w:numPr>
        <w:spacing w:after="60"/>
      </w:pPr>
      <w:r>
        <w:rPr>
          <w:rFonts w:ascii="Arial" w:cs="Arial" w:eastAsia="Arial" w:hAnsi="Arial"/>
          <w:sz w:val="20"/>
          <w:szCs w:val="20"/>
        </w:rPr>
        <w:t xml:space="preserve">Laser scan (if available) post-FAT to confirm as-built geometry</w:t>
      </w:r>
    </w:p>
    <w:p>
      <w:pPr>
        <w:pBdr>
          <w:left w:val="single" w:color="E6A817" w:sz="12" w:space="6"/>
        </w:pBdr>
        <w:shd w:fill="FFF8E7" w:val="clear"/>
        <w:spacing w:after="120"/>
        <w:ind w:left="360"/>
      </w:pPr>
      <w:r>
        <w:rPr>
          <w:rFonts w:ascii="Arial" w:cs="Arial" w:eastAsia="Arial" w:hAnsi="Arial"/>
          <w:i/>
          <w:iCs/>
          <w:color w:val="7B4F00"/>
          <w:sz w:val="18"/>
          <w:szCs w:val="18"/>
        </w:rPr>
        <w:t xml:space="preserve">NOTE: Provision of 3D model deliverables will be viewed favorably during technical evaluation. Vendor to indicate availability and cost (if any) in offer.</w:t>
      </w:r>
    </w:p>
    <w:p>
      <w:pPr>
        <w:spacing w:after="160"/>
      </w:pPr>
      <w:r>
        <w:t xml:space="preserve"/>
      </w:r>
    </w:p>
    <w:p>
      <w:pPr>
        <w:pStyle w:val="Heading2"/>
        <w:spacing w:after="120" w:before="240"/>
      </w:pPr>
      <w:r>
        <w:rPr>
          <w:rFonts w:ascii="Arial" w:cs="Arial" w:eastAsia="Arial" w:hAnsi="Arial"/>
          <w:b/>
          <w:bCs/>
          <w:color w:val="2E6DA4"/>
          <w:sz w:val="24"/>
          <w:szCs w:val="24"/>
        </w:rPr>
        <w:t xml:space="preserve">10.3 QR Code Labeling</w:t>
      </w:r>
    </w:p>
    <w:p>
      <w:pPr>
        <w:spacing w:after="120"/>
      </w:pPr>
      <w:r>
        <w:rPr>
          <w:rFonts w:ascii="Arial" w:cs="Arial" w:eastAsia="Arial" w:hAnsi="Arial"/>
          <w:sz w:val="20"/>
          <w:szCs w:val="20"/>
        </w:rPr>
        <w:t xml:space="preserve">Owner requires all major equipment items (adsorbers, heater, cooler, KO drum, PLC panel, each actuated valve) to have a QR code label affixed (stainless steel engraved or polyester laminate, IP65) linking to the vendor's digital documentation library for that specific tagged item. Vendor to propose format and implementation; cost to be included in base offer.</w:t>
      </w:r>
    </w:p>
    <w:p>
      <w:pPr>
        <w:spacing w:after="160"/>
      </w:pPr>
      <w:r>
        <w:t xml:space="preserve"/>
      </w:r>
    </w:p>
    <w:p>
      <w:r>
        <w:br w:type="page"/>
      </w:r>
    </w:p>
    <w:p>
      <w:pPr>
        <w:pStyle w:val="Heading1"/>
        <w:pBdr>
          <w:bottom w:val="single" w:color="8B0000" w:sz="10" w:space="4"/>
        </w:pBdr>
        <w:spacing w:after="180" w:before="360"/>
      </w:pPr>
      <w:r>
        <w:rPr>
          <w:rFonts w:ascii="Arial" w:cs="Arial" w:eastAsia="Arial" w:hAnsi="Arial"/>
          <w:b/>
          <w:bCs/>
          <w:color w:val="1B3A5C"/>
          <w:sz w:val="28"/>
          <w:szCs w:val="28"/>
        </w:rPr>
        <w:t xml:space="preserve">11. PRESERVATION, PACKAGING AND SHIPPING</w:t>
      </w:r>
    </w:p>
    <w:p>
      <w:pPr>
        <w:pStyle w:val="Heading2"/>
        <w:spacing w:after="120" w:before="240"/>
      </w:pPr>
      <w:r>
        <w:rPr>
          <w:rFonts w:ascii="Arial" w:cs="Arial" w:eastAsia="Arial" w:hAnsi="Arial"/>
          <w:b/>
          <w:bCs/>
          <w:color w:val="2E6DA4"/>
          <w:sz w:val="24"/>
          <w:szCs w:val="24"/>
        </w:rPr>
        <w:t xml:space="preserve">11.1 Preservation and Shipping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Preservation / Shipping Item</w:t>
            </w:r>
          </w:p>
        </w:tc>
        <w:tc>
          <w:tcPr>
            <w:tcW w:type="dxa" w:w="636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Preservation Class</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Short-term (&lt; 3 months transit + site storage) unless Client requests long-term (&gt; 3 months storage at site). Vendor to clarify if site storage beyond 3 months is anticipated.</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Vessels – Internal</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Dry nitrogen purge to positive pressure (0.05–0.10 barg) with temporary blind flanges. Moisture indicator (silica gel caps) on all vents. Molecular sieve to be loaded and preserved per sieve manufacturer recommendations.</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Piping and Instruments</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open nozzles, flanged ends, and instrument connections to be blinded with polyethylene blind flanges (non-metallic) for transit. Stainless steel plug or cap for NPT/SW connections. No painted steel caps to be used.</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Electrical Equipment</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PLC panel, HMI, junction boxes to be wrapped in heat-shrink antistatic film with desiccant sachets. Heating elements to be activated during storage if power available; if not, desiccant sachets minimum.</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Rotating Equipment</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Not applicable for static adsorber skid. If any circulating pump (future), rotate shaft regularly per vendor procedure.</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Export Packing</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equipment to be sea-freight packed (seaworthy crating or ISO container) even if road transport is used, to ensure durability and insurance compliance. All crates to be ISPM 15 heat-treated wood certified. Fumigation certificate if required by Italian customs.</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Marking &amp; Labelling</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Each crate and loose item to be marked with: Project number (NES-AGP-2026-007), PO number, Item tag number, Gross/net weight, COG, handling instructions (this side up, fragile, keep dry), Destination address (Ravenna site).</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Shipping Documents</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Commercial Invoice, Packing List, Bill of Lading (or CMR for road), EUR.1 or Certificate of Origin, Inspection Release Certificate (signed by NES Inspector post-FAT), Customs HS codes. All in English + Italian translation for customs.</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Weight and Dimensions</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provide final shipping weight and dimensions (per crate/lift) minimum 8 weeks before shipment. NES to arrange transport logistics; vendor to cooperate and provide all relevant rigging/lifting data.</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Insurance</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responsible for All-Risk marine cargo insurance (Incoterms DAP – risk transferred at destination). Minimum insured value: 110% of contract value. NES to be named as co-insured.</w:t>
            </w:r>
          </w:p>
        </w:tc>
      </w:tr>
      <w:tr>
        <w:tc>
          <w:tcPr>
            <w:tcW w:type="dxa" w:w="3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Arrival Inspection</w:t>
            </w:r>
          </w:p>
        </w:tc>
        <w:tc>
          <w:tcPr>
            <w:tcW w:type="dxa" w:w="63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On arrival at Ravenna site, NES/Client representative and Vendor (video link acceptable) to conduct visual inspection. Any damage during transport to be documented with photos and formal non-conformance report (NCR) raised within 24 hours.</w:t>
            </w:r>
          </w:p>
        </w:tc>
      </w:tr>
    </w:tbl>
    <w:p>
      <w:pPr>
        <w:spacing w:after="160"/>
      </w:pPr>
      <w:r>
        <w:t xml:space="preserve"/>
      </w:r>
    </w:p>
    <w:p>
      <w:r>
        <w:br w:type="page"/>
      </w:r>
    </w:p>
    <w:p>
      <w:pPr>
        <w:pStyle w:val="Heading1"/>
        <w:pBdr>
          <w:bottom w:val="single" w:color="8B0000" w:sz="10" w:space="4"/>
        </w:pBdr>
        <w:spacing w:after="180" w:before="360"/>
      </w:pPr>
      <w:r>
        <w:rPr>
          <w:rFonts w:ascii="Arial" w:cs="Arial" w:eastAsia="Arial" w:hAnsi="Arial"/>
          <w:b/>
          <w:bCs/>
          <w:color w:val="1B3A5C"/>
          <w:sz w:val="28"/>
          <w:szCs w:val="28"/>
        </w:rPr>
        <w:t xml:space="preserve">12. DEVIATIONS REGISTER AND ACCEPTANCE PROCESS</w:t>
      </w:r>
    </w:p>
    <w:p>
      <w:pPr>
        <w:pStyle w:val="Heading2"/>
        <w:spacing w:after="120" w:before="240"/>
      </w:pPr>
      <w:r>
        <w:rPr>
          <w:rFonts w:ascii="Arial" w:cs="Arial" w:eastAsia="Arial" w:hAnsi="Arial"/>
          <w:b/>
          <w:bCs/>
          <w:color w:val="2E6DA4"/>
          <w:sz w:val="24"/>
          <w:szCs w:val="24"/>
        </w:rPr>
        <w:t xml:space="preserve">12.1 Deviations Policy</w:t>
      </w:r>
    </w:p>
    <w:p>
      <w:pPr>
        <w:spacing w:after="120"/>
      </w:pPr>
      <w:r>
        <w:rPr>
          <w:rFonts w:ascii="Arial" w:cs="Arial" w:eastAsia="Arial" w:hAnsi="Arial"/>
          <w:sz w:val="20"/>
          <w:szCs w:val="20"/>
        </w:rPr>
        <w:t xml:space="preserve">Vendor shall list ALL technical and commercial deviations from this PSR and the companion RFQ document in a Deviations Register submitted as part of the offer. The format shall be: (1) Document Ref &amp; Clause No.; (2) Stated Requirement; (3) Vendor's Proposed Alternative; (4) Justification for Deviation; (5) Impact on Performance/Cost/Schedule.</w:t>
      </w:r>
    </w:p>
    <w:p>
      <w:pPr>
        <w:pBdr>
          <w:left w:val="single" w:color="8B0000" w:sz="12" w:space="6"/>
        </w:pBdr>
        <w:spacing w:after="120"/>
        <w:ind w:left="360"/>
      </w:pPr>
      <w:r>
        <w:rPr>
          <w:rFonts w:ascii="Arial" w:cs="Arial" w:eastAsia="Arial" w:hAnsi="Arial"/>
          <w:b/>
          <w:bCs/>
          <w:color w:val="8B0000"/>
          <w:sz w:val="18"/>
          <w:szCs w:val="18"/>
        </w:rPr>
        <w:t xml:space="preserve">⚠  MANDATORY: Bids submitted without a completed Deviations Register will be considered as fully compliant with all requirements and Vendor will not be permitted to raise deviations after PO award.</w:t>
      </w:r>
    </w:p>
    <w:p>
      <w:pPr>
        <w:spacing w:after="120"/>
      </w:pPr>
      <w:r>
        <w:rPr>
          <w:rFonts w:ascii="Arial" w:cs="Arial" w:eastAsia="Arial" w:hAnsi="Arial"/>
          <w:sz w:val="20"/>
          <w:szCs w:val="20"/>
        </w:rPr>
        <w:t xml:space="preserve">NES will review all deviations and either: (a) Accept the deviation (confirmed in writing); (b) Reject the deviation (Vendor must comply with original requirement); or (c) Request further technical information. Only deviations accepted in writing by NES before PO award are binding.</w:t>
      </w:r>
    </w:p>
    <w:p>
      <w:pPr>
        <w:spacing w:after="160"/>
      </w:pPr>
      <w:r>
        <w:t xml:space="preserve"/>
      </w:r>
    </w:p>
    <w:p>
      <w:pPr>
        <w:pStyle w:val="Heading2"/>
        <w:spacing w:after="120" w:before="240"/>
      </w:pPr>
      <w:r>
        <w:rPr>
          <w:rFonts w:ascii="Arial" w:cs="Arial" w:eastAsia="Arial" w:hAnsi="Arial"/>
          <w:b/>
          <w:bCs/>
          <w:color w:val="2E6DA4"/>
          <w:sz w:val="24"/>
          <w:szCs w:val="24"/>
        </w:rPr>
        <w:t xml:space="preserve">12.2 Non-Negotiable Requirements</w:t>
      </w:r>
    </w:p>
    <w:p>
      <w:pPr>
        <w:spacing w:after="120"/>
      </w:pPr>
      <w:r>
        <w:rPr>
          <w:rFonts w:ascii="Arial" w:cs="Arial" w:eastAsia="Arial" w:hAnsi="Arial"/>
          <w:sz w:val="20"/>
          <w:szCs w:val="20"/>
        </w:rPr>
        <w:t xml:space="preserve">The following requirements are NON-NEGOTIABLE and deviations will NOT be accepted under any circumstances:</w:t>
      </w:r>
    </w:p>
    <w:p>
      <w:pPr>
        <w:pStyle w:val="ListParagraph"/>
        <w:numPr>
          <w:ilvl w:val="0"/>
          <w:numId w:val="3"/>
        </w:numPr>
        <w:spacing w:after="60"/>
      </w:pPr>
      <w:r>
        <w:rPr>
          <w:rFonts w:ascii="Arial" w:cs="Arial" w:eastAsia="Arial" w:hAnsi="Arial"/>
          <w:sz w:val="20"/>
          <w:szCs w:val="20"/>
        </w:rPr>
        <w:t xml:space="preserve">Technology: Molecular Sieve (Zeolite 3A). No alternatives.</w:t>
      </w:r>
    </w:p>
    <w:p>
      <w:pPr>
        <w:pStyle w:val="ListParagraph"/>
        <w:numPr>
          <w:ilvl w:val="0"/>
          <w:numId w:val="3"/>
        </w:numPr>
        <w:spacing w:after="60"/>
      </w:pPr>
      <w:r>
        <w:rPr>
          <w:rFonts w:ascii="Arial" w:cs="Arial" w:eastAsia="Arial" w:hAnsi="Arial"/>
          <w:sz w:val="20"/>
          <w:szCs w:val="20"/>
        </w:rPr>
        <w:t xml:space="preserve">Outlet water content guarantee: ≤ 1.0 lb/MMSCF at all operating conditions within the defined envelope.</w:t>
      </w:r>
    </w:p>
    <w:p>
      <w:pPr>
        <w:pStyle w:val="ListParagraph"/>
        <w:numPr>
          <w:ilvl w:val="0"/>
          <w:numId w:val="3"/>
        </w:numPr>
        <w:spacing w:after="60"/>
      </w:pPr>
      <w:r>
        <w:rPr>
          <w:rFonts w:ascii="Arial" w:cs="Arial" w:eastAsia="Arial" w:hAnsi="Arial"/>
          <w:sz w:val="20"/>
          <w:szCs w:val="20"/>
        </w:rPr>
        <w:t xml:space="preserve">ATEX certification: Mandatory for all Zone 1 electrical equipment. No non-ATEX equipment permitted in Zone 1 regardless of Vendor's preferred equivalent.</w:t>
      </w:r>
    </w:p>
    <w:p>
      <w:pPr>
        <w:pStyle w:val="ListParagraph"/>
        <w:numPr>
          <w:ilvl w:val="0"/>
          <w:numId w:val="3"/>
        </w:numPr>
        <w:spacing w:after="60"/>
      </w:pPr>
      <w:r>
        <w:rPr>
          <w:rFonts w:ascii="Arial" w:cs="Arial" w:eastAsia="Arial" w:hAnsi="Arial"/>
          <w:sz w:val="20"/>
          <w:szCs w:val="20"/>
        </w:rPr>
        <w:t xml:space="preserve">PED CE Marking: Mandatory for all pressure vessels. ASME-only (without PED CE mark) is NOT acceptable for Italian installation.</w:t>
      </w:r>
    </w:p>
    <w:p>
      <w:pPr>
        <w:pStyle w:val="ListParagraph"/>
        <w:numPr>
          <w:ilvl w:val="0"/>
          <w:numId w:val="3"/>
        </w:numPr>
        <w:spacing w:after="60"/>
      </w:pPr>
      <w:r>
        <w:rPr>
          <w:rFonts w:ascii="Arial" w:cs="Arial" w:eastAsia="Arial" w:hAnsi="Arial"/>
          <w:sz w:val="20"/>
          <w:szCs w:val="20"/>
        </w:rPr>
        <w:t xml:space="preserve">FAT with NES witness: Mandatory. FAT conducted without NES Inspector presence will not be accepted.</w:t>
      </w:r>
    </w:p>
    <w:p>
      <w:pPr>
        <w:pStyle w:val="ListParagraph"/>
        <w:numPr>
          <w:ilvl w:val="0"/>
          <w:numId w:val="3"/>
        </w:numPr>
        <w:spacing w:after="60"/>
      </w:pPr>
      <w:r>
        <w:rPr>
          <w:rFonts w:ascii="Arial" w:cs="Arial" w:eastAsia="Arial" w:hAnsi="Arial"/>
          <w:sz w:val="20"/>
          <w:szCs w:val="20"/>
        </w:rPr>
        <w:t xml:space="preserve">EN 10204 Type 3.1 Material Certificates: Mandatory for all pressure-containing parts. Type 2.2 is not acceptable for pressure parts.</w:t>
      </w:r>
    </w:p>
    <w:p>
      <w:pPr>
        <w:pStyle w:val="ListParagraph"/>
        <w:numPr>
          <w:ilvl w:val="0"/>
          <w:numId w:val="3"/>
        </w:numPr>
        <w:spacing w:after="60"/>
      </w:pPr>
      <w:r>
        <w:rPr>
          <w:rFonts w:ascii="Arial" w:cs="Arial" w:eastAsia="Arial" w:hAnsi="Arial"/>
          <w:sz w:val="20"/>
          <w:szCs w:val="20"/>
        </w:rPr>
        <w:t xml:space="preserve">SIL assessment per IEC 61511: Mandatory. No SIL analysis waiver will be accepted.</w:t>
      </w:r>
    </w:p>
    <w:p>
      <w:pPr>
        <w:spacing w:after="160"/>
      </w:pPr>
      <w:r>
        <w:t xml:space="preserve"/>
      </w:r>
    </w:p>
    <w:p>
      <w:r>
        <w:br w:type="page"/>
      </w:r>
    </w:p>
    <w:p>
      <w:pPr>
        <w:pStyle w:val="Heading1"/>
        <w:pBdr>
          <w:bottom w:val="single" w:color="8B0000" w:sz="10" w:space="4"/>
        </w:pBdr>
        <w:spacing w:after="180" w:before="360"/>
      </w:pPr>
      <w:r>
        <w:rPr>
          <w:rFonts w:ascii="Arial" w:cs="Arial" w:eastAsia="Arial" w:hAnsi="Arial"/>
          <w:b/>
          <w:bCs/>
          <w:color w:val="1B3A5C"/>
          <w:sz w:val="28"/>
          <w:szCs w:val="28"/>
        </w:rPr>
        <w:t xml:space="preserve">13. AUTHORIZATIONS AND SIGNATURES</w:t>
      </w:r>
    </w:p>
    <w:p>
      <w:pPr>
        <w:spacing w:after="120"/>
      </w:pPr>
      <w:r>
        <w:rPr>
          <w:rFonts w:ascii="Arial" w:cs="Arial" w:eastAsia="Arial" w:hAnsi="Arial"/>
          <w:sz w:val="20"/>
          <w:szCs w:val="20"/>
        </w:rPr>
        <w:t xml:space="preserve">This Project-Specific Requirements document has been prepared by Nexus Energy Solutions S.p.A. and reviewed and endorsed by the Client, Adriatico Energia S.r.l. By submitting an offer in response to RFQ NES-AGP-2026-007-RFQ-GAS-DRY-001, Vendor acknowledges receipt and acceptance of this document.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Nexus Energy Solutions S.p.A. (EPC Contractor)</w:t>
            </w:r>
          </w:p>
        </w:tc>
        <w:tc>
          <w:tcPr>
            <w:tcW w:type="dxa" w:w="4680"/>
            <w:gridSpan w:val="1"/>
            <w:tcBorders>
              <w:top w:val="single" w:color="C0CDD8" w:sz="1"/>
              <w:left w:val="single" w:color="C0CDD8" w:sz="1"/>
              <w:bottom w:val="single" w:color="C0CDD8" w:sz="1"/>
              <w:right w:val="single" w:color="C0CDD8" w:sz="1"/>
            </w:tcBorders>
            <w:shd w:fill="8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Adriatico Energia S.r.l. (Owner / Client)</w:t>
            </w:r>
          </w:p>
        </w:tc>
      </w:tr>
      <w:tr>
        <w:tc>
          <w:tcPr>
            <w:tcW w:type="dxa" w:w="4680"/>
            <w:tcBorders>
              <w:top w:val="single" w:color="C0CDD8" w:sz="1"/>
              <w:left w:val="single" w:color="C0CDD8" w:sz="1"/>
              <w:bottom w:val="single" w:color="C0CDD8" w:sz="1"/>
              <w:right w:val="single" w:color="C0CDD8" w:sz="1"/>
            </w:tcBorders>
            <w:tcMar>
              <w:top w:type="dxa" w:w="200"/>
              <w:left w:type="dxa" w:w="120"/>
              <w:bottom w:type="dxa" w:w="900"/>
              <w:right w:type="dxa" w:w="120"/>
            </w:tcMar>
          </w:tcPr>
          <w:p>
            <w:pPr>
              <w:spacing w:after="120"/>
            </w:pPr>
            <w:r>
              <w:rPr>
                <w:rFonts w:ascii="Arial" w:cs="Arial" w:eastAsia="Arial" w:hAnsi="Arial"/>
                <w:b/>
                <w:bCs/>
                <w:sz w:val="20"/>
                <w:szCs w:val="20"/>
              </w:rPr>
              <w:t xml:space="preserve">Ing. Marco Rossi</w:t>
            </w:r>
          </w:p>
          <w:p>
            <w:pPr>
              <w:spacing w:after="120"/>
            </w:pPr>
            <w:r>
              <w:rPr>
                <w:rFonts w:ascii="Arial" w:cs="Arial" w:eastAsia="Arial" w:hAnsi="Arial"/>
                <w:sz w:val="20"/>
                <w:szCs w:val="20"/>
              </w:rPr>
              <w:t xml:space="preserve">Project Manager</w:t>
            </w:r>
          </w:p>
          <w:p>
            <w:pPr>
              <w:spacing w:after="120"/>
            </w:pPr>
            <w:r>
              <w:rPr>
                <w:rFonts w:ascii="Arial" w:cs="Arial" w:eastAsia="Arial" w:hAnsi="Arial"/>
                <w:sz w:val="20"/>
                <w:szCs w:val="20"/>
              </w:rPr>
              <w:t xml:space="preserve">Nexus Energy Solutions S.p.A.</w:t>
            </w:r>
          </w:p>
          <w:p>
            <w:pPr>
              <w:spacing w:after="120"/>
            </w:pPr>
            <w:r>
              <w:rPr>
                <w:rFonts w:ascii="Arial" w:cs="Arial" w:eastAsia="Arial" w:hAnsi="Arial"/>
                <w:sz w:val="20"/>
                <w:szCs w:val="20"/>
              </w:rPr>
              <w:t xml:space="preserve">m.rossi@nexusenergyit.com</w:t>
            </w:r>
          </w:p>
          <w:p>
            <w:pPr>
              <w:spacing w:after="120"/>
            </w:pPr>
            <w:r>
              <w:rPr>
                <w:rFonts w:ascii="Arial" w:cs="Arial" w:eastAsia="Arial" w:hAnsi="Arial"/>
                <w:sz w:val="20"/>
                <w:szCs w:val="20"/>
              </w:rPr>
              <w:t xml:space="preserve">+39 02 8547 3300</w:t>
            </w:r>
          </w:p>
          <w:p>
            <w:pPr>
              <w:spacing w:after="160"/>
            </w:pPr>
            <w:r>
              <w:t xml:space="preserve"/>
            </w:r>
          </w:p>
          <w:p>
            <w:pPr>
              <w:spacing w:after="120"/>
            </w:pPr>
            <w:r>
              <w:rPr>
                <w:rFonts w:ascii="Arial" w:cs="Arial" w:eastAsia="Arial" w:hAnsi="Arial"/>
                <w:sz w:val="20"/>
                <w:szCs w:val="20"/>
              </w:rPr>
              <w:t xml:space="preserve">Signature: ________________________</w:t>
            </w:r>
          </w:p>
          <w:p>
            <w:pPr>
              <w:spacing w:after="120"/>
            </w:pPr>
            <w:r>
              <w:rPr>
                <w:rFonts w:ascii="Arial" w:cs="Arial" w:eastAsia="Arial" w:hAnsi="Arial"/>
                <w:sz w:val="20"/>
                <w:szCs w:val="20"/>
              </w:rPr>
              <w:t xml:space="preserve">Date: _____________________________</w:t>
            </w:r>
          </w:p>
        </w:tc>
        <w:tc>
          <w:tcPr>
            <w:tcW w:type="dxa" w:w="4680"/>
            <w:tcBorders>
              <w:top w:val="single" w:color="C0CDD8" w:sz="1"/>
              <w:left w:val="single" w:color="C0CDD8" w:sz="1"/>
              <w:bottom w:val="single" w:color="C0CDD8" w:sz="1"/>
              <w:right w:val="single" w:color="C0CDD8" w:sz="1"/>
            </w:tcBorders>
            <w:tcMar>
              <w:top w:type="dxa" w:w="200"/>
              <w:left w:type="dxa" w:w="120"/>
              <w:bottom w:type="dxa" w:w="900"/>
              <w:right w:type="dxa" w:w="120"/>
            </w:tcMar>
          </w:tcPr>
          <w:p>
            <w:pPr>
              <w:spacing w:after="120"/>
            </w:pPr>
            <w:r>
              <w:rPr>
                <w:rFonts w:ascii="Arial" w:cs="Arial" w:eastAsia="Arial" w:hAnsi="Arial"/>
                <w:b/>
                <w:bCs/>
                <w:sz w:val="20"/>
                <w:szCs w:val="20"/>
              </w:rPr>
              <w:t xml:space="preserve">Dott. Giuseppe Conti</w:t>
            </w:r>
          </w:p>
          <w:p>
            <w:pPr>
              <w:spacing w:after="120"/>
            </w:pPr>
            <w:r>
              <w:rPr>
                <w:rFonts w:ascii="Arial" w:cs="Arial" w:eastAsia="Arial" w:hAnsi="Arial"/>
                <w:sz w:val="20"/>
                <w:szCs w:val="20"/>
              </w:rPr>
              <w:t xml:space="preserve">Operations Director</w:t>
            </w:r>
          </w:p>
          <w:p>
            <w:pPr>
              <w:spacing w:after="120"/>
            </w:pPr>
            <w:r>
              <w:rPr>
                <w:rFonts w:ascii="Arial" w:cs="Arial" w:eastAsia="Arial" w:hAnsi="Arial"/>
                <w:sz w:val="20"/>
                <w:szCs w:val="20"/>
              </w:rPr>
              <w:t xml:space="preserve">Adriatico Energia S.r.l.</w:t>
            </w:r>
          </w:p>
          <w:p>
            <w:pPr>
              <w:spacing w:after="120"/>
            </w:pPr>
            <w:r>
              <w:rPr>
                <w:rFonts w:ascii="Arial" w:cs="Arial" w:eastAsia="Arial" w:hAnsi="Arial"/>
                <w:sz w:val="20"/>
                <w:szCs w:val="20"/>
              </w:rPr>
              <w:t xml:space="preserve">g.conti@adriaticoenergiasr.it</w:t>
            </w:r>
          </w:p>
          <w:p>
            <w:pPr>
              <w:spacing w:after="120"/>
            </w:pPr>
            <w:r>
              <w:rPr>
                <w:rFonts w:ascii="Arial" w:cs="Arial" w:eastAsia="Arial" w:hAnsi="Arial"/>
                <w:sz w:val="20"/>
                <w:szCs w:val="20"/>
              </w:rPr>
              <w:t xml:space="preserve">+39 0544 219 401</w:t>
            </w:r>
          </w:p>
          <w:p>
            <w:pPr>
              <w:spacing w:after="160"/>
            </w:pPr>
            <w:r>
              <w:t xml:space="preserve"/>
            </w:r>
          </w:p>
          <w:p>
            <w:pPr>
              <w:spacing w:after="120"/>
            </w:pPr>
            <w:r>
              <w:rPr>
                <w:rFonts w:ascii="Arial" w:cs="Arial" w:eastAsia="Arial" w:hAnsi="Arial"/>
                <w:sz w:val="20"/>
                <w:szCs w:val="20"/>
              </w:rPr>
              <w:t xml:space="preserve">Signature: ________________________</w:t>
            </w:r>
          </w:p>
          <w:p>
            <w:pPr>
              <w:spacing w:after="120"/>
            </w:pPr>
            <w:r>
              <w:rPr>
                <w:rFonts w:ascii="Arial" w:cs="Arial" w:eastAsia="Arial" w:hAnsi="Arial"/>
                <w:sz w:val="20"/>
                <w:szCs w:val="20"/>
              </w:rPr>
              <w:t xml:space="preserve">Date: _____________________________</w:t>
            </w:r>
          </w:p>
        </w:tc>
      </w:tr>
    </w:tbl>
    <w:p>
      <w:pPr>
        <w:spacing w:after="160"/>
      </w:pPr>
      <w:r>
        <w:t xml:space="preserve"/>
      </w:r>
    </w:p>
    <w:p>
      <w:pPr>
        <w:pBdr>
          <w:top w:val="single" w:color="8B0000" w:sz="6" w:space="4"/>
        </w:pBdr>
        <w:spacing w:after="120" w:before="400"/>
        <w:jc w:val="center"/>
      </w:pPr>
      <w:r>
        <w:rPr>
          <w:rFonts w:ascii="Arial" w:cs="Arial" w:eastAsia="Arial" w:hAnsi="Arial"/>
          <w:b/>
          <w:bCs/>
          <w:color w:val="1B3A5C"/>
          <w:sz w:val="22"/>
          <w:szCs w:val="22"/>
        </w:rPr>
        <w:t xml:space="preserve">END OF PROJECT-SPECIFIC REQUIREMENTS DOCUMENT</w:t>
      </w:r>
    </w:p>
    <w:p>
      <w:pPr>
        <w:jc w:val="center"/>
      </w:pPr>
      <w:r>
        <w:rPr>
          <w:rFonts w:ascii="Arial" w:cs="Arial" w:eastAsia="Arial" w:hAnsi="Arial"/>
          <w:i/>
          <w:iCs/>
          <w:color w:val="888888"/>
          <w:sz w:val="16"/>
          <w:szCs w:val="16"/>
        </w:rPr>
        <w:t xml:space="preserve">NES-AGP-2026-007-PSR-GDU-001  |  Rev. A  |  12 March 2026  |  COMPANY CONFIDENTIAL  |  Contractually Binding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4" w:space="4"/>
      </w:pBdr>
      <w:tabs>
        <w:tab w:val="right" w:pos="9000"/>
      </w:tabs>
    </w:pPr>
    <w:r>
      <w:rPr>
        <w:rFonts w:ascii="Arial" w:cs="Arial" w:eastAsia="Arial" w:hAnsi="Arial"/>
        <w:color w:val="777777"/>
        <w:sz w:val="16"/>
        <w:szCs w:val="16"/>
      </w:rPr>
      <w:t xml:space="preserve">COMPANY CONFIDENTIAL – This document forms part of the Purchase Order    	    Page </w:t>
    </w:r>
    <w:fldSimple w:instr="PAGE"/>
    <w:r>
      <w:rPr>
        <w:rFonts w:ascii="Arial" w:cs="Arial" w:eastAsia="Arial" w:hAnsi="Arial"/>
        <w:color w:val="777777"/>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6" w:space="4"/>
      </w:pBdr>
    </w:pPr>
    <w:r>
      <w:rPr>
        <w:rFonts w:ascii="Arial" w:cs="Arial" w:eastAsia="Arial" w:hAnsi="Arial"/>
        <w:b/>
        <w:bCs/>
        <w:color w:val="1B3A5C"/>
        <w:sz w:val="18"/>
        <w:szCs w:val="18"/>
      </w:rPr>
      <w:t xml:space="preserve">ADRIATICO ENERGIA S.r.l. / NEXUS ENERGY SOLUTIONS S.p.A.    |    </w:t>
    </w:r>
    <w:r>
      <w:rPr>
        <w:rFonts w:ascii="Arial" w:cs="Arial" w:eastAsia="Arial" w:hAnsi="Arial"/>
        <w:color w:val="555555"/>
        <w:sz w:val="16"/>
        <w:szCs w:val="16"/>
      </w:rPr>
      <w:t xml:space="preserve">Project-Specific Requirements – GDU Package    |    Doc. NES-AGP-2026-007-PSR-GDU-001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6DA4"/>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2026-03-12T11:05:38.591Z</dcterms:created>
  <dcterms:modified xsi:type="dcterms:W3CDTF">2026-03-12T11:05:38.592Z</dcterms:modified>
</cp:coreProperties>
</file>

<file path=docProps/custom.xml><?xml version="1.0" encoding="utf-8"?>
<Properties xmlns="http://schemas.openxmlformats.org/officeDocument/2006/custom-properties" xmlns:vt="http://schemas.openxmlformats.org/officeDocument/2006/docPropsVTypes"/>
</file>