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0A2240"/>
          <w:sz w:val="56"/>
          <w:szCs w:val="56"/>
        </w:rPr>
        <w:t xml:space="preserve">MENA PROCESS ENGINEERING LLC</w:t>
      </w:r>
    </w:p>
    <w:p>
      <w:pPr>
        <w:spacing w:after="240" w:before="60"/>
        <w:jc w:val="center"/>
      </w:pPr>
      <w:r>
        <w:rPr>
          <w:rFonts w:ascii="Arial" w:cs="Arial" w:eastAsia="Arial" w:hAnsi="Arial"/>
          <w:color w:val="555555"/>
          <w:sz w:val="24"/>
          <w:szCs w:val="24"/>
        </w:rPr>
        <w:t xml:space="preserve">Abu Dhabi, United Arab Emirates  |  Masdar Green Hydrogen Co. LLC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2240" w:val="clear"/>
            <w:tcMar>
              <w:top w:type="dxa" w:w="400"/>
              <w:left w:type="dxa" w:w="400"/>
              <w:bottom w:type="dxa" w:w="400"/>
              <w:right w:type="dxa" w:w="400"/>
            </w:tcMar>
          </w:tcPr>
          <w:p>
            <w:pPr>
              <w:spacing w:after="80" w:before="0"/>
              <w:jc w:val="center"/>
            </w:pPr>
            <w:r>
              <w:rPr>
                <w:rFonts w:ascii="Arial" w:cs="Arial" w:eastAsia="Arial" w:hAnsi="Arial"/>
                <w:b/>
                <w:bCs/>
                <w:color w:val="FFFFFF"/>
                <w:sz w:val="48"/>
                <w:szCs w:val="48"/>
              </w:rPr>
              <w:t xml:space="preserve">PROJECT-SPECIFIC REQUIREMENTS</w:t>
            </w:r>
          </w:p>
          <w:p>
            <w:pPr>
              <w:spacing w:after="160" w:before="0"/>
              <w:jc w:val="center"/>
            </w:pPr>
            <w:r>
              <w:rPr>
                <w:rFonts w:ascii="Arial" w:cs="Arial" w:eastAsia="Arial" w:hAnsi="Arial"/>
                <w:b/>
                <w:bCs/>
                <w:color w:val="7FD4FF"/>
                <w:sz w:val="36"/>
                <w:szCs w:val="36"/>
              </w:rPr>
              <w:t xml:space="preserve">Hydrogen Purification &amp; Drying Unit (HPDU) Package</w:t>
            </w:r>
          </w:p>
          <w:p>
            <w:pPr>
              <w:spacing w:after="60" w:before="0"/>
              <w:jc w:val="center"/>
            </w:pPr>
            <w:r>
              <w:rPr>
                <w:rFonts w:ascii="Arial" w:cs="Arial" w:eastAsia="Arial" w:hAnsi="Arial"/>
                <w:color w:val="E6EFF5"/>
                <w:sz w:val="28"/>
                <w:szCs w:val="28"/>
              </w:rPr>
              <w:t xml:space="preserve">Al Dhafra Green Hydrogen Production Facility – Phase I</w:t>
            </w:r>
          </w:p>
          <w:p>
            <w:pPr>
              <w:spacing w:after="0" w:before="0"/>
              <w:jc w:val="center"/>
            </w:pPr>
            <w:r>
              <w:rPr>
                <w:rFonts w:ascii="Arial" w:cs="Arial" w:eastAsia="Arial" w:hAnsi="Arial"/>
                <w:b/>
                <w:bCs/>
                <w:color w:val="FFE5E5"/>
                <w:sz w:val="22"/>
                <w:szCs w:val="22"/>
              </w:rPr>
              <w:t xml:space="preserve">THIS DOCUMENT IS CONTRACTUALLY BINDING — FORMS ANNEX TO PURCHASE ORDER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Document Number</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MPE-AGHP-2026-003-PSR-HPDU-001</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Revision</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 – Issued for Quotation (binding at PO award)</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Date of Issue</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 March 2026</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Project</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 Dhafra Green Hydrogen Production Facility – Phase I</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Project Number</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MPE-AGHP-2026-003</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Client / Owner</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Masdar Green Hydrogen Co. LLC, Abu Dhabi, UAE</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EPC Contractor</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MENA Process Engineering LLC (MPE)</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Package</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Hydrogen Purification and Drying Unit (HPDU) – Deoxo + Water Sep. + TSA Dryers</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Contractual Status</w:t>
            </w:r>
          </w:p>
        </w:tc>
        <w:tc>
          <w:tcPr>
            <w:tcW w:type="dxa" w:w="636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This PSR forms part of the Vendor's Purchase Order and takes precedence over Vendor's standard specifications. Vendor's acceptance of PO constitutes unconditional acceptance of all requirements herein.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E5E5" w:val="clear"/>
            <w:tcMar>
              <w:top w:type="dxa" w:w="100"/>
              <w:left w:type="dxa" w:w="200"/>
              <w:bottom w:type="dxa" w:w="100"/>
              <w:right w:type="dxa" w:w="200"/>
            </w:tcMar>
          </w:tcPr>
          <w:p>
            <w:r>
              <w:rPr>
                <w:rFonts w:ascii="Arial" w:cs="Arial" w:eastAsia="Arial" w:hAnsi="Arial"/>
                <w:b/>
                <w:bCs/>
                <w:color w:val="8B0000"/>
                <w:sz w:val="19"/>
                <w:szCs w:val="19"/>
              </w:rPr>
              <w:t xml:space="preserve">⛔ SAFETY CRITICAL: </w:t>
            </w:r>
            <w:r>
              <w:rPr>
                <w:rFonts w:ascii="Arial" w:cs="Arial" w:eastAsia="Arial" w:hAnsi="Arial"/>
                <w:color w:val="8B0000"/>
                <w:sz w:val="18"/>
                <w:szCs w:val="18"/>
              </w:rPr>
              <w:t xml:space="preserve">ALL REQUIREMENTS IN THIS DOCUMENT RELATE TO HYDROGEN (H₂) SERVICE UNDER IEC 60079 GROUP IIC. HYDROGEN IS THE LOWEST MOLECULAR WEIGHT GAS AND HAS THE WIDEST FLAMMABLE RANGE (4–75 VOL% IN AIR), LOWEST MINIMUM IGNITION ENERGY (0.017 mJ), INVISIBLE FLAME, AND CAUSES EMBRITTLEMENT IN NON-AUSTENITIC STEELS. VENDOR MUST DEMONSTRATE SPECIFIC HYDROGEN SERVICE EXPERIENCE. GENERAL GAS PROCESSING EXPERIENCE ALONE IS INSUFFICIENT.</w:t>
            </w:r>
          </w:p>
        </w:tc>
      </w:tr>
    </w:tbl>
    <w:p>
      <w:r>
        <w:br w:type="page"/>
      </w:r>
    </w:p>
    <w:p>
      <w:pPr>
        <w:pStyle w:val="Heading1"/>
        <w:pBdr>
          <w:bottom w:val="single" w:color="8B1A1A" w:sz="10" w:space="4"/>
        </w:pBdr>
        <w:spacing w:after="180" w:before="360"/>
      </w:pPr>
      <w:r>
        <w:rPr>
          <w:rFonts w:ascii="Arial" w:cs="Arial" w:eastAsia="Arial" w:hAnsi="Arial"/>
          <w:b/>
          <w:bCs/>
          <w:color w:val="0A2240"/>
          <w:sz w:val="28"/>
          <w:szCs w:val="28"/>
        </w:rPr>
        <w:t xml:space="preserve">1. DOCUMENT SCOPE, HIERARCHY AND DEFINITIONS</w:t>
      </w:r>
    </w:p>
    <w:p>
      <w:pPr>
        <w:pStyle w:val="Heading2"/>
        <w:spacing w:after="120" w:before="240"/>
      </w:pPr>
      <w:r>
        <w:rPr>
          <w:rFonts w:ascii="Arial" w:cs="Arial" w:eastAsia="Arial" w:hAnsi="Arial"/>
          <w:b/>
          <w:bCs/>
          <w:color w:val="0070B8"/>
          <w:sz w:val="24"/>
          <w:szCs w:val="24"/>
        </w:rPr>
        <w:t xml:space="preserve">1.1 Document Purpose and Scope</w:t>
      </w:r>
    </w:p>
    <w:p>
      <w:pPr>
        <w:spacing w:after="80" w:before="80"/>
      </w:pPr>
      <w:r>
        <w:rPr>
          <w:rFonts w:ascii="Arial" w:cs="Arial" w:eastAsia="Arial" w:hAnsi="Arial"/>
          <w:sz w:val="20"/>
          <w:szCs w:val="20"/>
        </w:rPr>
        <w:t xml:space="preserve">This Project-Specific Requirements (PSR) document defines the minimum technical, material, safety, regulatory, and contractual requirements for the design, engineering, fabrication, testing, and supply of the Hydrogen Purification and Drying Unit (HPDU) for the Al Dhafra Green Hydrogen Production Facility – Phase I. This document supplements and takes precedence over the RFQ (MPE-AGHP-2026-003-RFQ-HPDU-001) in all matters of technical specification.</w:t>
      </w:r>
    </w:p>
    <w:p>
      <w:pPr>
        <w:spacing w:after="80" w:before="80"/>
      </w:pPr>
      <w:r>
        <w:rPr>
          <w:rFonts w:ascii="Arial" w:cs="Arial" w:eastAsia="Arial" w:hAnsi="Arial"/>
          <w:sz w:val="20"/>
          <w:szCs w:val="20"/>
        </w:rPr>
        <w:t xml:space="preserve">The HPDU package comprises the following sequential processing stages: (1) Primary Water Separator, (2) Inlet Coalescing Filter, (3) Deoxo Feed Preheater, (4) Deoxo Reactor, (5) Deoxo Aftercooler, (6) Post-Deoxo Water Separator, (7) TSA Molecular Sieve Dryer Towers (2+1), (8) TSA Regeneration System, and (9) Outlet Fines Filter — together with all associated piping, valves, instrumentation, control systems, structural skid, insulation, and documentation.</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1.2 Document Hierarchy</w:t>
      </w:r>
    </w:p>
    <w:p>
      <w:pPr>
        <w:spacing w:after="80" w:before="80"/>
      </w:pPr>
      <w:r>
        <w:rPr>
          <w:rFonts w:ascii="Arial" w:cs="Arial" w:eastAsia="Arial" w:hAnsi="Arial"/>
          <w:sz w:val="20"/>
          <w:szCs w:val="20"/>
        </w:rPr>
        <w:t xml:space="preserve">In case of conflict between applicable documents, the following descending order of precedence applies:</w:t>
      </w:r>
    </w:p>
    <w:p>
      <w:pPr>
        <w:pStyle w:val="ListParagraph"/>
        <w:numPr>
          <w:ilvl w:val="0"/>
          <w:numId w:val="2"/>
        </w:numPr>
        <w:spacing w:after="60" w:before="60"/>
      </w:pPr>
      <w:r>
        <w:rPr>
          <w:rFonts w:ascii="Arial" w:cs="Arial" w:eastAsia="Arial" w:hAnsi="Arial"/>
          <w:sz w:val="18"/>
          <w:szCs w:val="18"/>
        </w:rPr>
        <w:t xml:space="preserve">UAE National Laws and Regulatory Requirements (OSHAD, DoE, MoEI)</w:t>
      </w:r>
    </w:p>
    <w:p>
      <w:pPr>
        <w:pStyle w:val="ListParagraph"/>
        <w:numPr>
          <w:ilvl w:val="0"/>
          <w:numId w:val="2"/>
        </w:numPr>
        <w:spacing w:after="60" w:before="60"/>
      </w:pPr>
      <w:r>
        <w:rPr>
          <w:rFonts w:ascii="Arial" w:cs="Arial" w:eastAsia="Arial" w:hAnsi="Arial"/>
          <w:sz w:val="18"/>
          <w:szCs w:val="18"/>
        </w:rPr>
        <w:t xml:space="preserve">This PSR (MPE-AGHP-2026-003-PSR-HPDU-001) – contractually binding</w:t>
      </w:r>
    </w:p>
    <w:p>
      <w:pPr>
        <w:pStyle w:val="ListParagraph"/>
        <w:numPr>
          <w:ilvl w:val="0"/>
          <w:numId w:val="2"/>
        </w:numPr>
        <w:spacing w:after="60" w:before="60"/>
      </w:pPr>
      <w:r>
        <w:rPr>
          <w:rFonts w:ascii="Arial" w:cs="Arial" w:eastAsia="Arial" w:hAnsi="Arial"/>
          <w:sz w:val="18"/>
          <w:szCs w:val="18"/>
        </w:rPr>
        <w:t xml:space="preserve">RFQ (MPE-AGHP-2026-003-RFQ-HPDU-001) including all Addenda</w:t>
      </w:r>
    </w:p>
    <w:p>
      <w:pPr>
        <w:pStyle w:val="ListParagraph"/>
        <w:numPr>
          <w:ilvl w:val="0"/>
          <w:numId w:val="2"/>
        </w:numPr>
        <w:spacing w:after="60" w:before="60"/>
      </w:pPr>
      <w:r>
        <w:rPr>
          <w:rFonts w:ascii="Arial" w:cs="Arial" w:eastAsia="Arial" w:hAnsi="Arial"/>
          <w:sz w:val="18"/>
          <w:szCs w:val="18"/>
        </w:rPr>
        <w:t xml:space="preserve">Purchase Order (PO) Terms and Conditions</w:t>
      </w:r>
    </w:p>
    <w:p>
      <w:pPr>
        <w:pStyle w:val="ListParagraph"/>
        <w:numPr>
          <w:ilvl w:val="0"/>
          <w:numId w:val="2"/>
        </w:numPr>
        <w:spacing w:after="60" w:before="60"/>
      </w:pPr>
      <w:r>
        <w:rPr>
          <w:rFonts w:ascii="Arial" w:cs="Arial" w:eastAsia="Arial" w:hAnsi="Arial"/>
          <w:sz w:val="18"/>
          <w:szCs w:val="18"/>
        </w:rPr>
        <w:t xml:space="preserve">Referenced International Standards (ASME B31.12, ISO 14687:2019, IEC 60079, IEC 61511, etc.)</w:t>
      </w:r>
    </w:p>
    <w:p>
      <w:pPr>
        <w:pStyle w:val="ListParagraph"/>
        <w:numPr>
          <w:ilvl w:val="0"/>
          <w:numId w:val="2"/>
        </w:numPr>
        <w:spacing w:after="60" w:before="60"/>
      </w:pPr>
      <w:r>
        <w:rPr>
          <w:rFonts w:ascii="Arial" w:cs="Arial" w:eastAsia="Arial" w:hAnsi="Arial"/>
          <w:sz w:val="18"/>
          <w:szCs w:val="18"/>
        </w:rPr>
        <w:t xml:space="preserve">Vendor's Standard Specifications and Documentation (lowest precedence)</w:t>
      </w:r>
    </w:p>
    <w:p>
      <w:pPr>
        <w:spacing w:after="80" w:before="80"/>
      </w:pPr>
      <w:r>
        <w:rPr>
          <w:rFonts w:ascii="Arial" w:cs="Arial" w:eastAsia="Arial" w:hAnsi="Arial"/>
          <w:sz w:val="20"/>
          <w:szCs w:val="20"/>
        </w:rPr>
        <w:t xml:space="preserve">Vendor shall immediately notify MPE in writing of any conflict between the above documents. MPE will issue a formal technical resolution within 5 business days.</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1.3 Definitions</w:t>
      </w:r>
    </w:p>
    <w:p>
      <w:pPr>
        <w:pStyle w:val="ListParagraph"/>
        <w:numPr>
          <w:ilvl w:val="0"/>
          <w:numId w:val="3"/>
        </w:numPr>
        <w:spacing w:after="60" w:before="60"/>
      </w:pPr>
      <w:r>
        <w:rPr>
          <w:rFonts w:ascii="Arial" w:cs="Arial" w:eastAsia="Arial" w:hAnsi="Arial"/>
          <w:sz w:val="18"/>
          <w:szCs w:val="18"/>
        </w:rPr>
        <w:t xml:space="preserve">OWNER / CLIENT: Masdar Green Hydrogen Co. LLC, Abu Dhabi.</w:t>
      </w:r>
    </w:p>
    <w:p>
      <w:pPr>
        <w:pStyle w:val="ListParagraph"/>
        <w:numPr>
          <w:ilvl w:val="0"/>
          <w:numId w:val="3"/>
        </w:numPr>
        <w:spacing w:after="60" w:before="60"/>
      </w:pPr>
      <w:r>
        <w:rPr>
          <w:rFonts w:ascii="Arial" w:cs="Arial" w:eastAsia="Arial" w:hAnsi="Arial"/>
          <w:sz w:val="18"/>
          <w:szCs w:val="18"/>
        </w:rPr>
        <w:t xml:space="preserve">EPC CONTRACTOR / MPE: MENA Process Engineering LLC, Abu Dhabi.</w:t>
      </w:r>
    </w:p>
    <w:p>
      <w:pPr>
        <w:pStyle w:val="ListParagraph"/>
        <w:numPr>
          <w:ilvl w:val="0"/>
          <w:numId w:val="3"/>
        </w:numPr>
        <w:spacing w:after="60" w:before="60"/>
      </w:pPr>
      <w:r>
        <w:rPr>
          <w:rFonts w:ascii="Arial" w:cs="Arial" w:eastAsia="Arial" w:hAnsi="Arial"/>
          <w:sz w:val="18"/>
          <w:szCs w:val="18"/>
        </w:rPr>
        <w:t xml:space="preserve">VENDOR / SUPPLIER: Company awarded the PO for the HPDU Package.</w:t>
      </w:r>
    </w:p>
    <w:p>
      <w:pPr>
        <w:pStyle w:val="ListParagraph"/>
        <w:numPr>
          <w:ilvl w:val="0"/>
          <w:numId w:val="3"/>
        </w:numPr>
        <w:spacing w:after="60" w:before="60"/>
      </w:pPr>
      <w:r>
        <w:rPr>
          <w:rFonts w:ascii="Arial" w:cs="Arial" w:eastAsia="Arial" w:hAnsi="Arial"/>
          <w:sz w:val="18"/>
          <w:szCs w:val="18"/>
        </w:rPr>
        <w:t xml:space="preserve">HPDU / PACKAGE: Complete Hydrogen Purification and Drying Unit (all equipment within vendor scope).</w:t>
      </w:r>
    </w:p>
    <w:p>
      <w:pPr>
        <w:pStyle w:val="ListParagraph"/>
        <w:numPr>
          <w:ilvl w:val="0"/>
          <w:numId w:val="3"/>
        </w:numPr>
        <w:spacing w:after="60" w:before="60"/>
      </w:pPr>
      <w:r>
        <w:rPr>
          <w:rFonts w:ascii="Arial" w:cs="Arial" w:eastAsia="Arial" w:hAnsi="Arial"/>
          <w:sz w:val="18"/>
          <w:szCs w:val="18"/>
        </w:rPr>
        <w:t xml:space="preserve">BL: Battery Limit – physical boundary between HPDU package scope and EPC plant scope.</w:t>
      </w:r>
    </w:p>
    <w:p>
      <w:pPr>
        <w:pStyle w:val="ListParagraph"/>
        <w:numPr>
          <w:ilvl w:val="0"/>
          <w:numId w:val="3"/>
        </w:numPr>
        <w:spacing w:after="60" w:before="60"/>
      </w:pPr>
      <w:r>
        <w:rPr>
          <w:rFonts w:ascii="Arial" w:cs="Arial" w:eastAsia="Arial" w:hAnsi="Arial"/>
          <w:sz w:val="18"/>
          <w:szCs w:val="18"/>
        </w:rPr>
        <w:t xml:space="preserve">Deoxo: Catalytic de-oxygenation unit; removes O₂ from H₂ via H₂+O₂ recombination reaction.</w:t>
      </w:r>
    </w:p>
    <w:p>
      <w:pPr>
        <w:pStyle w:val="ListParagraph"/>
        <w:numPr>
          <w:ilvl w:val="0"/>
          <w:numId w:val="3"/>
        </w:numPr>
        <w:spacing w:after="60" w:before="60"/>
      </w:pPr>
      <w:r>
        <w:rPr>
          <w:rFonts w:ascii="Arial" w:cs="Arial" w:eastAsia="Arial" w:hAnsi="Arial"/>
          <w:sz w:val="18"/>
          <w:szCs w:val="18"/>
        </w:rPr>
        <w:t xml:space="preserve">TSA: Temperature Swing Adsorption; drying technology using mol. sieve beds regenerated by hot gas.</w:t>
      </w:r>
    </w:p>
    <w:p>
      <w:pPr>
        <w:pStyle w:val="ListParagraph"/>
        <w:numPr>
          <w:ilvl w:val="0"/>
          <w:numId w:val="3"/>
        </w:numPr>
        <w:spacing w:after="60" w:before="60"/>
      </w:pPr>
      <w:r>
        <w:rPr>
          <w:rFonts w:ascii="Arial" w:cs="Arial" w:eastAsia="Arial" w:hAnsi="Arial"/>
          <w:sz w:val="18"/>
          <w:szCs w:val="18"/>
        </w:rPr>
        <w:t xml:space="preserve">PEM: Proton Exchange Membrane electrolyzer (primary H₂ production technology on this project).</w:t>
      </w:r>
    </w:p>
    <w:p>
      <w:pPr>
        <w:pStyle w:val="ListParagraph"/>
        <w:numPr>
          <w:ilvl w:val="0"/>
          <w:numId w:val="3"/>
        </w:numPr>
        <w:spacing w:after="60" w:before="60"/>
      </w:pPr>
      <w:r>
        <w:rPr>
          <w:rFonts w:ascii="Arial" w:cs="Arial" w:eastAsia="Arial" w:hAnsi="Arial"/>
          <w:sz w:val="18"/>
          <w:szCs w:val="18"/>
        </w:rPr>
        <w:t xml:space="preserve">AEL: Alkaline Electrolyzer (potential backup electrolyzer technology – affects inlet gas spec).</w:t>
      </w:r>
    </w:p>
    <w:p>
      <w:pPr>
        <w:pStyle w:val="ListParagraph"/>
        <w:numPr>
          <w:ilvl w:val="0"/>
          <w:numId w:val="3"/>
        </w:numPr>
        <w:spacing w:after="60" w:before="60"/>
      </w:pPr>
      <w:r>
        <w:rPr>
          <w:rFonts w:ascii="Arial" w:cs="Arial" w:eastAsia="Arial" w:hAnsi="Arial"/>
          <w:sz w:val="18"/>
          <w:szCs w:val="18"/>
        </w:rPr>
        <w:t xml:space="preserve">FAT: Factory Acceptance Test.</w:t>
      </w:r>
    </w:p>
    <w:p>
      <w:pPr>
        <w:pStyle w:val="ListParagraph"/>
        <w:numPr>
          <w:ilvl w:val="0"/>
          <w:numId w:val="3"/>
        </w:numPr>
        <w:spacing w:after="60" w:before="60"/>
      </w:pPr>
      <w:r>
        <w:rPr>
          <w:rFonts w:ascii="Arial" w:cs="Arial" w:eastAsia="Arial" w:hAnsi="Arial"/>
          <w:sz w:val="18"/>
          <w:szCs w:val="18"/>
        </w:rPr>
        <w:t xml:space="preserve">SAT: Site Acceptance Test (72-hour witnessed test with H₂, optional per OPT-D).</w:t>
      </w:r>
    </w:p>
    <w:p>
      <w:pPr>
        <w:pStyle w:val="ListParagraph"/>
        <w:numPr>
          <w:ilvl w:val="0"/>
          <w:numId w:val="3"/>
        </w:numPr>
        <w:spacing w:after="60" w:before="60"/>
      </w:pPr>
      <w:r>
        <w:rPr>
          <w:rFonts w:ascii="Arial" w:cs="Arial" w:eastAsia="Arial" w:hAnsi="Arial"/>
          <w:sz w:val="18"/>
          <w:szCs w:val="18"/>
        </w:rPr>
        <w:t xml:space="preserve">MDR: Manufacturer's Data Record.</w:t>
      </w:r>
    </w:p>
    <w:p>
      <w:pPr>
        <w:pStyle w:val="ListParagraph"/>
        <w:numPr>
          <w:ilvl w:val="0"/>
          <w:numId w:val="3"/>
        </w:numPr>
        <w:spacing w:after="60" w:before="60"/>
      </w:pPr>
      <w:r>
        <w:rPr>
          <w:rFonts w:ascii="Arial" w:cs="Arial" w:eastAsia="Arial" w:hAnsi="Arial"/>
          <w:sz w:val="18"/>
          <w:szCs w:val="18"/>
        </w:rPr>
        <w:t xml:space="preserve">SIL: Safety Integrity Level (IEC 61511). SIL 2 required for ESD functions on this package.</w:t>
      </w:r>
    </w:p>
    <w:p>
      <w:pPr>
        <w:pStyle w:val="ListParagraph"/>
        <w:numPr>
          <w:ilvl w:val="0"/>
          <w:numId w:val="3"/>
        </w:numPr>
        <w:spacing w:after="60" w:before="60"/>
      </w:pPr>
      <w:r>
        <w:rPr>
          <w:rFonts w:ascii="Arial" w:cs="Arial" w:eastAsia="Arial" w:hAnsi="Arial"/>
          <w:sz w:val="18"/>
          <w:szCs w:val="18"/>
        </w:rPr>
        <w:t xml:space="preserve">LEL: Lower Explosive Limit (H₂ in air: 4 vol% = 100% LEL).</w:t>
      </w:r>
    </w:p>
    <w:p>
      <w:pPr>
        <w:pStyle w:val="ListParagraph"/>
        <w:numPr>
          <w:ilvl w:val="0"/>
          <w:numId w:val="3"/>
        </w:numPr>
        <w:spacing w:after="60" w:before="60"/>
      </w:pPr>
      <w:r>
        <w:rPr>
          <w:rFonts w:ascii="Arial" w:cs="Arial" w:eastAsia="Arial" w:hAnsi="Arial"/>
          <w:sz w:val="18"/>
          <w:szCs w:val="18"/>
        </w:rPr>
        <w:t xml:space="preserve">MIE: Minimum Ignition Energy (H₂: 0.017 mJ — all electrical equipment must be IIC rated).</w:t>
      </w:r>
    </w:p>
    <w:p>
      <w:pPr>
        <w:pStyle w:val="ListParagraph"/>
        <w:numPr>
          <w:ilvl w:val="0"/>
          <w:numId w:val="3"/>
        </w:numPr>
        <w:spacing w:after="60" w:before="60"/>
      </w:pPr>
      <w:r>
        <w:rPr>
          <w:rFonts w:ascii="Arial" w:cs="Arial" w:eastAsia="Arial" w:hAnsi="Arial"/>
          <w:sz w:val="18"/>
          <w:szCs w:val="18"/>
        </w:rPr>
        <w:t xml:space="preserve">ATEX IIC: ATEX equipment certification covering gas group IIC (hydrogen, acetylene, CS₂).</w:t>
      </w:r>
    </w:p>
    <w:p>
      <w:pPr>
        <w:pStyle w:val="ListParagraph"/>
        <w:numPr>
          <w:ilvl w:val="0"/>
          <w:numId w:val="3"/>
        </w:numPr>
        <w:spacing w:after="60" w:before="60"/>
      </w:pPr>
      <w:r>
        <w:rPr>
          <w:rFonts w:ascii="Arial" w:cs="Arial" w:eastAsia="Arial" w:hAnsi="Arial"/>
          <w:sz w:val="18"/>
          <w:szCs w:val="18"/>
        </w:rPr>
        <w:t xml:space="preserve">AIT: Auto-Ignition Temperature (H₂: 500°C in air at atmospheric pressure).</w:t>
      </w:r>
    </w:p>
    <w:p>
      <w:pPr>
        <w:spacing w:after="60" w:before="60"/>
      </w:pPr>
      <w:r>
        <w:t xml:space="preserve"/>
      </w:r>
    </w:p>
    <w:p>
      <w:r>
        <w:br w:type="page"/>
      </w:r>
    </w:p>
    <w:p>
      <w:pPr>
        <w:pStyle w:val="Heading1"/>
        <w:pBdr>
          <w:bottom w:val="single" w:color="8B1A1A" w:sz="10" w:space="4"/>
        </w:pBdr>
        <w:spacing w:after="180" w:before="360"/>
      </w:pPr>
      <w:r>
        <w:rPr>
          <w:rFonts w:ascii="Arial" w:cs="Arial" w:eastAsia="Arial" w:hAnsi="Arial"/>
          <w:b/>
          <w:bCs/>
          <w:color w:val="0A2240"/>
          <w:sz w:val="28"/>
          <w:szCs w:val="28"/>
        </w:rPr>
        <w:t xml:space="preserve">2. DETAILED PROJECT DESIGN BASIS</w:t>
      </w:r>
    </w:p>
    <w:p>
      <w:pPr>
        <w:pStyle w:val="Heading2"/>
        <w:spacing w:after="120" w:before="240"/>
      </w:pPr>
      <w:r>
        <w:rPr>
          <w:rFonts w:ascii="Arial" w:cs="Arial" w:eastAsia="Arial" w:hAnsi="Arial"/>
          <w:b/>
          <w:bCs/>
          <w:color w:val="0070B8"/>
          <w:sz w:val="24"/>
          <w:szCs w:val="24"/>
        </w:rPr>
        <w:t xml:space="preserve">2.1 Owner's Design Philosophy</w:t>
      </w:r>
    </w:p>
    <w:p>
      <w:pPr>
        <w:spacing w:after="80" w:before="80"/>
      </w:pPr>
      <w:r>
        <w:rPr>
          <w:rFonts w:ascii="Arial" w:cs="Arial" w:eastAsia="Arial" w:hAnsi="Arial"/>
          <w:sz w:val="20"/>
          <w:szCs w:val="20"/>
        </w:rPr>
        <w:t xml:space="preserve">Masdar Green Hydrogen Co. LLC and MPE require the following overarching design principles to be embedded in every aspect of the HPDU design:</w:t>
      </w:r>
    </w:p>
    <w:p>
      <w:pPr>
        <w:pStyle w:val="ListParagraph"/>
        <w:numPr>
          <w:ilvl w:val="0"/>
          <w:numId w:val="3"/>
        </w:numPr>
        <w:spacing w:after="60" w:before="60"/>
      </w:pPr>
      <w:r>
        <w:rPr>
          <w:rFonts w:ascii="Arial" w:cs="Arial" w:eastAsia="Arial" w:hAnsi="Arial"/>
          <w:sz w:val="18"/>
          <w:szCs w:val="18"/>
        </w:rPr>
        <w:t xml:space="preserve">INHERENT SAFETY: H₂ hazards must be designed out at source before relying on protective layers. No 'living with the risk' approach — all identified H₂ release and ignition source scenarios must be resolved by design.</w:t>
      </w:r>
    </w:p>
    <w:p>
      <w:pPr>
        <w:pStyle w:val="ListParagraph"/>
        <w:numPr>
          <w:ilvl w:val="0"/>
          <w:numId w:val="3"/>
        </w:numPr>
        <w:spacing w:after="60" w:before="60"/>
      </w:pPr>
      <w:r>
        <w:rPr>
          <w:rFonts w:ascii="Arial" w:cs="Arial" w:eastAsia="Arial" w:hAnsi="Arial"/>
          <w:sz w:val="18"/>
          <w:szCs w:val="18"/>
        </w:rPr>
        <w:t xml:space="preserve">ZERO TOLERANCE FOR PRODUCT CONTAMINATION: ISO 14687:2019 Grade 4.0 quality is a firm requirement. The downstream product compression and hydrogen tube trailer filling system (and potential future fuel cell vehicle fueling) require consistent, certified H₂ quality. A single O₂ or moisture exceedance event is a reportable incident.</w:t>
      </w:r>
    </w:p>
    <w:p>
      <w:pPr>
        <w:pStyle w:val="ListParagraph"/>
        <w:numPr>
          <w:ilvl w:val="0"/>
          <w:numId w:val="3"/>
        </w:numPr>
        <w:spacing w:after="60" w:before="60"/>
      </w:pPr>
      <w:r>
        <w:rPr>
          <w:rFonts w:ascii="Arial" w:cs="Arial" w:eastAsia="Arial" w:hAnsi="Arial"/>
          <w:sz w:val="18"/>
          <w:szCs w:val="18"/>
        </w:rPr>
        <w:t xml:space="preserve">RELIABILITY AND CONTINUITY OF SUPPLY: The electrolyzer operates with renewable energy which may vary. HPDU must handle the full turndown range (50–100% of design flow) while maintaining outlet quality. No grace period or ramp-up period for outlet spec compliance.</w:t>
      </w:r>
    </w:p>
    <w:p>
      <w:pPr>
        <w:pStyle w:val="ListParagraph"/>
        <w:numPr>
          <w:ilvl w:val="0"/>
          <w:numId w:val="3"/>
        </w:numPr>
        <w:spacing w:after="60" w:before="60"/>
      </w:pPr>
      <w:r>
        <w:rPr>
          <w:rFonts w:ascii="Arial" w:cs="Arial" w:eastAsia="Arial" w:hAnsi="Arial"/>
          <w:sz w:val="18"/>
          <w:szCs w:val="18"/>
        </w:rPr>
        <w:t xml:space="preserve">MINIMAL HYDROGEN LOSSES: H₂ is the product — every Nm³ lost to regeneration, purging, or venting has economic value. Vendor to optimize TSA cycle and regeneration gas management to minimize H₂ loss (target ≤ 2% of inlet flow for regeneration).</w:t>
      </w:r>
    </w:p>
    <w:p>
      <w:pPr>
        <w:pStyle w:val="ListParagraph"/>
        <w:numPr>
          <w:ilvl w:val="0"/>
          <w:numId w:val="3"/>
        </w:numPr>
        <w:spacing w:after="60" w:before="60"/>
      </w:pPr>
      <w:r>
        <w:rPr>
          <w:rFonts w:ascii="Arial" w:cs="Arial" w:eastAsia="Arial" w:hAnsi="Arial"/>
          <w:sz w:val="18"/>
          <w:szCs w:val="18"/>
        </w:rPr>
        <w:t xml:space="preserve">OPERABILITY IN EXTREME CLIMATE: Al Dhafra in summer reaches 50°C ambient + solar radiation. Air-cooled equipment must achieve rated duty at 55°C design ambient without derating. All instruments and analyzers must function accurately at 55°C ambient + solar radiation exposure.</w:t>
      </w:r>
    </w:p>
    <w:p>
      <w:pPr>
        <w:pStyle w:val="ListParagraph"/>
        <w:numPr>
          <w:ilvl w:val="0"/>
          <w:numId w:val="3"/>
        </w:numPr>
        <w:spacing w:after="60" w:before="60"/>
      </w:pPr>
      <w:r>
        <w:rPr>
          <w:rFonts w:ascii="Arial" w:cs="Arial" w:eastAsia="Arial" w:hAnsi="Arial"/>
          <w:sz w:val="18"/>
          <w:szCs w:val="18"/>
        </w:rPr>
        <w:t xml:space="preserve">BILINGUAL OPERATION: All HMI interfaces, warning labels, O&amp;M manuals, and emergency procedures in Arabic and English. Site operators are predominantly Arabic-speaking Emirati nationals with 2+ years of process experience.</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2.2 Detailed Design Basis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60"/>
        <w:gridCol w:w="2800"/>
      </w:tblGrid>
      <w:tr>
        <w:tc>
          <w:tcPr>
            <w:tcW w:type="dxa" w:w="35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06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 Basis Value</w:t>
            </w:r>
          </w:p>
        </w:tc>
        <w:tc>
          <w:tcPr>
            <w:tcW w:type="dxa" w:w="28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Reference / Note</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Equipment Tag / Package ID</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HPDU-001</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 Hydrogen Purification and Drying Unit</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Design Life</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25 years</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 13702 / ASME design basis</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Plant Availability Target</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98.0% annual (reflecting need for planned maintenance windows)</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Electrolyzer follows renewable energy profile; H₂ system must match</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Design Pressure (all vessels and piping)</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40 barg</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1.33× operating pressure of 30 barg</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Hydrotest Pressure</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60 barg (1.5× design pressure – water)</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ASME VIII Div.1; N₂ leak test at 37.5 barg after hydrotest</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Design Temperature – Cold</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−20°C</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Desert night design minimum</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Design Temperature – Deoxo Reactor Shell (hot)</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300°C</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20°C margin above max adiabatic T-rise at max O₂</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Design Temperature – Regen Heater / Hot Gas Piping</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280°C</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10°C margin above regen heater outlet setpoint max</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Design Temperature – All other vessels</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100°C</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Well above any process temperature</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Maximum O₂ Inlet Concentration (design worst case)</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2.0 vol%</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PEM memb. crossover; conservative for AEL backup scenario</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Adiabatic Temperature Rise per 1 vol% O₂ (H₂ excess)</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~82°C / vol% O₂</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verify; 2H₂+O₂→2H₂O, ΔH = -242 kJ/mol</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Maximum Deoxo Outlet T at 2.0 vol% O₂ (adiabatic)</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~164°C above inlet T (inlet 180°C → outlet ~260°C)</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confirm with heat balance calculation</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Turndown Ratio (maintain outlet spec)</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50% of design flow (5,000 Nm³/h)</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Must maintain O₂ ≤ 5 ppm and H₂O ≤ 5 ppm at turndown</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Site Location</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Al Dhafra, Abu Dhabi Emirate, UAE (inland desert)</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~80 km southwest of Abu Dhabi city</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Design Ambient Temperature (air-cooled equipment sizing)</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55°C (includes +5°C solar radiation margin on ambient)</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ASHRAE 0.4% design dry bulb</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Minimum Ambient Temperature (heat tracing basis)</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−5°C</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Desert night minimum — heat tracing required on condensate lines</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Wind Speed (design)</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40 m/s (one-minute sustained)</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UAE SBC-301 wind map, Al Dhafra zone</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Seismic Acceleration (PGA design basis)</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0.05g (UAE SBC-301 Zone A)</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Low seismic risk — anchor bolt design governed</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Sand / Dust Ingress Protection</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IP66 minimum for all outdoor electrical equipment and enclosures</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Shamal wind storms carry fine sand</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Solar Radiation Design</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900 W/m²</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Account for in air-cooler sizing and outdoor T-transmitter accuracy</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ATEX Hazardous Area Classification</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Zone 1 (normal operation H₂ may be present) / IIC / T3</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IEC 60079-10-1 applied; H₂ = Group IIC, T3 (200°C surface max)</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ATEX Zone 0 Areas</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Inside HPDU vessels and piping (vendor to identify on ATEX drawing)</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Intrinsically safe instruments mandatory for Zone 0 connections</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Hydrogen Auto-Ignition Temperature (AIT)</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500°C</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ATEX T3 (200°C) provides 2.5× safety factor vs AIT</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Minimum Ignition Energy (MIE) of H₂</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0.017 mJ (extremely low)</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IEC 60079 Group IIC addresses MIE through equipment certification</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Corrosivity Category</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C3 – Medium (inland desert, ISO 12944)</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Confirm C4 if coastal storage location changes</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Painting System (structural carbon steel)</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ISO 12944 C3: 2× epoxy primer (60 μm DFT each) + polyurethane topcoat (60 μm)</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Total DFT ≥ 180 μm</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Skid Frame Material</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S355JR structural steel (EN 10025) or ASTM A572 Gr.50</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Hot-dip galvanized after fabrication per EN ISO 1461</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Noise Limit</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85 dB(A) at 1 m from any equipment surface</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EU Directive 2003/10/EC; UAE OSHAD OH-05</w:t>
            </w:r>
          </w:p>
        </w:tc>
      </w:tr>
      <w:tr>
        <w:tc>
          <w:tcPr>
            <w:tcW w:type="dxa" w:w="3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Cybersecurity (PLC/DCS interface)</w:t>
            </w:r>
          </w:p>
        </w:tc>
        <w:tc>
          <w:tcPr>
            <w:tcW w:type="dxa" w:w="3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ISA/IEC 62443 Security Level 2</w:t>
            </w:r>
          </w:p>
        </w:tc>
        <w:tc>
          <w:tcPr>
            <w:tcW w:type="dxa" w:w="2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MPE IT security team to review and approve PLC network design</w:t>
            </w:r>
          </w:p>
        </w:tc>
      </w:tr>
    </w:tbl>
    <w:p>
      <w:pPr>
        <w:spacing w:after="60" w:before="60"/>
      </w:pPr>
      <w:r>
        <w:t xml:space="preserve"/>
      </w:r>
    </w:p>
    <w:p>
      <w:pPr>
        <w:pStyle w:val="Heading2"/>
        <w:spacing w:after="120" w:before="240"/>
      </w:pPr>
      <w:r>
        <w:rPr>
          <w:rFonts w:ascii="Arial" w:cs="Arial" w:eastAsia="Arial" w:hAnsi="Arial"/>
          <w:b/>
          <w:bCs/>
          <w:color w:val="0070B8"/>
          <w:sz w:val="24"/>
          <w:szCs w:val="24"/>
        </w:rPr>
        <w:t xml:space="preserve">2.3 Process Guarantee Conditions</w:t>
      </w:r>
    </w:p>
    <w:p>
      <w:pPr>
        <w:spacing w:after="80" w:before="80"/>
      </w:pPr>
      <w:r>
        <w:rPr>
          <w:rFonts w:ascii="Arial" w:cs="Arial" w:eastAsia="Arial" w:hAnsi="Arial"/>
          <w:sz w:val="20"/>
          <w:szCs w:val="20"/>
        </w:rPr>
        <w:t xml:space="preserve">Performance guarantees (Section 5) apply under all combinations of the following operating envelope conditions. Vendor is responsible for maintaining outlet quality across the full envelope:</w:t>
      </w:r>
    </w:p>
    <w:p>
      <w:pPr>
        <w:pStyle w:val="ListParagraph"/>
        <w:numPr>
          <w:ilvl w:val="0"/>
          <w:numId w:val="3"/>
        </w:numPr>
        <w:spacing w:after="60" w:before="60"/>
      </w:pPr>
      <w:r>
        <w:rPr>
          <w:rFonts w:ascii="Arial" w:cs="Arial" w:eastAsia="Arial" w:hAnsi="Arial"/>
          <w:sz w:val="18"/>
          <w:szCs w:val="18"/>
        </w:rPr>
        <w:t xml:space="preserve">Inlet H₂ flow: 5,000 – 12,000 Nm³/h (50% to 120% of design flow)</w:t>
      </w:r>
    </w:p>
    <w:p>
      <w:pPr>
        <w:pStyle w:val="ListParagraph"/>
        <w:numPr>
          <w:ilvl w:val="0"/>
          <w:numId w:val="3"/>
        </w:numPr>
        <w:spacing w:after="60" w:before="60"/>
      </w:pPr>
      <w:r>
        <w:rPr>
          <w:rFonts w:ascii="Arial" w:cs="Arial" w:eastAsia="Arial" w:hAnsi="Arial"/>
          <w:sz w:val="18"/>
          <w:szCs w:val="18"/>
        </w:rPr>
        <w:t xml:space="preserve">Inlet O₂ concentration: 0.01 – 2.0 vol% (full range from clean-start to max crossover)</w:t>
      </w:r>
    </w:p>
    <w:p>
      <w:pPr>
        <w:pStyle w:val="ListParagraph"/>
        <w:numPr>
          <w:ilvl w:val="0"/>
          <w:numId w:val="3"/>
        </w:numPr>
        <w:spacing w:after="60" w:before="60"/>
      </w:pPr>
      <w:r>
        <w:rPr>
          <w:rFonts w:ascii="Arial" w:cs="Arial" w:eastAsia="Arial" w:hAnsi="Arial"/>
          <w:sz w:val="18"/>
          <w:szCs w:val="18"/>
        </w:rPr>
        <w:t xml:space="preserve">Inlet temperature: 40 – 80°C (saturated with water at inlet conditions)</w:t>
      </w:r>
    </w:p>
    <w:p>
      <w:pPr>
        <w:pStyle w:val="ListParagraph"/>
        <w:numPr>
          <w:ilvl w:val="0"/>
          <w:numId w:val="3"/>
        </w:numPr>
        <w:spacing w:after="60" w:before="60"/>
      </w:pPr>
      <w:r>
        <w:rPr>
          <w:rFonts w:ascii="Arial" w:cs="Arial" w:eastAsia="Arial" w:hAnsi="Arial"/>
          <w:sz w:val="18"/>
          <w:szCs w:val="18"/>
        </w:rPr>
        <w:t xml:space="preserve">Operating pressure: 27 – 35 barg</w:t>
      </w:r>
    </w:p>
    <w:p>
      <w:pPr>
        <w:pStyle w:val="ListParagraph"/>
        <w:numPr>
          <w:ilvl w:val="0"/>
          <w:numId w:val="3"/>
        </w:numPr>
        <w:spacing w:after="60" w:before="60"/>
      </w:pPr>
      <w:r>
        <w:rPr>
          <w:rFonts w:ascii="Arial" w:cs="Arial" w:eastAsia="Arial" w:hAnsi="Arial"/>
          <w:sz w:val="18"/>
          <w:szCs w:val="18"/>
        </w:rPr>
        <w:t xml:space="preserve">Ambient temperature: -5 – 50°C (55°C for air-cooled equipment duty sizing)</w:t>
      </w:r>
    </w:p>
    <w:p>
      <w:pPr>
        <w:pStyle w:val="ListParagraph"/>
        <w:numPr>
          <w:ilvl w:val="0"/>
          <w:numId w:val="3"/>
        </w:numPr>
        <w:spacing w:after="60" w:before="60"/>
      </w:pPr>
      <w:r>
        <w:rPr>
          <w:rFonts w:ascii="Arial" w:cs="Arial" w:eastAsia="Arial" w:hAnsi="Arial"/>
          <w:sz w:val="18"/>
          <w:szCs w:val="18"/>
        </w:rPr>
        <w:t xml:space="preserve">All utilities at battery limit within specification</w:t>
      </w:r>
    </w:p>
    <w:p>
      <w:pPr>
        <w:pStyle w:val="ListParagraph"/>
        <w:numPr>
          <w:ilvl w:val="0"/>
          <w:numId w:val="3"/>
        </w:numPr>
        <w:spacing w:after="60" w:before="60"/>
      </w:pPr>
      <w:r>
        <w:rPr>
          <w:rFonts w:ascii="Arial" w:cs="Arial" w:eastAsia="Arial" w:hAnsi="Arial"/>
          <w:sz w:val="18"/>
          <w:szCs w:val="18"/>
        </w:rPr>
        <w:t xml:space="preserve">Deoxo catalyst and molecular sieve within their guaranteed service life</w:t>
      </w:r>
    </w:p>
    <w:p>
      <w:pPr>
        <w:spacing w:after="80" w:before="80"/>
      </w:pPr>
      <w:r>
        <w:rPr>
          <w:rFonts w:ascii="Arial" w:cs="Arial" w:eastAsia="Arial" w:hAnsi="Arial"/>
          <w:sz w:val="20"/>
          <w:szCs w:val="20"/>
        </w:rPr>
        <w:t xml:space="preserve">If operating conditions transiently exceed this envelope (e.g., O₂ spike above 2.0 vol% due to electrolyzer upset), the ESD system shall automatically isolate the HPDU outlet within 10 seconds of exceedance detection. Performance guarantees are suspended during such events. Vendor to confirm the ESD response time in the offer.</w:t>
      </w:r>
    </w:p>
    <w:p>
      <w:pPr>
        <w:spacing w:after="60" w:before="60"/>
      </w:pPr>
      <w:r>
        <w:t xml:space="preserve"/>
      </w:r>
    </w:p>
    <w:p>
      <w:r>
        <w:br w:type="page"/>
      </w:r>
    </w:p>
    <w:p>
      <w:pPr>
        <w:pStyle w:val="Heading1"/>
        <w:pBdr>
          <w:bottom w:val="single" w:color="8B1A1A" w:sz="10" w:space="4"/>
        </w:pBdr>
        <w:spacing w:after="180" w:before="360"/>
      </w:pPr>
      <w:r>
        <w:rPr>
          <w:rFonts w:ascii="Arial" w:cs="Arial" w:eastAsia="Arial" w:hAnsi="Arial"/>
          <w:b/>
          <w:bCs/>
          <w:color w:val="0A2240"/>
          <w:sz w:val="28"/>
          <w:szCs w:val="28"/>
        </w:rPr>
        <w:t xml:space="preserve">3. BATTERY LIMITS AND INTERFACE DEFINITION</w:t>
      </w:r>
    </w:p>
    <w:p>
      <w:pPr>
        <w:pStyle w:val="Heading2"/>
        <w:spacing w:after="120" w:before="240"/>
      </w:pPr>
      <w:r>
        <w:rPr>
          <w:rFonts w:ascii="Arial" w:cs="Arial" w:eastAsia="Arial" w:hAnsi="Arial"/>
          <w:b/>
          <w:bCs/>
          <w:color w:val="0070B8"/>
          <w:sz w:val="24"/>
          <w:szCs w:val="24"/>
        </w:rPr>
        <w:t xml:space="preserve">3.1 Battery Limit Philosophy</w:t>
      </w:r>
    </w:p>
    <w:p>
      <w:pPr>
        <w:spacing w:after="80" w:before="80"/>
      </w:pPr>
      <w:r>
        <w:rPr>
          <w:rFonts w:ascii="Arial" w:cs="Arial" w:eastAsia="Arial" w:hAnsi="Arial"/>
          <w:sz w:val="20"/>
          <w:szCs w:val="20"/>
        </w:rPr>
        <w:t xml:space="preserve">The HPDU Package battery limit (BL) is defined as the face of the first process flange at the edge of the vendor's skid frame for each process, utility, electrical, and instrument connection. All equipment, piping, instruments, wiring, and structural elements within the skid frame are the Vendor's scope. Items outside the skid boundary are EPC/MPE scope unless explicitly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3CD" w:val="clear"/>
            <w:tcMar>
              <w:top w:type="dxa" w:w="100"/>
              <w:left w:type="dxa" w:w="200"/>
              <w:bottom w:type="dxa" w:w="100"/>
              <w:right w:type="dxa" w:w="200"/>
            </w:tcMar>
          </w:tcPr>
          <w:p>
            <w:r>
              <w:rPr>
                <w:rFonts w:ascii="Arial" w:cs="Arial" w:eastAsia="Arial" w:hAnsi="Arial"/>
                <w:b/>
                <w:bCs/>
                <w:color w:val="7B4F00"/>
                <w:sz w:val="19"/>
                <w:szCs w:val="19"/>
              </w:rPr>
              <w:t xml:space="preserve">⚠ CAUTION: </w:t>
            </w:r>
            <w:r>
              <w:rPr>
                <w:rFonts w:ascii="Arial" w:cs="Arial" w:eastAsia="Arial" w:hAnsi="Arial"/>
                <w:color w:val="7B4F00"/>
                <w:sz w:val="18"/>
                <w:szCs w:val="18"/>
              </w:rPr>
              <w:t xml:space="preserve">In H₂ service, BL flange mismatch is a safety risk, not just an engineering issue. Connecting a Class 150 RF flange to a Class 300 RF flange on a H₂ line can cause gasket blowout under thermal cycle. ALL BL flanges must be verified between Vendor GA drawing and MPE line list BEFORE fabrication. Vendor to flag any discrepancy immediately.</w:t>
            </w:r>
          </w:p>
        </w:tc>
      </w:tr>
    </w:tbl>
    <w:p>
      <w:pPr>
        <w:spacing w:after="60" w:before="60"/>
      </w:pPr>
      <w:r>
        <w:t xml:space="preserve"/>
      </w:r>
    </w:p>
    <w:p>
      <w:pPr>
        <w:pStyle w:val="Heading2"/>
        <w:spacing w:after="120" w:before="240"/>
      </w:pPr>
      <w:r>
        <w:rPr>
          <w:rFonts w:ascii="Arial" w:cs="Arial" w:eastAsia="Arial" w:hAnsi="Arial"/>
          <w:b/>
          <w:bCs/>
          <w:color w:val="0070B8"/>
          <w:sz w:val="24"/>
          <w:szCs w:val="24"/>
        </w:rPr>
        <w:t xml:space="preserve">3.2 HPDU Interface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580"/>
        <w:gridCol w:w="2580"/>
        <w:gridCol w:w="1000"/>
        <w:gridCol w:w="1000"/>
      </w:tblGrid>
      <w:tr>
        <w:tc>
          <w:tcPr>
            <w:tcW w:type="dxa" w:w="900"/>
            <w:gridSpan w:val="1"/>
            <w:tcBorders>
              <w:top w:val="single" w:color="B0BEC5" w:sz="1"/>
              <w:left w:val="single" w:color="B0BEC5" w:sz="1"/>
              <w:bottom w:val="single" w:color="B0BEC5" w:sz="1"/>
              <w:right w:val="single" w:color="B0BEC5" w:sz="1"/>
            </w:tcBorders>
            <w:shd w:fill="0070B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 Ref</w:t>
            </w:r>
          </w:p>
        </w:tc>
        <w:tc>
          <w:tcPr>
            <w:tcW w:type="dxa" w:w="1300"/>
            <w:gridSpan w:val="1"/>
            <w:tcBorders>
              <w:top w:val="single" w:color="B0BEC5" w:sz="1"/>
              <w:left w:val="single" w:color="B0BEC5" w:sz="1"/>
              <w:bottom w:val="single" w:color="B0BEC5" w:sz="1"/>
              <w:right w:val="single" w:color="B0BEC5" w:sz="1"/>
            </w:tcBorders>
            <w:shd w:fill="0070B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Interface Type</w:t>
            </w:r>
          </w:p>
        </w:tc>
        <w:tc>
          <w:tcPr>
            <w:tcW w:type="dxa" w:w="2580"/>
            <w:gridSpan w:val="1"/>
            <w:tcBorders>
              <w:top w:val="single" w:color="B0BEC5" w:sz="1"/>
              <w:left w:val="single" w:color="B0BEC5" w:sz="1"/>
              <w:bottom w:val="single" w:color="B0BEC5" w:sz="1"/>
              <w:right w:val="single" w:color="B0BEC5" w:sz="1"/>
            </w:tcBorders>
            <w:shd w:fill="0070B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MPE/EPC Responsibility</w:t>
            </w:r>
          </w:p>
        </w:tc>
        <w:tc>
          <w:tcPr>
            <w:tcW w:type="dxa" w:w="2580"/>
            <w:gridSpan w:val="1"/>
            <w:tcBorders>
              <w:top w:val="single" w:color="B0BEC5" w:sz="1"/>
              <w:left w:val="single" w:color="B0BEC5" w:sz="1"/>
              <w:bottom w:val="single" w:color="B0BEC5" w:sz="1"/>
              <w:right w:val="single" w:color="B0BEC5" w:sz="1"/>
            </w:tcBorders>
            <w:shd w:fill="0070B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Vendor Responsibility</w:t>
            </w:r>
          </w:p>
        </w:tc>
        <w:tc>
          <w:tcPr>
            <w:tcW w:type="dxa" w:w="1000"/>
            <w:gridSpan w:val="1"/>
            <w:tcBorders>
              <w:top w:val="single" w:color="B0BEC5" w:sz="1"/>
              <w:left w:val="single" w:color="B0BEC5" w:sz="1"/>
              <w:bottom w:val="single" w:color="B0BEC5" w:sz="1"/>
              <w:right w:val="single" w:color="B0BEC5" w:sz="1"/>
            </w:tcBorders>
            <w:shd w:fill="0070B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Flange / Terminal</w:t>
            </w:r>
          </w:p>
        </w:tc>
        <w:tc>
          <w:tcPr>
            <w:tcW w:type="dxa" w:w="1000"/>
            <w:gridSpan w:val="1"/>
            <w:tcBorders>
              <w:top w:val="single" w:color="B0BEC5" w:sz="1"/>
              <w:left w:val="single" w:color="B0BEC5" w:sz="1"/>
              <w:bottom w:val="single" w:color="B0BEC5" w:sz="1"/>
              <w:right w:val="single" w:color="B0BEC5" w:sz="1"/>
            </w:tcBorders>
            <w:shd w:fill="0070B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Rating</w:t>
            </w:r>
          </w:p>
        </w:tc>
      </w:tr>
      <w:tr>
        <w:tc>
          <w:tcPr>
            <w:tcW w:type="dxa" w:w="9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INT-01</w:t>
            </w:r>
          </w:p>
        </w:tc>
        <w:tc>
          <w:tcPr>
            <w:tcW w:type="dxa" w:w="13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H₂ Inlet (from electrolysis gas sep.)</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provides inlet valve, pressure control, and 16" line to HPDU BL flange. Gas: saturated H₂, up to 2.0 vol% O₂, 30 barg, 60°C.</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provides: first HPDU BL flange (face-to-face with EPC), inlet KO drum and all downstream HPDU equipment.</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16" (DN400)</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CL300 RF SS316L</w:t>
            </w:r>
          </w:p>
        </w:tc>
      </w:tr>
      <w:tr>
        <w:tc>
          <w:tcPr>
            <w:tcW w:type="dxa" w:w="9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INT-02</w:t>
            </w:r>
          </w:p>
        </w:tc>
        <w:tc>
          <w:tcPr>
            <w:tcW w:type="dxa" w:w="13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H₂ Outlet (to product compression)</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receives dry purified H₂ at HPDU outlet BL flange. Minimum pressure at BL: 28.5 barg. Quality: ISO 14687:2019 Grade 4.0.</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provides outlet BL flange, outlet fines filter, outlet isolation valve (motorized, fail-closed).</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16" (DN400)</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CL300 RF SS316L</w:t>
            </w:r>
          </w:p>
        </w:tc>
      </w:tr>
      <w:tr>
        <w:tc>
          <w:tcPr>
            <w:tcW w:type="dxa" w:w="9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INT-03</w:t>
            </w:r>
          </w:p>
        </w:tc>
        <w:tc>
          <w:tcPr>
            <w:tcW w:type="dxa" w:w="13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Regen Gas Return (wet H₂ from regen KO drum)</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provides connection at BL to route regen gas return to electrolyzer inlet buffer or flare header (MPE to confirm destination at PO).</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provides regen KO drum drain outlet, motorized isolation valve, BL flange. Pressure drop to suit EPC routing.</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4" (DN100)</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CL300 RF SS316L</w:t>
            </w:r>
          </w:p>
        </w:tc>
      </w:tr>
      <w:tr>
        <w:tc>
          <w:tcPr>
            <w:tcW w:type="dxa" w:w="9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INT-04</w:t>
            </w:r>
          </w:p>
        </w:tc>
        <w:tc>
          <w:tcPr>
            <w:tcW w:type="dxa" w:w="13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Produced Water Drain (from both KO drums)</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provides common produced water collection header at site. Water contains trace H₂ dissolved gas and possible trace impurities.</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provides motorized drain valve (fail-closed), BL flange on each KO drum drain. No free discharge permitted.</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 (DN50) ×2</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CL150 RF SS316L</w:t>
            </w:r>
          </w:p>
        </w:tc>
      </w:tr>
      <w:tr>
        <w:tc>
          <w:tcPr>
            <w:tcW w:type="dxa" w:w="9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INT-05</w:t>
            </w:r>
          </w:p>
        </w:tc>
        <w:tc>
          <w:tcPr>
            <w:tcW w:type="dxa" w:w="13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Electrical Power (LV, 415V / 50Hz / 3Ph)</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provides LV switchboard at HPDU skid edge. UPS 230V/50Hz for critical control circuits (minimum 1h backup).</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provides main LV distribution panel within skid, all cable routing, motor starters, and UPS connections.</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MCC Breaker</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TBC at PO</w:t>
            </w:r>
          </w:p>
        </w:tc>
      </w:tr>
      <w:tr>
        <w:tc>
          <w:tcPr>
            <w:tcW w:type="dxa" w:w="9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INT-06</w:t>
            </w:r>
          </w:p>
        </w:tc>
        <w:tc>
          <w:tcPr>
            <w:tcW w:type="dxa" w:w="13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Electrical Power (MV, 11kV) – for large air cooler fans if &gt;37 kW</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provides MV supply if required. Vendor to flag if any fan motor exceeds 37 kW nameplate.</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provides MV motor and VSD; MV cable by EPC. Vendor to provide motor datasheet with nameplate rating at offer.</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MCC Breaker</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TBC if req'd</w:t>
            </w:r>
          </w:p>
        </w:tc>
      </w:tr>
      <w:tr>
        <w:tc>
          <w:tcPr>
            <w:tcW w:type="dxa" w:w="9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INT-07</w:t>
            </w:r>
          </w:p>
        </w:tc>
        <w:tc>
          <w:tcPr>
            <w:tcW w:type="dxa" w:w="13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DCS Integration (Yokogawa CENTUM VP)</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provides DCS I/O marshalling cabinet at HPDU skid boundary. Modbus TCP or PROFINET gateway provided by EPC.</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provides all HPDU-internal PLC logic and HMI. Hard-wired critical alarms and ESD signals to EPC DCS via hardwired discrete I/O (not fieldbus for safety signals).</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Multi-core cable at BL</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24V DC / HART</w:t>
            </w:r>
          </w:p>
        </w:tc>
      </w:tr>
      <w:tr>
        <w:tc>
          <w:tcPr>
            <w:tcW w:type="dxa" w:w="9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INT-08</w:t>
            </w:r>
          </w:p>
        </w:tc>
        <w:tc>
          <w:tcPr>
            <w:tcW w:type="dxa" w:w="13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ESD System (Triconex or approved TMR)</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ESD system receives hardwired trip signals from HPDU: O₂ HH trip, H₂ leak HH trip, moisture HH trip, LT HH trip. EPC ESD provides initiator signal back to HPDU for plant-wide ESD.</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provides hardwired relay output for each HPDU ESD initiator. All hardwiring in EX-rated cable. SIL 2 loop calculation to include HPDU PLC + EPC ESD in SIL architecture.</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Terminals at MCC</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24V DC ATEX</w:t>
            </w:r>
          </w:p>
        </w:tc>
      </w:tr>
      <w:tr>
        <w:tc>
          <w:tcPr>
            <w:tcW w:type="dxa" w:w="9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INT-09</w:t>
            </w:r>
          </w:p>
        </w:tc>
        <w:tc>
          <w:tcPr>
            <w:tcW w:type="dxa" w:w="13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Instrument Air</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provides instrument air at HPDU BL: 7.0 barg, dewpoint -40°C, oil-free, clean/dry per ISO 8573-1 Class 1.4.1.</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provides instrument air distribution header within skid, pressure regulator, supply to all pneumatically actuated valves (if any – electric actuators preferred). Vendor to state IA consumption.</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 CL150 SS316L</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 barg dry</w:t>
            </w:r>
          </w:p>
        </w:tc>
      </w:tr>
      <w:tr>
        <w:tc>
          <w:tcPr>
            <w:tcW w:type="dxa" w:w="9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INT-10</w:t>
            </w:r>
          </w:p>
        </w:tc>
        <w:tc>
          <w:tcPr>
            <w:tcW w:type="dxa" w:w="13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Nitrogen (for commissioning purge only)</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provides N₂ at BL: 8 barg, purity 99.9%, dewpoint -60°C. Used ONLY for pre-commissioning purge and pressure test. N₂ not used during normal operation (no N₂ in product H₂ allowed).</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provides N₂ distribution manifold with all required connections and purge vent valves. All N₂ connections to be clearly labelled and capped/blanked during normal operation.</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 CL150 SS316L</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 barg</w:t>
            </w:r>
          </w:p>
        </w:tc>
      </w:tr>
      <w:tr>
        <w:tc>
          <w:tcPr>
            <w:tcW w:type="dxa" w:w="9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INT-11</w:t>
            </w:r>
          </w:p>
        </w:tc>
        <w:tc>
          <w:tcPr>
            <w:tcW w:type="dxa" w:w="13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Cooling Water – OPTIONAL</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may provide cooling water if air-cooled HEX is impractical due to 55°C ambient limit. Supply: 32°C, return max 45°C, 4 barg.</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flag if air cooling at 55°C ambient is technically insufficient for deoxo aftercooler or regen cooler duty. Only then request cooling water connection.</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 CL150 SS316L</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Only if required</w:t>
            </w:r>
          </w:p>
        </w:tc>
      </w:tr>
      <w:tr>
        <w:tc>
          <w:tcPr>
            <w:tcW w:type="dxa" w:w="9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INT-12</w:t>
            </w:r>
          </w:p>
        </w:tc>
        <w:tc>
          <w:tcPr>
            <w:tcW w:type="dxa" w:w="13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Foundation</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designs and constructs reinforced concrete foundation based on vendor-provided static and dynamic loads, anchor bolt template, and grouting specification.</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supply: foundation loading data table, anchor bolt setting plan (certified by structural engineer), base plate layout, grouting requirements. Due within 10 weeks of PO.</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Anchor bolts</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M24 SS316L HDG</w:t>
            </w:r>
          </w:p>
        </w:tc>
      </w:tr>
      <w:tr>
        <w:tc>
          <w:tcPr>
            <w:tcW w:type="dxa" w:w="9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INT-13</w:t>
            </w:r>
          </w:p>
        </w:tc>
        <w:tc>
          <w:tcPr>
            <w:tcW w:type="dxa" w:w="13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Earth / Grounding Network</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provides site-wide earthing network connection at HPDU skid base (min 2 earth connection points per skid).</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provides internal skid equipotential bonding: all vessels, piping, instrument racks, PLC cabinet, and skid frame bonded. Equipotential resistance: ≤ 1 ohm at any point to earth terminal. Static earthing is CRITICAL in H₂ Zone 1.</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M16 lug ×2</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316L</w:t>
            </w:r>
          </w:p>
        </w:tc>
      </w:tr>
      <w:tr>
        <w:tc>
          <w:tcPr>
            <w:tcW w:type="dxa" w:w="9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INT-14</w:t>
            </w:r>
          </w:p>
        </w:tc>
        <w:tc>
          <w:tcPr>
            <w:tcW w:type="dxa" w:w="13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H₂ Vent / Flare Connection</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provides 4" CL150 connection to plant flare header or safe atmospheric vent riser (vent must be elevated above buildings).</w:t>
            </w:r>
          </w:p>
        </w:tc>
        <w:tc>
          <w:tcPr>
            <w:tcW w:type="dxa" w:w="258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provides: PSV discharge piping, ESD blowdown valve discharge, KO drum gas vent — all routed to common BL flange for plant flare. H₂ must not be vented at grade level.</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4" CL150 SS316L</w:t>
            </w:r>
          </w:p>
        </w:tc>
        <w:tc>
          <w:tcPr>
            <w:tcW w:type="dxa" w:w="1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BL header</w:t>
            </w:r>
          </w:p>
        </w:tc>
      </w:tr>
    </w:tbl>
    <w:p>
      <w:pPr>
        <w:spacing w:after="60" w:before="60"/>
      </w:pPr>
      <w:r>
        <w:t xml:space="preserve"/>
      </w:r>
    </w:p>
    <w:p>
      <w:pPr>
        <w:pStyle w:val="Heading2"/>
        <w:spacing w:after="120" w:before="240"/>
      </w:pPr>
      <w:r>
        <w:rPr>
          <w:rFonts w:ascii="Arial" w:cs="Arial" w:eastAsia="Arial" w:hAnsi="Arial"/>
          <w:b/>
          <w:bCs/>
          <w:color w:val="0070B8"/>
          <w:sz w:val="24"/>
          <w:szCs w:val="24"/>
        </w:rPr>
        <w:t xml:space="preserve">3.3 Battery Limit Flange Summary</w:t>
      </w:r>
    </w:p>
    <w:p>
      <w:pPr>
        <w:pStyle w:val="ListParagraph"/>
        <w:numPr>
          <w:ilvl w:val="0"/>
          <w:numId w:val="3"/>
        </w:numPr>
        <w:spacing w:after="60" w:before="60"/>
      </w:pPr>
      <w:r>
        <w:rPr>
          <w:rFonts w:ascii="Arial" w:cs="Arial" w:eastAsia="Arial" w:hAnsi="Arial"/>
          <w:sz w:val="18"/>
          <w:szCs w:val="18"/>
        </w:rPr>
        <w:t xml:space="preserve">All H₂ process gas BL flanges: SS316L ANSI Class 300 Raised Face minimum. Confirm size on GA drawing.</w:t>
      </w:r>
    </w:p>
    <w:p>
      <w:pPr>
        <w:pStyle w:val="ListParagraph"/>
        <w:numPr>
          <w:ilvl w:val="0"/>
          <w:numId w:val="3"/>
        </w:numPr>
        <w:spacing w:after="60" w:before="60"/>
      </w:pPr>
      <w:r>
        <w:rPr>
          <w:rFonts w:ascii="Arial" w:cs="Arial" w:eastAsia="Arial" w:hAnsi="Arial"/>
          <w:sz w:val="18"/>
          <w:szCs w:val="18"/>
        </w:rPr>
        <w:t xml:space="preserve">All BL flanges to be clearly labeled on General Arrangement drawing with: 'VENDOR SCOPE ENDS / EPC SCOPE BEGINS – Interface INT-XX'.</w:t>
      </w:r>
    </w:p>
    <w:p>
      <w:pPr>
        <w:pStyle w:val="ListParagraph"/>
        <w:numPr>
          <w:ilvl w:val="0"/>
          <w:numId w:val="3"/>
        </w:numPr>
        <w:spacing w:after="60" w:before="60"/>
      </w:pPr>
      <w:r>
        <w:rPr>
          <w:rFonts w:ascii="Arial" w:cs="Arial" w:eastAsia="Arial" w:hAnsi="Arial"/>
          <w:sz w:val="18"/>
          <w:szCs w:val="18"/>
        </w:rPr>
        <w:t xml:space="preserve">Blind flanges / end caps: Vendor to supply SS316L blind flanges on all BL process nozzles for preservation during transport and storage.</w:t>
      </w:r>
    </w:p>
    <w:p>
      <w:pPr>
        <w:pStyle w:val="ListParagraph"/>
        <w:numPr>
          <w:ilvl w:val="0"/>
          <w:numId w:val="3"/>
        </w:numPr>
        <w:spacing w:after="60" w:before="60"/>
      </w:pPr>
      <w:r>
        <w:rPr>
          <w:rFonts w:ascii="Arial" w:cs="Arial" w:eastAsia="Arial" w:hAnsi="Arial"/>
          <w:sz w:val="18"/>
          <w:szCs w:val="18"/>
        </w:rPr>
        <w:t xml:space="preserve">Electrical BL: Defined at the first terminal in the HPDU local control panel (LCP) or MCC feed breaker.</w:t>
      </w:r>
    </w:p>
    <w:p>
      <w:pPr>
        <w:spacing w:after="60" w:before="60"/>
      </w:pPr>
      <w:r>
        <w:t xml:space="preserve"/>
      </w:r>
    </w:p>
    <w:p>
      <w:r>
        <w:br w:type="page"/>
      </w:r>
    </w:p>
    <w:p>
      <w:pPr>
        <w:pStyle w:val="Heading1"/>
        <w:pBdr>
          <w:bottom w:val="single" w:color="8B1A1A" w:sz="10" w:space="4"/>
        </w:pBdr>
        <w:spacing w:after="180" w:before="360"/>
      </w:pPr>
      <w:r>
        <w:rPr>
          <w:rFonts w:ascii="Arial" w:cs="Arial" w:eastAsia="Arial" w:hAnsi="Arial"/>
          <w:b/>
          <w:bCs/>
          <w:color w:val="0A2240"/>
          <w:sz w:val="28"/>
          <w:szCs w:val="28"/>
        </w:rPr>
        <w:t xml:space="preserve">4. REGULATORY AND STANDARDS COMPLIANCE</w:t>
      </w:r>
    </w:p>
    <w:p>
      <w:pPr>
        <w:pStyle w:val="Heading2"/>
        <w:spacing w:after="120" w:before="240"/>
      </w:pPr>
      <w:r>
        <w:rPr>
          <w:rFonts w:ascii="Arial" w:cs="Arial" w:eastAsia="Arial" w:hAnsi="Arial"/>
          <w:b/>
          <w:bCs/>
          <w:color w:val="0070B8"/>
          <w:sz w:val="24"/>
          <w:szCs w:val="24"/>
        </w:rPr>
        <w:t xml:space="preserve">4.1 UAE Regulatory Framework</w:t>
      </w:r>
    </w:p>
    <w:p>
      <w:pPr>
        <w:pStyle w:val="ListParagraph"/>
        <w:numPr>
          <w:ilvl w:val="0"/>
          <w:numId w:val="3"/>
        </w:numPr>
        <w:spacing w:after="60" w:before="60"/>
      </w:pPr>
      <w:r>
        <w:rPr>
          <w:rFonts w:ascii="Arial" w:cs="Arial" w:eastAsia="Arial" w:hAnsi="Arial"/>
          <w:sz w:val="18"/>
          <w:szCs w:val="18"/>
        </w:rPr>
        <w:t xml:space="preserve">Abu Dhabi Department of Energy (DoE): All major pressure systems (vessels &gt; 1 barg) to be registered with Abu Dhabi DoE prior to commissioning. Vendor to supply documentation package for UAE pressure vessel registration: design drawings (bilingual EN/AR), third-party inspection certificate, materials certificates, ASME U-stamp certificate (or PED CE mark with NoBo certificate).</w:t>
      </w:r>
    </w:p>
    <w:p>
      <w:pPr>
        <w:pStyle w:val="ListParagraph"/>
        <w:numPr>
          <w:ilvl w:val="0"/>
          <w:numId w:val="3"/>
        </w:numPr>
        <w:spacing w:after="60" w:before="60"/>
      </w:pPr>
      <w:r>
        <w:rPr>
          <w:rFonts w:ascii="Arial" w:cs="Arial" w:eastAsia="Arial" w:hAnsi="Arial"/>
          <w:sz w:val="18"/>
          <w:szCs w:val="18"/>
        </w:rPr>
        <w:t xml:space="preserve">UAE Ministry of Energy and Infrastructure (MoEI): Hydrogen facilities are regulated under the UAE National Hydrogen Strategy (2021). Vendor to confirm that HPDU design aligns with applicable UAE H₂ safety guidelines.</w:t>
      </w:r>
    </w:p>
    <w:p>
      <w:pPr>
        <w:pStyle w:val="ListParagraph"/>
        <w:numPr>
          <w:ilvl w:val="0"/>
          <w:numId w:val="3"/>
        </w:numPr>
        <w:spacing w:after="60" w:before="60"/>
      </w:pPr>
      <w:r>
        <w:rPr>
          <w:rFonts w:ascii="Arial" w:cs="Arial" w:eastAsia="Arial" w:hAnsi="Arial"/>
          <w:sz w:val="18"/>
          <w:szCs w:val="18"/>
        </w:rPr>
        <w:t xml:space="preserve">Abu Dhabi OSHAD Safety Framework (OSHAD-SF): All equipment to comply with OSHAD Occupational Safety Health Framework, specifically the following Technical Guidelines: TG-04 (Hazardous Substances), TG-07 (Mechanical and Electrical Isolation), TG-08 (Pressure Systems).</w:t>
      </w:r>
    </w:p>
    <w:p>
      <w:pPr>
        <w:pStyle w:val="ListParagraph"/>
        <w:numPr>
          <w:ilvl w:val="0"/>
          <w:numId w:val="3"/>
        </w:numPr>
        <w:spacing w:after="60" w:before="60"/>
      </w:pPr>
      <w:r>
        <w:rPr>
          <w:rFonts w:ascii="Arial" w:cs="Arial" w:eastAsia="Arial" w:hAnsi="Arial"/>
          <w:sz w:val="18"/>
          <w:szCs w:val="18"/>
        </w:rPr>
        <w:t xml:space="preserve">UAE National Fire Code (NFPA 1 as adopted): Hydrogen compressed gas storage and handling per NFPA 55. Vendor to declare: (a) maximum H₂ inventory within HPDU at any operating condition; (b) confirmation that flammable inventory is below NFPA 55 threshold for permit-required quantity or provide relevant hazard analysis.</w:t>
      </w:r>
    </w:p>
    <w:p>
      <w:pPr>
        <w:pStyle w:val="ListParagraph"/>
        <w:numPr>
          <w:ilvl w:val="0"/>
          <w:numId w:val="3"/>
        </w:numPr>
        <w:spacing w:after="60" w:before="60"/>
      </w:pPr>
      <w:r>
        <w:rPr>
          <w:rFonts w:ascii="Arial" w:cs="Arial" w:eastAsia="Arial" w:hAnsi="Arial"/>
          <w:sz w:val="18"/>
          <w:szCs w:val="18"/>
        </w:rPr>
        <w:t xml:space="preserve">Abu Dhabi Building Code (ADBC-301): Structural design for UAE wind (40 m/s) and seismic (PGA 0.05g) per UAE SBC-301.</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4.2 International Standards Compliance</w:t>
      </w:r>
    </w:p>
    <w:p>
      <w:pPr>
        <w:pStyle w:val="ListParagraph"/>
        <w:numPr>
          <w:ilvl w:val="0"/>
          <w:numId w:val="3"/>
        </w:numPr>
        <w:spacing w:after="60" w:before="60"/>
      </w:pPr>
      <w:r>
        <w:rPr>
          <w:rFonts w:ascii="Arial" w:cs="Arial" w:eastAsia="Arial" w:hAnsi="Arial"/>
          <w:sz w:val="18"/>
          <w:szCs w:val="18"/>
        </w:rPr>
        <w:t xml:space="preserve">ASME Section VIII Div.1 and ASME B31.12: Mandatory for pressure vessels and hydrogen piping respectively. U-stamp required on all vessels. ASME B31.12 design qualification required for all H₂ service piping (vendor to confirm engineering team holds ASME B31.12 experience).</w:t>
      </w:r>
    </w:p>
    <w:p>
      <w:pPr>
        <w:pStyle w:val="ListParagraph"/>
        <w:numPr>
          <w:ilvl w:val="0"/>
          <w:numId w:val="3"/>
        </w:numPr>
        <w:spacing w:after="60" w:before="60"/>
      </w:pPr>
      <w:r>
        <w:rPr>
          <w:rFonts w:ascii="Arial" w:cs="Arial" w:eastAsia="Arial" w:hAnsi="Arial"/>
          <w:sz w:val="18"/>
          <w:szCs w:val="18"/>
        </w:rPr>
        <w:t xml:space="preserve">ISO 14687:2019: Output quality standard — all outlet gas parameters to meet Grade 4.0 minimum. Vendor to certify ISO 14687 compliance at FAT (using N₂ as test gas) and at SAT (using real H₂, optional OPT-D).</w:t>
      </w:r>
    </w:p>
    <w:p>
      <w:pPr>
        <w:pStyle w:val="ListParagraph"/>
        <w:numPr>
          <w:ilvl w:val="0"/>
          <w:numId w:val="3"/>
        </w:numPr>
        <w:spacing w:after="60" w:before="60"/>
      </w:pPr>
      <w:r>
        <w:rPr>
          <w:rFonts w:ascii="Arial" w:cs="Arial" w:eastAsia="Arial" w:hAnsi="Arial"/>
          <w:sz w:val="18"/>
          <w:szCs w:val="18"/>
        </w:rPr>
        <w:t xml:space="preserve">IEC 60079 series (ATEX IIC): All electrical equipment in Zone 1 to carry valid ATEX IIC T3 or T4 certificate. IECEx accepted if equivalent protection level. No exceptions.</w:t>
      </w:r>
    </w:p>
    <w:p>
      <w:pPr>
        <w:pStyle w:val="ListParagraph"/>
        <w:numPr>
          <w:ilvl w:val="0"/>
          <w:numId w:val="3"/>
        </w:numPr>
        <w:spacing w:after="60" w:before="60"/>
      </w:pPr>
      <w:r>
        <w:rPr>
          <w:rFonts w:ascii="Arial" w:cs="Arial" w:eastAsia="Arial" w:hAnsi="Arial"/>
          <w:sz w:val="18"/>
          <w:szCs w:val="18"/>
        </w:rPr>
        <w:t xml:space="preserve">IEC 61511 (SIL 2): ESD / SIS functions (O₂ HH trip, H₂ leak HH trip, moisture HH trip, LT HH trips, deoxo T HH trip) to be designed and verified to SIL 2. Vendor to submit full SIL assessment (HAZOP→LOPA→SIL verification) within 16 weeks of PO.</w:t>
      </w:r>
    </w:p>
    <w:p>
      <w:pPr>
        <w:pStyle w:val="ListParagraph"/>
        <w:numPr>
          <w:ilvl w:val="0"/>
          <w:numId w:val="3"/>
        </w:numPr>
        <w:spacing w:after="60" w:before="60"/>
      </w:pPr>
      <w:r>
        <w:rPr>
          <w:rFonts w:ascii="Arial" w:cs="Arial" w:eastAsia="Arial" w:hAnsi="Arial"/>
          <w:sz w:val="18"/>
          <w:szCs w:val="18"/>
        </w:rPr>
        <w:t xml:space="preserve">ISO 9001:2015: Quality management certification from IAF-accredited body mandatory for vendor and all major sub-vendors (catalyst manufacturer, sieve manufacturer, ATEX analyzer supplier).</w:t>
      </w:r>
    </w:p>
    <w:p>
      <w:pPr>
        <w:spacing w:after="60" w:before="60"/>
      </w:pPr>
      <w:r>
        <w:t xml:space="preserve"/>
      </w:r>
    </w:p>
    <w:p>
      <w:r>
        <w:br w:type="page"/>
      </w:r>
    </w:p>
    <w:p>
      <w:pPr>
        <w:pStyle w:val="Heading1"/>
        <w:pBdr>
          <w:bottom w:val="single" w:color="8B1A1A" w:sz="10" w:space="4"/>
        </w:pBdr>
        <w:spacing w:after="180" w:before="360"/>
      </w:pPr>
      <w:r>
        <w:rPr>
          <w:rFonts w:ascii="Arial" w:cs="Arial" w:eastAsia="Arial" w:hAnsi="Arial"/>
          <w:b/>
          <w:bCs/>
          <w:color w:val="0A2240"/>
          <w:sz w:val="28"/>
          <w:szCs w:val="28"/>
        </w:rPr>
        <w:t xml:space="preserve">5. PERFORMANCE GUARANTEES AND ACCEPTANCE CRITERIA</w:t>
      </w:r>
    </w:p>
    <w:p>
      <w:pPr>
        <w:pStyle w:val="Heading2"/>
        <w:spacing w:after="120" w:before="240"/>
      </w:pPr>
      <w:r>
        <w:rPr>
          <w:rFonts w:ascii="Arial" w:cs="Arial" w:eastAsia="Arial" w:hAnsi="Arial"/>
          <w:b/>
          <w:bCs/>
          <w:color w:val="0070B8"/>
          <w:sz w:val="24"/>
          <w:szCs w:val="24"/>
        </w:rPr>
        <w:t xml:space="preserve">5.1 Overview and Guarantee Conditions</w:t>
      </w:r>
    </w:p>
    <w:p>
      <w:pPr>
        <w:spacing w:after="80" w:before="80"/>
      </w:pPr>
      <w:r>
        <w:rPr>
          <w:rFonts w:ascii="Arial" w:cs="Arial" w:eastAsia="Arial" w:hAnsi="Arial"/>
          <w:sz w:val="20"/>
          <w:szCs w:val="20"/>
        </w:rPr>
        <w:t xml:space="preserve">The following performance guarantees are firm contractual commitments by the Vendor. They are measured under the conditions stated in Section 2.3 (Process Guarantee Conditions) and shall be demonstrated during commissioning or during the optional 72-hour Site Acceptance Test (SAT, OPT-D). The table below is the master contractual reference for all HPDU performance obligations.</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5.2 Complete Performance Guarantee 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160"/>
        <w:gridCol w:w="1400"/>
        <w:gridCol w:w="1200"/>
      </w:tblGrid>
      <w:tr>
        <w:tc>
          <w:tcPr>
            <w:tcW w:type="dxa" w:w="2600"/>
            <w:gridSpan w:val="1"/>
            <w:tcBorders>
              <w:top w:val="single" w:color="B0BEC5" w:sz="1"/>
              <w:left w:val="single" w:color="B0BEC5" w:sz="1"/>
              <w:bottom w:val="single" w:color="B0BEC5" w:sz="1"/>
              <w:right w:val="single" w:color="B0BEC5" w:sz="1"/>
            </w:tcBorders>
            <w:shd w:fill="0070B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Performance Parameter</w:t>
            </w:r>
          </w:p>
        </w:tc>
        <w:tc>
          <w:tcPr>
            <w:tcW w:type="dxa" w:w="2000"/>
            <w:gridSpan w:val="1"/>
            <w:tcBorders>
              <w:top w:val="single" w:color="B0BEC5" w:sz="1"/>
              <w:left w:val="single" w:color="B0BEC5" w:sz="1"/>
              <w:bottom w:val="single" w:color="B0BEC5" w:sz="1"/>
              <w:right w:val="single" w:color="B0BEC5" w:sz="1"/>
            </w:tcBorders>
            <w:shd w:fill="0070B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Guaranteed Value</w:t>
            </w:r>
          </w:p>
        </w:tc>
        <w:tc>
          <w:tcPr>
            <w:tcW w:type="dxa" w:w="2160"/>
            <w:gridSpan w:val="1"/>
            <w:tcBorders>
              <w:top w:val="single" w:color="B0BEC5" w:sz="1"/>
              <w:left w:val="single" w:color="B0BEC5" w:sz="1"/>
              <w:bottom w:val="single" w:color="B0BEC5" w:sz="1"/>
              <w:right w:val="single" w:color="B0BEC5" w:sz="1"/>
            </w:tcBorders>
            <w:shd w:fill="0070B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Measurement Method</w:t>
            </w:r>
          </w:p>
        </w:tc>
        <w:tc>
          <w:tcPr>
            <w:tcW w:type="dxa" w:w="1400"/>
            <w:gridSpan w:val="1"/>
            <w:tcBorders>
              <w:top w:val="single" w:color="B0BEC5" w:sz="1"/>
              <w:left w:val="single" w:color="B0BEC5" w:sz="1"/>
              <w:bottom w:val="single" w:color="B0BEC5" w:sz="1"/>
              <w:right w:val="single" w:color="B0BEC5" w:sz="1"/>
            </w:tcBorders>
            <w:shd w:fill="0070B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LD Trigger?</w:t>
            </w:r>
          </w:p>
        </w:tc>
        <w:tc>
          <w:tcPr>
            <w:tcW w:type="dxa" w:w="1200"/>
            <w:gridSpan w:val="1"/>
            <w:tcBorders>
              <w:top w:val="single" w:color="B0BEC5" w:sz="1"/>
              <w:left w:val="single" w:color="B0BEC5" w:sz="1"/>
              <w:bottom w:val="single" w:color="B0BEC5" w:sz="1"/>
              <w:right w:val="single" w:color="B0BEC5" w:sz="1"/>
            </w:tcBorders>
            <w:shd w:fill="0070B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Reference</w:t>
            </w:r>
          </w:p>
        </w:tc>
      </w:tr>
      <w:tr>
        <w:tc>
          <w:tcPr>
            <w:gridSpan w:val="5"/>
            <w:tcBorders>
              <w:top w:val="single" w:color="B0BEC5" w:sz="1"/>
              <w:left w:val="single" w:color="B0BEC5" w:sz="1"/>
              <w:bottom w:val="single" w:color="B0BEC5" w:sz="1"/>
              <w:right w:val="single" w:color="B0BEC5" w:sz="1"/>
            </w:tcBorders>
            <w:shd w:fill="007A7C" w:val="clear"/>
            <w:tcMar>
              <w:top w:type="dxa" w:w="50"/>
              <w:left w:type="dxa" w:w="120"/>
              <w:bottom w:type="dxa" w:w="50"/>
              <w:right w:type="dxa" w:w="120"/>
            </w:tcMar>
          </w:tcPr>
          <w:p>
            <w:r>
              <w:rPr>
                <w:rFonts w:ascii="Arial" w:cs="Arial" w:eastAsia="Arial" w:hAnsi="Arial"/>
                <w:b/>
                <w:bCs/>
                <w:color w:val="FFFFFF"/>
                <w:sz w:val="18"/>
                <w:szCs w:val="18"/>
              </w:rPr>
              <w:t xml:space="preserve">A. PRIMARY PURIFICATION PERFORMANCE</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H₂ Purity at outlet (min)</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99.995 mol% (guarantee; ISO requires 99.99%)</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GC analysis per ISO 14687 Annex A; min quarterly during operation</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 14687:2019</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O₂ at HPDU outlet (max)</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5 ppm vol (design target ≤ 1 ppm)</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Online electrochemical O₂ analyser #2 at outlet BL; 24h average</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 – PRIMARY LD</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 14687:2019</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H₂O at HPDU outlet (max)</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5 ppm vol (design target ≤ 2 ppm)</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Online Al₂O₃/QCM moisture analyser at outlet BL; 24h average</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 – PRIMARY LD</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 14687:2019</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Water dewpoint at 30 barg</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-65°C (design -70°C)</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Calculated from moisture content per ISO 23874</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 14687:2019</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Moisture spike at TSA bed switchover (max duration above 5 ppm)</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15 minutes per switchover event</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Continuous moisture analyser trend; logged in PLC historian</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 – per event &gt; 15 min</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Project spec</w:t>
            </w:r>
          </w:p>
        </w:tc>
      </w:tr>
      <w:tr>
        <w:tc>
          <w:tcPr>
            <w:gridSpan w:val="5"/>
            <w:tcBorders>
              <w:top w:val="single" w:color="B0BEC5" w:sz="1"/>
              <w:left w:val="single" w:color="B0BEC5" w:sz="1"/>
              <w:bottom w:val="single" w:color="B0BEC5" w:sz="1"/>
              <w:right w:val="single" w:color="B0BEC5" w:sz="1"/>
            </w:tcBorders>
            <w:shd w:fill="007A7C" w:val="clear"/>
            <w:tcMar>
              <w:top w:type="dxa" w:w="50"/>
              <w:left w:type="dxa" w:w="120"/>
              <w:bottom w:type="dxa" w:w="50"/>
              <w:right w:type="dxa" w:w="120"/>
            </w:tcMar>
          </w:tcPr>
          <w:p>
            <w:r>
              <w:rPr>
                <w:rFonts w:ascii="Arial" w:cs="Arial" w:eastAsia="Arial" w:hAnsi="Arial"/>
                <w:b/>
                <w:bCs/>
                <w:color w:val="FFFFFF"/>
                <w:sz w:val="18"/>
                <w:szCs w:val="18"/>
              </w:rPr>
              <w:t xml:space="preserve">B. DEOXO REACTOR PERFORMANCE</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O₂ conversion efficiency (post-deoxo, pre-dryers)</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99.97% O₂ removal (outlet O₂ ≤ 60 ppm post-deoxo at 2.0 vol% inlet O₂)</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Online O₂ analyser #1 (post-deoxo, pre-dryers)</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design</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Deoxo catalyst life (minimum guaranteed)</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2 years maintaining O₂ outlet ≤ 5 ppm at HPDU outlet</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Continuous O₂ analyser monitoring. Catalyst activity test annually.</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 – vendor replaces at vendor's cost</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design</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Deoxo reactor outlet temperature at max O₂ (adiabatic)</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Must not exceed 290°C under any operating condition within the defined O₂ envelope</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4 thermocouples in deoxo bed; PLC trend and alarm</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 – if exceeded, ESD trip</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Safety / design</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O₂ not introduced by HPDU into product H₂ during normal operation or regeneration</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5 ppm O₂ at all times (GDU must not introduce O₂ via regen gas, air-side leakage, etc.)</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O₂ analyser #2 at outlet; DCS trend monitor</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 – safety critical</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Safety critical</w:t>
            </w:r>
          </w:p>
        </w:tc>
      </w:tr>
      <w:tr>
        <w:tc>
          <w:tcPr>
            <w:gridSpan w:val="5"/>
            <w:tcBorders>
              <w:top w:val="single" w:color="B0BEC5" w:sz="1"/>
              <w:left w:val="single" w:color="B0BEC5" w:sz="1"/>
              <w:bottom w:val="single" w:color="B0BEC5" w:sz="1"/>
              <w:right w:val="single" w:color="B0BEC5" w:sz="1"/>
            </w:tcBorders>
            <w:shd w:fill="007A7C" w:val="clear"/>
            <w:tcMar>
              <w:top w:type="dxa" w:w="50"/>
              <w:left w:type="dxa" w:w="120"/>
              <w:bottom w:type="dxa" w:w="50"/>
              <w:right w:type="dxa" w:w="120"/>
            </w:tcMar>
          </w:tcPr>
          <w:p>
            <w:r>
              <w:rPr>
                <w:rFonts w:ascii="Arial" w:cs="Arial" w:eastAsia="Arial" w:hAnsi="Arial"/>
                <w:b/>
                <w:bCs/>
                <w:color w:val="FFFFFF"/>
                <w:sz w:val="18"/>
                <w:szCs w:val="18"/>
              </w:rPr>
              <w:t xml:space="preserve">C. TSA MOLECULAR SIEVE DRYING PERFORMANCE</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Molecular sieve life (minimum, 3A)</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3 years before first replacement under design operating conditions</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H₂O breakthrough monitoring per online analyser. Annual trend review.</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 – vendor replaces at vendor's cost if &lt; 3 years</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Project spec</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Activated alumina guard layer life (minimum)</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2 years per vendor specification</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Pressure drop monitoring across AA layer; visual at planned sieve inspections</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 – vendor replaces at vendor's cost</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Project spec</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H₂ loss to TSA regeneration (time-averaged over 1 full cycle)</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2% of inlet H₂ flow</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Flow meter on regen gas loop; H₂ loss calculated by mass balance</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 – above 2% triggers regen cycle optimization review and redesign at vendor's cost</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Project spec</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Regen cooler outlet temperature (prior to KO drum)</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40°C</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TT at regen cooler outlet / KO drum inlet at design ambient 55°C</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 – KO drum sizing basis</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Project spec</w:t>
            </w:r>
          </w:p>
        </w:tc>
      </w:tr>
      <w:tr>
        <w:tc>
          <w:tcPr>
            <w:gridSpan w:val="5"/>
            <w:tcBorders>
              <w:top w:val="single" w:color="B0BEC5" w:sz="1"/>
              <w:left w:val="single" w:color="B0BEC5" w:sz="1"/>
              <w:bottom w:val="single" w:color="B0BEC5" w:sz="1"/>
              <w:right w:val="single" w:color="B0BEC5" w:sz="1"/>
            </w:tcBorders>
            <w:shd w:fill="007A7C" w:val="clear"/>
            <w:tcMar>
              <w:top w:type="dxa" w:w="50"/>
              <w:left w:type="dxa" w:w="120"/>
              <w:bottom w:type="dxa" w:w="50"/>
              <w:right w:type="dxa" w:w="120"/>
            </w:tcMar>
          </w:tcPr>
          <w:p>
            <w:r>
              <w:rPr>
                <w:rFonts w:ascii="Arial" w:cs="Arial" w:eastAsia="Arial" w:hAnsi="Arial"/>
                <w:b/>
                <w:bCs/>
                <w:color w:val="FFFFFF"/>
                <w:sz w:val="18"/>
                <w:szCs w:val="18"/>
              </w:rPr>
              <w:t xml:space="preserve">D. HYDRAULIC PERFORMANCE</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Maximum package ΔP at design flow (10,000 Nm³/h)</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1.5 barg total (inlet BL flange to outlet BL flange)</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DPT across HPDU at design flow; confirmed by commissioning pressure test</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Project spec</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Minimum outlet pressure at max flow (12,000 Nm³/h)</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28.5 barg (downstream compression inlet requirement)</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PT at outlet BL flange during max flow commissioning check</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Downstream req't</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Outlet temperature at HPDU BL flange</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45°C (downstream compression inlet limit)</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TT at outlet BL</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Project spec</w:t>
            </w:r>
          </w:p>
        </w:tc>
      </w:tr>
      <w:tr>
        <w:tc>
          <w:tcPr>
            <w:gridSpan w:val="5"/>
            <w:tcBorders>
              <w:top w:val="single" w:color="B0BEC5" w:sz="1"/>
              <w:left w:val="single" w:color="B0BEC5" w:sz="1"/>
              <w:bottom w:val="single" w:color="B0BEC5" w:sz="1"/>
              <w:right w:val="single" w:color="B0BEC5" w:sz="1"/>
            </w:tcBorders>
            <w:shd w:fill="007A7C" w:val="clear"/>
            <w:tcMar>
              <w:top w:type="dxa" w:w="50"/>
              <w:left w:type="dxa" w:w="120"/>
              <w:bottom w:type="dxa" w:w="50"/>
              <w:right w:type="dxa" w:w="120"/>
            </w:tcMar>
          </w:tcPr>
          <w:p>
            <w:r>
              <w:rPr>
                <w:rFonts w:ascii="Arial" w:cs="Arial" w:eastAsia="Arial" w:hAnsi="Arial"/>
                <w:b/>
                <w:bCs/>
                <w:color w:val="FFFFFF"/>
                <w:sz w:val="18"/>
                <w:szCs w:val="18"/>
              </w:rPr>
              <w:t xml:space="preserve">E. TRACE IMPURITY COMPLIANCE (ISO 14687:2019 Grade 4.0)</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CO₂ at outlet</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2 ppm vol</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GC periodic sampling + optional continuous analyser (OPT-B)</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 14687:2019</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 at outlet</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0.2 ppm vol</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GC periodic sampling + optional continuous analyser (OPT-B)</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 14687:2019</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Total particulates (fines) at outlet</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1 mg/kg H₂</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Isokinetic sampling per ISO 9096 at outlet BL nozzle</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 14687:2019</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NH₃ at outlet</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0.1 ppm vol</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GC-NPD periodic sampling</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 14687:2019</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N₂ + Ar (inerts) – pass-through from inlet</w:t>
            </w:r>
          </w:p>
        </w:tc>
        <w:tc>
          <w:tcPr>
            <w:tcW w:type="dxa" w:w="20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100 ppm vol (HPDU does not remove N₂ – confirm inlet level is within budget)</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GC periodic sampling</w:t>
            </w:r>
          </w:p>
        </w:tc>
        <w:tc>
          <w:tcPr>
            <w:tcW w:type="dxa" w:w="14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PASS-THROUGH – confirm inlet N₂ level at offer</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 14687:2019</w:t>
            </w:r>
          </w:p>
        </w:tc>
      </w:tr>
      <w:tr>
        <w:tc>
          <w:tcPr>
            <w:gridSpan w:val="5"/>
            <w:tcBorders>
              <w:top w:val="single" w:color="B0BEC5" w:sz="1"/>
              <w:left w:val="single" w:color="B0BEC5" w:sz="1"/>
              <w:bottom w:val="single" w:color="B0BEC5" w:sz="1"/>
              <w:right w:val="single" w:color="B0BEC5" w:sz="1"/>
            </w:tcBorders>
            <w:shd w:fill="007A7C" w:val="clear"/>
            <w:tcMar>
              <w:top w:type="dxa" w:w="50"/>
              <w:left w:type="dxa" w:w="120"/>
              <w:bottom w:type="dxa" w:w="50"/>
              <w:right w:type="dxa" w:w="120"/>
            </w:tcMar>
          </w:tcPr>
          <w:p>
            <w:r>
              <w:rPr>
                <w:rFonts w:ascii="Arial" w:cs="Arial" w:eastAsia="Arial" w:hAnsi="Arial"/>
                <w:b/>
                <w:bCs/>
                <w:color w:val="FFFFFF"/>
                <w:sz w:val="18"/>
                <w:szCs w:val="18"/>
              </w:rPr>
              <w:t xml:space="preserve">F. SAFETY AND ENVIRONMENTAL</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Noise at 1 m from any equipment</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85 dB(A)</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Sound level meter during commissioning</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 – regulatory</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UAE OSHAD OH-05</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Plant availability (annual)</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98.0% annual on-stream factor (design target; not LD trigger)</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Planned maintenance schedule in O&amp;M manual; review at 12-month post-commissioning audit</w:t>
            </w:r>
          </w:p>
        </w:tc>
        <w:tc>
          <w:tcPr>
            <w:tcW w:type="dxa" w:w="14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NO – design target only</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Project spec</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Uncontrolled H₂ atmospheric venting (during normal operation)</w:t>
            </w:r>
          </w:p>
        </w:tc>
        <w:tc>
          <w:tcPr>
            <w:tcW w:type="dxa" w:w="2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Zero – no uncontrolled H₂ vent at grade level permitted</w:t>
            </w:r>
          </w:p>
        </w:tc>
        <w:tc>
          <w:tcPr>
            <w:tcW w:type="dxa" w:w="2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PSV and ESD vents routed to flare/elevated vent. Confirmed by P&amp;ID review and field inspection.</w:t>
            </w:r>
          </w:p>
        </w:tc>
        <w:tc>
          <w:tcPr>
            <w:tcW w:type="dxa" w:w="14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 – HSE / regulatory violation if violated</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NFPA 55; OSHAD</w:t>
            </w:r>
          </w:p>
        </w:tc>
      </w:tr>
    </w:tbl>
    <w:p>
      <w:pPr>
        <w:spacing w:after="60" w:before="60"/>
      </w:pPr>
      <w:r>
        <w:t xml:space="preserve"/>
      </w:r>
    </w:p>
    <w:p>
      <w:pPr>
        <w:pStyle w:val="Heading2"/>
        <w:spacing w:after="120" w:before="240"/>
      </w:pPr>
      <w:r>
        <w:rPr>
          <w:rFonts w:ascii="Arial" w:cs="Arial" w:eastAsia="Arial" w:hAnsi="Arial"/>
          <w:b/>
          <w:bCs/>
          <w:color w:val="0070B8"/>
          <w:sz w:val="24"/>
          <w:szCs w:val="24"/>
        </w:rPr>
        <w:t xml:space="preserve">5.3 Performance Liquidated Damages (PLDs)</w:t>
      </w:r>
    </w:p>
    <w:p>
      <w:pPr>
        <w:spacing w:after="80" w:before="80"/>
      </w:pPr>
      <w:r>
        <w:rPr>
          <w:rFonts w:ascii="Arial" w:cs="Arial" w:eastAsia="Arial" w:hAnsi="Arial"/>
          <w:sz w:val="20"/>
          <w:szCs w:val="20"/>
        </w:rPr>
        <w:t xml:space="preserve">Performance Liquidated Damages shall apply if HPDU fails to meet LD-trigger guarantees after three (3) remediation attempts within the warranty period:</w:t>
      </w:r>
    </w:p>
    <w:p>
      <w:pPr>
        <w:pStyle w:val="ListParagraph"/>
        <w:numPr>
          <w:ilvl w:val="0"/>
          <w:numId w:val="3"/>
        </w:numPr>
        <w:spacing w:after="60" w:before="60"/>
      </w:pPr>
      <w:r>
        <w:rPr>
          <w:rFonts w:ascii="Arial" w:cs="Arial" w:eastAsia="Arial" w:hAnsi="Arial"/>
          <w:sz w:val="18"/>
          <w:szCs w:val="18"/>
        </w:rPr>
        <w:t xml:space="preserve">O₂ Exceedance at HPDU outlet (&gt; 5 ppm, 24h average): PLD = 1.0% of contract value per week of non-compliance, capped at 15% total. Note: This is double the rate of natural gas moisture LD due to the safety-critical nature of O₂ in H₂ service.</w:t>
      </w:r>
    </w:p>
    <w:p>
      <w:pPr>
        <w:pStyle w:val="ListParagraph"/>
        <w:numPr>
          <w:ilvl w:val="0"/>
          <w:numId w:val="3"/>
        </w:numPr>
        <w:spacing w:after="60" w:before="60"/>
      </w:pPr>
      <w:r>
        <w:rPr>
          <w:rFonts w:ascii="Arial" w:cs="Arial" w:eastAsia="Arial" w:hAnsi="Arial"/>
          <w:sz w:val="18"/>
          <w:szCs w:val="18"/>
        </w:rPr>
        <w:t xml:space="preserve">H₂O Exceedance at HPDU outlet (&gt; 5 ppm, 24h average): PLD = 0.5% of contract value per week, capped at 10%.</w:t>
      </w:r>
    </w:p>
    <w:p>
      <w:pPr>
        <w:pStyle w:val="ListParagraph"/>
        <w:numPr>
          <w:ilvl w:val="0"/>
          <w:numId w:val="3"/>
        </w:numPr>
        <w:spacing w:after="60" w:before="60"/>
      </w:pPr>
      <w:r>
        <w:rPr>
          <w:rFonts w:ascii="Arial" w:cs="Arial" w:eastAsia="Arial" w:hAnsi="Arial"/>
          <w:sz w:val="18"/>
          <w:szCs w:val="18"/>
        </w:rPr>
        <w:t xml:space="preserve">Moisture Switchover Spike &gt; 15 minutes (&gt; 5 ppm duration): PLD = 0.2% per event, capped at 3% total.</w:t>
      </w:r>
    </w:p>
    <w:p>
      <w:pPr>
        <w:pStyle w:val="ListParagraph"/>
        <w:numPr>
          <w:ilvl w:val="0"/>
          <w:numId w:val="3"/>
        </w:numPr>
        <w:spacing w:after="60" w:before="60"/>
      </w:pPr>
      <w:r>
        <w:rPr>
          <w:rFonts w:ascii="Arial" w:cs="Arial" w:eastAsia="Arial" w:hAnsi="Arial"/>
          <w:sz w:val="18"/>
          <w:szCs w:val="18"/>
        </w:rPr>
        <w:t xml:space="preserve">Package ΔP Exceedance (&gt; 1.5 barg at design flow): PLD = 0.2% per week, capped at 5%.</w:t>
      </w:r>
    </w:p>
    <w:p>
      <w:pPr>
        <w:pStyle w:val="ListParagraph"/>
        <w:numPr>
          <w:ilvl w:val="0"/>
          <w:numId w:val="3"/>
        </w:numPr>
        <w:spacing w:after="60" w:before="60"/>
      </w:pPr>
      <w:r>
        <w:rPr>
          <w:rFonts w:ascii="Arial" w:cs="Arial" w:eastAsia="Arial" w:hAnsi="Arial"/>
          <w:sz w:val="18"/>
          <w:szCs w:val="18"/>
        </w:rPr>
        <w:t xml:space="preserve">H₂ Loss to Regeneration &gt; 2%: Vendor to redesign and re-optimize TSA cycle at own cost within 3 months.</w:t>
      </w:r>
    </w:p>
    <w:p>
      <w:pPr>
        <w:pStyle w:val="ListParagraph"/>
        <w:numPr>
          <w:ilvl w:val="0"/>
          <w:numId w:val="3"/>
        </w:numPr>
        <w:spacing w:after="60" w:before="60"/>
      </w:pPr>
      <w:r>
        <w:rPr>
          <w:rFonts w:ascii="Arial" w:cs="Arial" w:eastAsia="Arial" w:hAnsi="Arial"/>
          <w:sz w:val="18"/>
          <w:szCs w:val="18"/>
        </w:rPr>
        <w:t xml:space="preserve">Deoxo Catalyst Life &lt; 2 years: Vendor to supply, deliver, and install replacement catalyst at own cost within 60 days of breakthrough confirmation.</w:t>
      </w:r>
    </w:p>
    <w:p>
      <w:pPr>
        <w:pStyle w:val="ListParagraph"/>
        <w:numPr>
          <w:ilvl w:val="0"/>
          <w:numId w:val="3"/>
        </w:numPr>
        <w:spacing w:after="60" w:before="60"/>
      </w:pPr>
      <w:r>
        <w:rPr>
          <w:rFonts w:ascii="Arial" w:cs="Arial" w:eastAsia="Arial" w:hAnsi="Arial"/>
          <w:sz w:val="18"/>
          <w:szCs w:val="18"/>
        </w:rPr>
        <w:t xml:space="preserve">Molecular Sieve Life &lt; 3 years: Same obligation as catalyst.</w:t>
      </w:r>
    </w:p>
    <w:p>
      <w:pPr>
        <w:pStyle w:val="ListParagraph"/>
        <w:numPr>
          <w:ilvl w:val="0"/>
          <w:numId w:val="3"/>
        </w:numPr>
        <w:spacing w:after="60" w:before="60"/>
      </w:pPr>
      <w:r>
        <w:rPr>
          <w:rFonts w:ascii="Arial" w:cs="Arial" w:eastAsia="Arial" w:hAnsi="Arial"/>
          <w:sz w:val="18"/>
          <w:szCs w:val="18"/>
        </w:rPr>
        <w:t xml:space="preserve">O₂ Introduction by HPDU itself (GDU introduces O₂ via air ingress during regen cycle or leakage): PLD = 2.0% per week, uncapped, until resolved. This is a safety and product quality catastrophic failure mode.</w:t>
      </w:r>
    </w:p>
    <w:p>
      <w:pPr>
        <w:pStyle w:val="ListParagraph"/>
        <w:numPr>
          <w:ilvl w:val="0"/>
          <w:numId w:val="3"/>
        </w:numPr>
        <w:spacing w:after="60" w:before="60"/>
      </w:pPr>
      <w:r>
        <w:rPr>
          <w:rFonts w:ascii="Arial" w:cs="Arial" w:eastAsia="Arial" w:hAnsi="Arial"/>
          <w:sz w:val="18"/>
          <w:szCs w:val="18"/>
        </w:rPr>
        <w:t xml:space="preserve">Total PLD cap: 20% of contract value (higher than natural gas equivalent due to H₂ safety stakes). Exceedance of cap entitles Owner to terminate PO and recover replacement costs.</w:t>
      </w:r>
    </w:p>
    <w:p>
      <w:pPr>
        <w:spacing w:after="60" w:before="60"/>
      </w:pPr>
      <w:r>
        <w:t xml:space="preserve"/>
      </w:r>
    </w:p>
    <w:p>
      <w:r>
        <w:br w:type="page"/>
      </w:r>
    </w:p>
    <w:p>
      <w:pPr>
        <w:pStyle w:val="Heading1"/>
        <w:pBdr>
          <w:bottom w:val="single" w:color="8B1A1A" w:sz="10" w:space="4"/>
        </w:pBdr>
        <w:spacing w:after="180" w:before="360"/>
      </w:pPr>
      <w:r>
        <w:rPr>
          <w:rFonts w:ascii="Arial" w:cs="Arial" w:eastAsia="Arial" w:hAnsi="Arial"/>
          <w:b/>
          <w:bCs/>
          <w:color w:val="0A2240"/>
          <w:sz w:val="28"/>
          <w:szCs w:val="28"/>
        </w:rPr>
        <w:t xml:space="preserve">6. HEALTH, SAFETY AND ENVIRONMENTAL REQUIREMENTS</w:t>
      </w:r>
    </w:p>
    <w:p>
      <w:pPr>
        <w:pStyle w:val="Heading2"/>
        <w:spacing w:after="120" w:before="240"/>
      </w:pPr>
      <w:r>
        <w:rPr>
          <w:rFonts w:ascii="Arial" w:cs="Arial" w:eastAsia="Arial" w:hAnsi="Arial"/>
          <w:b/>
          <w:bCs/>
          <w:color w:val="0070B8"/>
          <w:sz w:val="24"/>
          <w:szCs w:val="24"/>
        </w:rPr>
        <w:t xml:space="preserve">6.1 H₂-Specific Safety Design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E5E5" w:val="clear"/>
            <w:tcMar>
              <w:top w:type="dxa" w:w="100"/>
              <w:left w:type="dxa" w:w="200"/>
              <w:bottom w:type="dxa" w:w="100"/>
              <w:right w:type="dxa" w:w="200"/>
            </w:tcMar>
          </w:tcPr>
          <w:p>
            <w:r>
              <w:rPr>
                <w:rFonts w:ascii="Arial" w:cs="Arial" w:eastAsia="Arial" w:hAnsi="Arial"/>
                <w:b/>
                <w:bCs/>
                <w:color w:val="8B0000"/>
                <w:sz w:val="19"/>
                <w:szCs w:val="19"/>
              </w:rPr>
              <w:t xml:space="preserve">⛔ SAFETY CRITICAL: </w:t>
            </w:r>
            <w:r>
              <w:rPr>
                <w:rFonts w:ascii="Arial" w:cs="Arial" w:eastAsia="Arial" w:hAnsi="Arial"/>
                <w:color w:val="8B0000"/>
                <w:sz w:val="18"/>
                <w:szCs w:val="18"/>
              </w:rPr>
              <w:t xml:space="preserve">HYDROGEN SAFETY IS NOT THE SAME AS NATURAL GAS SAFETY. VENDORS MUST APPLY H₂-SPECIFIC SAFETY STANDARDS. THE FOLLOWING REQUIREMENTS ARE MANDATORY AND NON-NEGOTIABLE.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B0BEC5" w:sz="1"/>
              <w:left w:val="single" w:color="B0BEC5" w:sz="1"/>
              <w:bottom w:val="single" w:color="B0BEC5" w:sz="1"/>
              <w:right w:val="single" w:color="B0BEC5" w:sz="1"/>
            </w:tcBorders>
            <w:shd w:fill="0070B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HSE Area</w:t>
            </w:r>
          </w:p>
        </w:tc>
        <w:tc>
          <w:tcPr>
            <w:tcW w:type="dxa" w:w="6760"/>
            <w:gridSpan w:val="1"/>
            <w:tcBorders>
              <w:top w:val="single" w:color="B0BEC5" w:sz="1"/>
              <w:left w:val="single" w:color="B0BEC5" w:sz="1"/>
              <w:bottom w:val="single" w:color="B0BEC5" w:sz="1"/>
              <w:right w:val="single" w:color="B0BEC5" w:sz="1"/>
            </w:tcBorders>
            <w:shd w:fill="0070B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Mandatory H₂-Specific Requirement</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HAZOP / LOPA (H₂ specific)</w:t>
            </w:r>
          </w:p>
        </w:tc>
        <w:tc>
          <w:tcPr>
            <w:tcW w:type="dxa" w:w="6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Full HAZOP study on HPDU P&amp;IDs required (conducted by MPE with Vendor process lead in attendance, 3-day estimated). LOPA for all ESD functions. SIL 2 target for all critical ESD loops. Vendor must respond in writing to all HAZOP actions within 4 weeks.</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Deoxo Thermal Runaway Prevention</w:t>
            </w:r>
          </w:p>
        </w:tc>
        <w:tc>
          <w:tcPr>
            <w:tcW w:type="dxa" w:w="6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Thermal runaway in the deoxo reactor (uncontrolled temperature rise from excess O₂) is the primary catastrophic failure mode. Vendor MUST: (a) calculate adiabatic T-rise for all 9 O₂/flow scenarios; (b) specify maximum O₂ concentration the reactor can accept before requiring feed bypass/shutdown; (c) provide automatic O₂ analyser #1 (post-deoxo, pre-dryers) with HIGH alarm at the inlet limit and ESD feed cutoff at reactor outlet T high-high (TT HH); (d) design deoxo vessel for 300°C (20°C margin above max calculated T); (e) provide automatic ESD cutoff of feed preheater on deoxo outlet T exceedance.</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H₂ Leak Detection and Alarm</w:t>
            </w:r>
          </w:p>
        </w:tc>
        <w:tc>
          <w:tcPr>
            <w:tcW w:type="dxa" w:w="6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Fixed H₂ detectors: minimum 8 locations (4 at skid corners, 2 at deoxo area, 2 at outlet compression interface). Response time: &lt; 30 seconds to alarm. HIGH: 10% LEL (0.4% H₂). HIGH-HIGH: 25% LEL (1.0% H₂) → auto ESD. Battery backup for all detectors (minimum 4h). Detectors ATEX IIC IP66. Annual calibration check to be documented.</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ESD Logic — Automatic Isolations</w:t>
            </w:r>
          </w:p>
        </w:tc>
        <w:tc>
          <w:tcPr>
            <w:tcW w:type="dxa" w:w="6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ESD opens HPDU outlet isolation valve (fail-closed) AND inlet isolation valve (fail-closed) upon: O₂ HH at outlet; H₂O HH at outlet; O₂ HH post-deoxo; H₂ leak HH; LT HH in any vessel; Deoxo T HH; Loss of instrument air; Plant-wide ESD signal from EPC system. All ESD actuators: motorized ball valves, fail-closed, SS316L body, ATEX IIC. ESD response time to valve closure: &lt; 15 seconds.</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No Hot Work Protocol</w:t>
            </w:r>
          </w:p>
        </w:tc>
        <w:tc>
          <w:tcPr>
            <w:tcW w:type="dxa" w:w="6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include in O&amp;M manual and commissioning procedure: 'No Hot Work (welding, grinding, cutting, open flame) permitted within 15 m radius of HPDU during any H₂ introduction and normal operation phase.' Vendor to identify all planned maintenance activities requiring hot work and provide alternative cold procedures where possible.</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Invisible Flame Awareness</w:t>
            </w:r>
          </w:p>
        </w:tc>
        <w:tc>
          <w:tcPr>
            <w:tcW w:type="dxa" w:w="6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H₂ flames are invisible in daylight. O&amp;M manual must explicitly warn operators: 'DO NOT approach a possible H₂ fire without UV/IR H₂ flame detection equipment. A burning H₂ vent is invisible.' Emergency procedures to assume all H₂ releases may be burning until confirmed otherwise by UV/IR detector.</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Hydrogen Embrittlement</w:t>
            </w:r>
          </w:p>
        </w:tc>
        <w:tc>
          <w:tcPr>
            <w:tcW w:type="dxa" w:w="6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submit a material embrittlement assessment for all non-SS316L components (structural bolts, skid frame, support structures) confirming compliance with ASME B31.12 embrittlement criteria. External H₂ atmosphere exposure to galvanized structural steel (skid frame) is not a concern, but Vendor to confirm no structural members penetrate the H₂ pressure boundary.</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Spent Catalyst Safety</w:t>
            </w:r>
          </w:p>
        </w:tc>
        <w:tc>
          <w:tcPr>
            <w:tcW w:type="dxa" w:w="6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Deoxo catalyst (Pd/Al₂O₃) after H₂ service may be pyrophoric (especially if Pd has reduced to metallic state). Vendor to provide: (a) written catalyst changeout procedure; (b) N₂ purge protocol for catalyst removal; (c) passivation procedure before exposure to air; (d) container specification (UN-certified drums for pyrophoric material, Category P410); (e) disposal guidance per UAE Hazardous Waste Regulation and Basel Convention where applicable.</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First Gas Introduction Procedure</w:t>
            </w:r>
          </w:p>
        </w:tc>
        <w:tc>
          <w:tcPr>
            <w:tcW w:type="dxa" w:w="6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supply a step-by-step 'First Gas Introduction and HPDU Start-up Procedure' document — reviewed and approved by MPE before commissioning. Procedure must include: N₂ leak test, O₂ purge verification (O₂ analyser must read ≤ 1 ppm), H₂ introduction sequence (gradual flow increase), catalyst warm-up sequence, all hold points with pass/fail criteria. This document is a HOLD-point deliverable.</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H₂ Vent Routing</w:t>
            </w:r>
          </w:p>
        </w:tc>
        <w:tc>
          <w:tcPr>
            <w:tcW w:type="dxa" w:w="6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H₂ vents (PSVs, ESD blowdown, cold vents, instrument purge vents) to be routed to elevated flare stack or elevated vent riser (minimum 10 m above grade level or 3 m above highest rooftop within 25 m). No H₂ venting at grade. Vendor to provide vent routing diagram and confirm vent pressure drop budget.</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Noise (UAE OSHAD compliance)</w:t>
            </w:r>
          </w:p>
        </w:tc>
        <w:tc>
          <w:tcPr>
            <w:tcW w:type="dxa" w:w="6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Maximum 85 dB(A) at 1 m from any equipment. Air-cooled fan arrays often dominate noise — vendor to provide estimated noise level in offer and guaranteed final value at AFC. If noise &gt;85 dB(A), noise barriers or fan speed reduction required.</w:t>
            </w:r>
          </w:p>
        </w:tc>
      </w:tr>
      <w:tr>
        <w:tc>
          <w:tcPr>
            <w:tcW w:type="dxa" w:w="2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Construction Phase Safety</w:t>
            </w:r>
          </w:p>
        </w:tc>
        <w:tc>
          <w:tcPr>
            <w:tcW w:type="dxa" w:w="6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submit fabrication shop H₂ Safety Plan (no H₂ during fabrication — N₂ for pressure testing only). Pre-commissioning: all spool pieces to be cleaned, dried, and N₂-blanketed before H₂ introduction. Vendor to provide pre-commissioning N₂ purge procedure.</w:t>
            </w:r>
          </w:p>
        </w:tc>
      </w:tr>
    </w:tbl>
    <w:p>
      <w:pPr>
        <w:spacing w:after="60" w:before="60"/>
      </w:pPr>
      <w:r>
        <w:t xml:space="preserve"/>
      </w:r>
    </w:p>
    <w:p>
      <w:r>
        <w:br w:type="page"/>
      </w:r>
    </w:p>
    <w:p>
      <w:pPr>
        <w:pStyle w:val="Heading1"/>
        <w:pBdr>
          <w:bottom w:val="single" w:color="8B1A1A" w:sz="10" w:space="4"/>
        </w:pBdr>
        <w:spacing w:after="180" w:before="360"/>
      </w:pPr>
      <w:r>
        <w:rPr>
          <w:rFonts w:ascii="Arial" w:cs="Arial" w:eastAsia="Arial" w:hAnsi="Arial"/>
          <w:b/>
          <w:bCs/>
          <w:color w:val="0A2240"/>
          <w:sz w:val="28"/>
          <w:szCs w:val="28"/>
        </w:rPr>
        <w:t xml:space="preserve">7. PROJECT SCHEDULE REQUIREMENTS AND KEY MILESTONES</w:t>
      </w:r>
    </w:p>
    <w:p>
      <w:pPr>
        <w:pStyle w:val="Heading2"/>
        <w:spacing w:after="120" w:before="240"/>
      </w:pPr>
      <w:r>
        <w:rPr>
          <w:rFonts w:ascii="Arial" w:cs="Arial" w:eastAsia="Arial" w:hAnsi="Arial"/>
          <w:b/>
          <w:bCs/>
          <w:color w:val="0070B8"/>
          <w:sz w:val="24"/>
          <w:szCs w:val="24"/>
        </w:rPr>
        <w:t xml:space="preserve">7.1 Schedule Overview</w:t>
      </w:r>
    </w:p>
    <w:p>
      <w:pPr>
        <w:spacing w:after="80" w:before="80"/>
      </w:pPr>
      <w:r>
        <w:rPr>
          <w:rFonts w:ascii="Arial" w:cs="Arial" w:eastAsia="Arial" w:hAnsi="Arial"/>
          <w:sz w:val="20"/>
          <w:szCs w:val="20"/>
        </w:rPr>
        <w:t xml:space="preserve">The Al Dhafra Green Hydrogen Production Facility Phase I is targeted for first hydrogen delivery in Q4 2027. The HPDU package is on the critical path due to: (a) deoxo reactor and dryer vessel fabrication lead time in SS316L; (b) ATEX IIC certified instrumentation procurement lead times (up to 20 weeks for some analyzers); (c) deoxo catalyst procurement (Pd/Al₂O₃ noble metal catalyst typically 12-16 weeks). Vendor shall clearly identify the critical path item in the offer and provide mitigation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E8F4FD" w:val="clear"/>
            <w:tcMar>
              <w:top w:type="dxa" w:w="100"/>
              <w:left w:type="dxa" w:w="200"/>
              <w:bottom w:type="dxa" w:w="100"/>
              <w:right w:type="dxa" w:w="200"/>
            </w:tcMar>
          </w:tcPr>
          <w:p>
            <w:r>
              <w:rPr>
                <w:rFonts w:ascii="Arial" w:cs="Arial" w:eastAsia="Arial" w:hAnsi="Arial"/>
                <w:b/>
                <w:bCs/>
                <w:color w:val="0A2240"/>
                <w:sz w:val="18"/>
                <w:szCs w:val="18"/>
              </w:rPr>
              <w:t xml:space="preserve">📝 NOTE: </w:t>
            </w:r>
            <w:r>
              <w:rPr>
                <w:rFonts w:ascii="Arial" w:cs="Arial" w:eastAsia="Arial" w:hAnsi="Arial"/>
                <w:color w:val="333333"/>
                <w:sz w:val="18"/>
                <w:szCs w:val="18"/>
              </w:rPr>
              <w:t xml:space="preserve">Target FAT completion: Week 38 from PO award (approximately 25 February 2027, assuming PO award 27 May 2026). Any schedule proposal beyond Week 42 FAT will be commercially disadvantaged. Delivery to Al Dhafra site: approximately Week 44 (mid-March 2027, via sea freight to Khalifa Port and road transport).</w:t>
            </w:r>
          </w:p>
        </w:tc>
      </w:tr>
    </w:tbl>
    <w:p>
      <w:pPr>
        <w:spacing w:after="60" w:before="60"/>
      </w:pPr>
      <w:r>
        <w:t xml:space="preserve"/>
      </w:r>
    </w:p>
    <w:p>
      <w:pPr>
        <w:pStyle w:val="Heading2"/>
        <w:spacing w:after="120" w:before="240"/>
      </w:pPr>
      <w:r>
        <w:rPr>
          <w:rFonts w:ascii="Arial" w:cs="Arial" w:eastAsia="Arial" w:hAnsi="Arial"/>
          <w:b/>
          <w:bCs/>
          <w:color w:val="0070B8"/>
          <w:sz w:val="24"/>
          <w:szCs w:val="24"/>
        </w:rPr>
        <w:t xml:space="preserve">7.2 Key Milestones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gridSpan w:val="1"/>
            <w:tcBorders>
              <w:top w:val="single" w:color="B0BEC5" w:sz="1"/>
              <w:left w:val="single" w:color="B0BEC5" w:sz="1"/>
              <w:bottom w:val="single" w:color="B0BEC5" w:sz="1"/>
              <w:right w:val="single" w:color="B0BEC5" w:sz="1"/>
            </w:tcBorders>
            <w:shd w:fill="0070B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5760"/>
            <w:gridSpan w:val="1"/>
            <w:tcBorders>
              <w:top w:val="single" w:color="B0BEC5" w:sz="1"/>
              <w:left w:val="single" w:color="B0BEC5" w:sz="1"/>
              <w:bottom w:val="single" w:color="B0BEC5" w:sz="1"/>
              <w:right w:val="single" w:color="B0BEC5" w:sz="1"/>
            </w:tcBorders>
            <w:shd w:fill="0070B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3000"/>
            <w:gridSpan w:val="1"/>
            <w:tcBorders>
              <w:top w:val="single" w:color="B0BEC5" w:sz="1"/>
              <w:left w:val="single" w:color="B0BEC5" w:sz="1"/>
              <w:bottom w:val="single" w:color="B0BEC5" w:sz="1"/>
              <w:right w:val="single" w:color="B0BEC5" w:sz="1"/>
            </w:tcBorders>
            <w:shd w:fill="0070B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(from PO Award)</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M-01</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Purchase Order (PO) Award and Execution</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0</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M-02</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Kick-Off Meeting (KOM) – MPE + Vendor + Client (Masdar) Video/On-site</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2</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M-03</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Document Register (VDR) submitted</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3</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M-04</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Project Quality Plan (PQP) submitted</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4</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M-05</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ATEX Zone Classification Drawing Rev. 0 submitted</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5</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M-06</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Preliminary PFD + Equipment List submitted for review</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6</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M-07</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Piping Material Class (PMC) – H₂ service submitted for review</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6</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M-08</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P&amp;ID Rev. 0 (Preliminary – for HAZOP) submitted</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8</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M-09</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HAZOP study (Vendor Process Lead to attend)</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10</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M-10</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Inspection and Test Plan (ITP) submitted and approved by MPE</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7</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M-11</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Sub-vendor list (catalyst, sieve, analyzers, ATEX instruments) approved by MPE</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6</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M-12</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P&amp;ID Rev. 1 (AFC – incorporating HAZOP actions) submitted</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13</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M-13</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Deoxo reactor mechanical design calc and data sheet AFC submitted</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10</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M-14</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TSA dryer vessel mechanical design calc and data sheet AFC submitted</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10</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M-15</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TSA cycle simulation report submitted and approved</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10</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M-16</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Deoxo catalyst HOLD: adiabatic T-rise calculation confirmed by MPE</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8</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M-17</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vessel pressure-containing material orders placed (MTRs received)</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8</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M-18</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WPS/PQR for H₂ service welds approved by MPE</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8</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M-19</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General Arrangement Drawing (AFC) submitted and approved</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12</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M-20</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Instrument and valve data sheets AFC submitted</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13</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M-21</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PLC Functional Design Specification (FDS) submitted and approved</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14</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M-22</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Cause &amp; Effect Matrix submitted and approved</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14</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M-23</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SIL 2 Assessment Report submitted (IEC 61511)</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16</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M-24</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Deoxo reactor vessel fabrication start (HOLD: MPE material review)</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10</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M-25</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Deoxo reactor vessel hydrostatic test (HOLD POINT – MPE witness)</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22</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M-26</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TSA dryer vessel fabrication start</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10</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M-27</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TSA dryer vessel hydrostatic test (HOLD POINT – MPE witness)</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22</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M-28</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Skid frame fabrication and hot-dip galvanizing complete</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20</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M-29</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Deoxo catalyst loading inspection (HOLD POINT – MPE witness)</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28</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M-30</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Molecular sieve loading inspection (HOLD POINT – MPE witness)</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28</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M-31</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instrumentation on-skid installation and wiring complete</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30</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M-32</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PLC software testing complete (internal bench test with H₂ leak detector function)</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30</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M-33</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Painting and coating complete</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32</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M-34</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Thermal insulation of hot sections complete</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32</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M-35</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Pre-FAT inspection and punch list review (MPE + Vendor)</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36</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M-36</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FAT readiness notification to MPE (10 business days advance)</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36</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M-37</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Factory Acceptance Test (FAT) – HOLD POINT – MPE + Masdar witness (TARGET)</w:t>
            </w:r>
          </w:p>
        </w:tc>
        <w:tc>
          <w:tcPr>
            <w:tcW w:type="dxa" w:w="30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Week 38 (Target)</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M-38</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FAT Certificate signed / all Category A punch items cleared</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39</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M-39</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First Gas Introduction Procedure approved by MPE</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35</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M-40</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Preservation, packing, and sea-freight crating</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40</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M-41</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Shipment (EXW Vendor) – sea freight to Abu Dhabi Khalifa Port</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41</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M-42</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DAP Delivery – Al Dhafra Site, Abu Dhabi</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44 (approx., depending on shipping)</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M-43</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Final MDR package (as-built) delivered to MPE</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Week 41 (at shipment)</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M-44</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On-site commissioning (Vendor Lead Process Engineer) – start</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Per project schedule TBD</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M-45</w:t>
            </w:r>
          </w:p>
        </w:tc>
        <w:tc>
          <w:tcPr>
            <w:tcW w:type="dxa" w:w="57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Mechanical Completion (MC) and Handover to Operations</w:t>
            </w:r>
          </w:p>
        </w:tc>
        <w:tc>
          <w:tcPr>
            <w:tcW w:type="dxa" w:w="3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Per project schedule TBD</w:t>
            </w:r>
          </w:p>
        </w:tc>
      </w:tr>
    </w:tbl>
    <w:p>
      <w:pPr>
        <w:spacing w:after="60" w:before="60"/>
      </w:pPr>
      <w:r>
        <w:t xml:space="preserve"/>
      </w:r>
    </w:p>
    <w:p>
      <w:pPr>
        <w:pStyle w:val="Heading2"/>
        <w:spacing w:after="120" w:before="240"/>
      </w:pPr>
      <w:r>
        <w:rPr>
          <w:rFonts w:ascii="Arial" w:cs="Arial" w:eastAsia="Arial" w:hAnsi="Arial"/>
          <w:b/>
          <w:bCs/>
          <w:color w:val="0070B8"/>
          <w:sz w:val="24"/>
          <w:szCs w:val="24"/>
        </w:rPr>
        <w:t xml:space="preserve">7.3 Schedule Delay Provisions</w:t>
      </w:r>
    </w:p>
    <w:p>
      <w:pPr>
        <w:pStyle w:val="ListParagraph"/>
        <w:numPr>
          <w:ilvl w:val="0"/>
          <w:numId w:val="3"/>
        </w:numPr>
        <w:spacing w:after="60" w:before="60"/>
      </w:pPr>
      <w:r>
        <w:rPr>
          <w:rFonts w:ascii="Arial" w:cs="Arial" w:eastAsia="Arial" w:hAnsi="Arial"/>
          <w:sz w:val="18"/>
          <w:szCs w:val="18"/>
        </w:rPr>
        <w:t xml:space="preserve">LDs for schedule delay: 0.5% of contract value per week of delay to FAT Certificate sign-off, capped at 10%.</w:t>
      </w:r>
    </w:p>
    <w:p>
      <w:pPr>
        <w:pStyle w:val="ListParagraph"/>
        <w:numPr>
          <w:ilvl w:val="0"/>
          <w:numId w:val="3"/>
        </w:numPr>
        <w:spacing w:after="60" w:before="60"/>
      </w:pPr>
      <w:r>
        <w:rPr>
          <w:rFonts w:ascii="Arial" w:cs="Arial" w:eastAsia="Arial" w:hAnsi="Arial"/>
          <w:sz w:val="18"/>
          <w:szCs w:val="18"/>
        </w:rPr>
        <w:t xml:space="preserve">If FAT slips by more than 3 weeks from baseline, Vendor shall submit a written recovery plan (including concrete actions and revised Gantt chart) within 3 business days.</w:t>
      </w:r>
    </w:p>
    <w:p>
      <w:pPr>
        <w:pStyle w:val="ListParagraph"/>
        <w:numPr>
          <w:ilvl w:val="0"/>
          <w:numId w:val="3"/>
        </w:numPr>
        <w:spacing w:after="60" w:before="60"/>
      </w:pPr>
      <w:r>
        <w:rPr>
          <w:rFonts w:ascii="Arial" w:cs="Arial" w:eastAsia="Arial" w:hAnsi="Arial"/>
          <w:sz w:val="18"/>
          <w:szCs w:val="18"/>
        </w:rPr>
        <w:t xml:space="preserve">Catalyst and ATEX instrument procurement are typically long-lead. Vendor must demonstrate in the offer that purchase orders to catalyst and analyzer sub-vendors will be placed within 4 weeks of PO award.</w:t>
      </w:r>
    </w:p>
    <w:p>
      <w:pPr>
        <w:spacing w:after="60" w:before="60"/>
      </w:pPr>
      <w:r>
        <w:t xml:space="preserve"/>
      </w:r>
    </w:p>
    <w:p>
      <w:r>
        <w:br w:type="page"/>
      </w:r>
    </w:p>
    <w:p>
      <w:pPr>
        <w:pStyle w:val="Heading1"/>
        <w:pBdr>
          <w:bottom w:val="single" w:color="8B1A1A" w:sz="10" w:space="4"/>
        </w:pBdr>
        <w:spacing w:after="180" w:before="360"/>
      </w:pPr>
      <w:r>
        <w:rPr>
          <w:rFonts w:ascii="Arial" w:cs="Arial" w:eastAsia="Arial" w:hAnsi="Arial"/>
          <w:b/>
          <w:bCs/>
          <w:color w:val="0A2240"/>
          <w:sz w:val="28"/>
          <w:szCs w:val="28"/>
        </w:rPr>
        <w:t xml:space="preserve">8. VENDOR OBLIGATIONS AND CONDUCT OF WORKS</w:t>
      </w:r>
    </w:p>
    <w:p>
      <w:pPr>
        <w:pStyle w:val="Heading2"/>
        <w:spacing w:after="120" w:before="240"/>
      </w:pPr>
      <w:r>
        <w:rPr>
          <w:rFonts w:ascii="Arial" w:cs="Arial" w:eastAsia="Arial" w:hAnsi="Arial"/>
          <w:b/>
          <w:bCs/>
          <w:color w:val="0070B8"/>
          <w:sz w:val="24"/>
          <w:szCs w:val="24"/>
        </w:rPr>
        <w:t xml:space="preserve">8.1 Kick-Off Meeting (KOM)</w:t>
      </w:r>
    </w:p>
    <w:p>
      <w:pPr>
        <w:spacing w:after="80" w:before="80"/>
      </w:pPr>
      <w:r>
        <w:rPr>
          <w:rFonts w:ascii="Arial" w:cs="Arial" w:eastAsia="Arial" w:hAnsi="Arial"/>
          <w:sz w:val="20"/>
          <w:szCs w:val="20"/>
        </w:rPr>
        <w:t xml:space="preserve">Within 2 weeks of PO award, MPE and Vendor shall hold a formal KOM (Abu Dhabi office or video conference). KOM agenda must include: team introductions; review of PSR and open technical items; VDR and document schedule; sub-vendor list review; critical path and schedule alignment; safety plan review; ATEX compliance summary.</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8.2 Document Submission and Control</w:t>
      </w:r>
    </w:p>
    <w:p>
      <w:pPr>
        <w:pStyle w:val="ListParagraph"/>
        <w:numPr>
          <w:ilvl w:val="0"/>
          <w:numId w:val="3"/>
        </w:numPr>
        <w:spacing w:after="60" w:before="60"/>
      </w:pPr>
      <w:r>
        <w:rPr>
          <w:rFonts w:ascii="Arial" w:cs="Arial" w:eastAsia="Arial" w:hAnsi="Arial"/>
          <w:sz w:val="18"/>
          <w:szCs w:val="18"/>
        </w:rPr>
        <w:t xml:space="preserve">All documents to be submitted via MPE DMS (Document Management System) in PDF and editable format (native CAD for drawings, Excel/Word for data sheets).</w:t>
      </w:r>
    </w:p>
    <w:p>
      <w:pPr>
        <w:pStyle w:val="ListParagraph"/>
        <w:numPr>
          <w:ilvl w:val="0"/>
          <w:numId w:val="3"/>
        </w:numPr>
        <w:spacing w:after="60" w:before="60"/>
      </w:pPr>
      <w:r>
        <w:rPr>
          <w:rFonts w:ascii="Arial" w:cs="Arial" w:eastAsia="Arial" w:hAnsi="Arial"/>
          <w:sz w:val="18"/>
          <w:szCs w:val="18"/>
        </w:rPr>
        <w:t xml:space="preserve">All documents to include document number, revision, date, status code, and revision history table.</w:t>
      </w:r>
    </w:p>
    <w:p>
      <w:pPr>
        <w:pStyle w:val="ListParagraph"/>
        <w:numPr>
          <w:ilvl w:val="0"/>
          <w:numId w:val="3"/>
        </w:numPr>
        <w:spacing w:after="60" w:before="60"/>
      </w:pPr>
      <w:r>
        <w:rPr>
          <w:rFonts w:ascii="Arial" w:cs="Arial" w:eastAsia="Arial" w:hAnsi="Arial"/>
          <w:sz w:val="18"/>
          <w:szCs w:val="18"/>
        </w:rPr>
        <w:t xml:space="preserve">MPE review period: 10 business days for first submission; 5 business days for revised submissions. Vendor shall not proceed with fabrication of any item until the governing AFC drawing is approved.</w:t>
      </w:r>
    </w:p>
    <w:p>
      <w:pPr>
        <w:pStyle w:val="ListParagraph"/>
        <w:numPr>
          <w:ilvl w:val="0"/>
          <w:numId w:val="3"/>
        </w:numPr>
        <w:spacing w:after="60" w:before="60"/>
      </w:pPr>
      <w:r>
        <w:rPr>
          <w:rFonts w:ascii="Arial" w:cs="Arial" w:eastAsia="Arial" w:hAnsi="Arial"/>
          <w:sz w:val="18"/>
          <w:szCs w:val="18"/>
        </w:rPr>
        <w:t xml:space="preserve">All documents incorporating H₂ safety-critical information (ATEX zone drawing, ESD logic, catalyst handling procedures) require formal MPE approval stamp before implementation.</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8.3 Sub-Vendor Management</w:t>
      </w:r>
    </w:p>
    <w:p>
      <w:pPr>
        <w:pStyle w:val="ListParagraph"/>
        <w:numPr>
          <w:ilvl w:val="0"/>
          <w:numId w:val="3"/>
        </w:numPr>
        <w:spacing w:after="60" w:before="60"/>
      </w:pPr>
      <w:r>
        <w:rPr>
          <w:rFonts w:ascii="Arial" w:cs="Arial" w:eastAsia="Arial" w:hAnsi="Arial"/>
          <w:sz w:val="18"/>
          <w:szCs w:val="18"/>
        </w:rPr>
        <w:t xml:space="preserve">Vendor shall submit a complete sub-vendor list within 6 weeks of PO for MPE approval: catalyst supplier (name, model), sieve supplier (name, type, grade), O₂ analyser supplier, moisture analyser supplier, H₂ leak detector supplier, ATEX PLC/HMI supplier.</w:t>
      </w:r>
    </w:p>
    <w:p>
      <w:pPr>
        <w:pStyle w:val="ListParagraph"/>
        <w:numPr>
          <w:ilvl w:val="0"/>
          <w:numId w:val="3"/>
        </w:numPr>
        <w:spacing w:after="60" w:before="60"/>
      </w:pPr>
      <w:r>
        <w:rPr>
          <w:rFonts w:ascii="Arial" w:cs="Arial" w:eastAsia="Arial" w:hAnsi="Arial"/>
          <w:sz w:val="18"/>
          <w:szCs w:val="18"/>
        </w:rPr>
        <w:t xml:space="preserve">MPE reserves the right to disapprove any sub-vendor without cause. Vendor shall have alternative approved sub-vendors available.</w:t>
      </w:r>
    </w:p>
    <w:p>
      <w:pPr>
        <w:pStyle w:val="ListParagraph"/>
        <w:numPr>
          <w:ilvl w:val="0"/>
          <w:numId w:val="3"/>
        </w:numPr>
        <w:spacing w:after="60" w:before="60"/>
      </w:pPr>
      <w:r>
        <w:rPr>
          <w:rFonts w:ascii="Arial" w:cs="Arial" w:eastAsia="Arial" w:hAnsi="Arial"/>
          <w:sz w:val="18"/>
          <w:szCs w:val="18"/>
        </w:rPr>
        <w:t xml:space="preserve">Catalyst and sieve sub-vendor quality audit: Vendor shall conduct or commission an ITP audit of catalyst manufacturing quality, and provide batch test certificate for catalyst activity and selectivity. MPE may request to witness catalyst activity testing at manufacturer's facility.</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8.4 Progress Reporting</w:t>
      </w:r>
    </w:p>
    <w:p>
      <w:pPr>
        <w:pStyle w:val="ListParagraph"/>
        <w:numPr>
          <w:ilvl w:val="0"/>
          <w:numId w:val="3"/>
        </w:numPr>
        <w:spacing w:after="60" w:before="60"/>
      </w:pPr>
      <w:r>
        <w:rPr>
          <w:rFonts w:ascii="Arial" w:cs="Arial" w:eastAsia="Arial" w:hAnsi="Arial"/>
          <w:sz w:val="18"/>
          <w:szCs w:val="18"/>
        </w:rPr>
        <w:t xml:space="preserve">Weekly 1-page progress report: critical path status, open actions, any emerging risks.</w:t>
      </w:r>
    </w:p>
    <w:p>
      <w:pPr>
        <w:pStyle w:val="ListParagraph"/>
        <w:numPr>
          <w:ilvl w:val="0"/>
          <w:numId w:val="3"/>
        </w:numPr>
        <w:spacing w:after="60" w:before="60"/>
      </w:pPr>
      <w:r>
        <w:rPr>
          <w:rFonts w:ascii="Arial" w:cs="Arial" w:eastAsia="Arial" w:hAnsi="Arial"/>
          <w:sz w:val="18"/>
          <w:szCs w:val="18"/>
        </w:rPr>
        <w:t xml:space="preserve">Monthly 5-page progress report: S-curve, engineering completion %, procurement status, fabrication progress photos, schedule forecast.</w:t>
      </w:r>
    </w:p>
    <w:p>
      <w:pPr>
        <w:pStyle w:val="ListParagraph"/>
        <w:numPr>
          <w:ilvl w:val="0"/>
          <w:numId w:val="3"/>
        </w:numPr>
        <w:spacing w:after="60" w:before="60"/>
      </w:pPr>
      <w:r>
        <w:rPr>
          <w:rFonts w:ascii="Arial" w:cs="Arial" w:eastAsia="Arial" w:hAnsi="Arial"/>
          <w:sz w:val="18"/>
          <w:szCs w:val="18"/>
        </w:rPr>
        <w:t xml:space="preserve">Immediately notify MPE (within 24 hours) of: any incident at fabrication shop involving H₂ or test gas; any NCR raised against H₂-service components; any sub-vendor quality rejection; any schedule slip &gt; 1 week on critical path.</w:t>
      </w:r>
    </w:p>
    <w:p>
      <w:pPr>
        <w:spacing w:after="60" w:before="60"/>
      </w:pPr>
      <w:r>
        <w:t xml:space="preserve"/>
      </w:r>
    </w:p>
    <w:p>
      <w:r>
        <w:br w:type="page"/>
      </w:r>
    </w:p>
    <w:p>
      <w:pPr>
        <w:pStyle w:val="Heading1"/>
        <w:pBdr>
          <w:bottom w:val="single" w:color="8B1A1A" w:sz="10" w:space="4"/>
        </w:pBdr>
        <w:spacing w:after="180" w:before="360"/>
      </w:pPr>
      <w:r>
        <w:rPr>
          <w:rFonts w:ascii="Arial" w:cs="Arial" w:eastAsia="Arial" w:hAnsi="Arial"/>
          <w:b/>
          <w:bCs/>
          <w:color w:val="0A2240"/>
          <w:sz w:val="28"/>
          <w:szCs w:val="28"/>
        </w:rPr>
        <w:t xml:space="preserve">9. COMMISSIONING SUPPORT AND SITE ACCEPTANCE</w:t>
      </w:r>
    </w:p>
    <w:p>
      <w:pPr>
        <w:pStyle w:val="Heading2"/>
        <w:spacing w:after="120" w:before="240"/>
      </w:pPr>
      <w:r>
        <w:rPr>
          <w:rFonts w:ascii="Arial" w:cs="Arial" w:eastAsia="Arial" w:hAnsi="Arial"/>
          <w:b/>
          <w:bCs/>
          <w:color w:val="0070B8"/>
          <w:sz w:val="24"/>
          <w:szCs w:val="24"/>
        </w:rPr>
        <w:t xml:space="preserve">9.1 On-Site Commissioning Support</w:t>
      </w:r>
    </w:p>
    <w:p>
      <w:pPr>
        <w:spacing w:after="80" w:before="80"/>
      </w:pPr>
      <w:r>
        <w:rPr>
          <w:rFonts w:ascii="Arial" w:cs="Arial" w:eastAsia="Arial" w:hAnsi="Arial"/>
          <w:sz w:val="20"/>
          <w:szCs w:val="20"/>
        </w:rPr>
        <w:t xml:space="preserve">Vendor shall provide a minimum 5-day on-site lead Process Engineer during HPDU commissioning. The Vendor representative shall have direct experience with deoxo reactor start-up and TSA dryer commissioning in H₂ service.</w:t>
      </w:r>
    </w:p>
    <w:p>
      <w:pPr>
        <w:pStyle w:val="ListParagraph"/>
        <w:numPr>
          <w:ilvl w:val="0"/>
          <w:numId w:val="3"/>
        </w:numPr>
        <w:spacing w:after="60" w:before="60"/>
      </w:pPr>
      <w:r>
        <w:rPr>
          <w:rFonts w:ascii="Arial" w:cs="Arial" w:eastAsia="Arial" w:hAnsi="Arial"/>
          <w:sz w:val="18"/>
          <w:szCs w:val="18"/>
        </w:rPr>
        <w:t xml:space="preserve">Day 1–2: HPDU mechanical walkdown, sieve activation procedure start-up (if sieve requires pre-activation heating before H₂), instruments calibration verification.</w:t>
      </w:r>
    </w:p>
    <w:p>
      <w:pPr>
        <w:pStyle w:val="ListParagraph"/>
        <w:numPr>
          <w:ilvl w:val="0"/>
          <w:numId w:val="3"/>
        </w:numPr>
        <w:spacing w:after="60" w:before="60"/>
      </w:pPr>
      <w:r>
        <w:rPr>
          <w:rFonts w:ascii="Arial" w:cs="Arial" w:eastAsia="Arial" w:hAnsi="Arial"/>
          <w:sz w:val="18"/>
          <w:szCs w:val="18"/>
        </w:rPr>
        <w:t xml:space="preserve">Day 3: N₂ pressure test and leak verification (no H₂ introduction until N₂ test passes at 110% operating pressure). O₂ purge verification — O₂ analyser to read ≤ 1 ppm at HPDU outlet before H₂ introduction.</w:t>
      </w:r>
    </w:p>
    <w:p>
      <w:pPr>
        <w:pStyle w:val="ListParagraph"/>
        <w:numPr>
          <w:ilvl w:val="0"/>
          <w:numId w:val="3"/>
        </w:numPr>
        <w:spacing w:after="60" w:before="60"/>
      </w:pPr>
      <w:r>
        <w:rPr>
          <w:rFonts w:ascii="Arial" w:cs="Arial" w:eastAsia="Arial" w:hAnsi="Arial"/>
          <w:sz w:val="18"/>
          <w:szCs w:val="18"/>
        </w:rPr>
        <w:t xml:space="preserve">Day 4: First H₂ introduction per agreed start-up procedure. Gradual flow ramp to 50% design flow. Deoxo pre-heat sequence. Monitor deoxo reactor temperature rise. Verify O₂ analyser #1 and #2 readings.</w:t>
      </w:r>
    </w:p>
    <w:p>
      <w:pPr>
        <w:pStyle w:val="ListParagraph"/>
        <w:numPr>
          <w:ilvl w:val="0"/>
          <w:numId w:val="3"/>
        </w:numPr>
        <w:spacing w:after="60" w:before="60"/>
      </w:pPr>
      <w:r>
        <w:rPr>
          <w:rFonts w:ascii="Arial" w:cs="Arial" w:eastAsia="Arial" w:hAnsi="Arial"/>
          <w:sz w:val="18"/>
          <w:szCs w:val="18"/>
        </w:rPr>
        <w:t xml:space="preserve">Day 5: Ramp to full design flow. TSA dryer adsorption cycle verification. Moisture analyser calibration check. Full ESD function test (simulate each trip condition). H₂ leak detector calibration check.</w:t>
      </w:r>
    </w:p>
    <w:p>
      <w:pPr>
        <w:pStyle w:val="ListParagraph"/>
        <w:numPr>
          <w:ilvl w:val="0"/>
          <w:numId w:val="3"/>
        </w:numPr>
        <w:spacing w:after="60" w:before="60"/>
      </w:pPr>
      <w:r>
        <w:rPr>
          <w:rFonts w:ascii="Arial" w:cs="Arial" w:eastAsia="Arial" w:hAnsi="Arial"/>
          <w:sz w:val="18"/>
          <w:szCs w:val="18"/>
        </w:rPr>
        <w:t xml:space="preserve">Open Punch List: all Category B items to be resolved within 30 days post-MC. All Category A items must be cleared before MC sign-off.</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9.2 Optional 72-Hour Site Acceptance Test (SAT, OPT-D)</w:t>
      </w:r>
    </w:p>
    <w:p>
      <w:pPr>
        <w:spacing w:after="80" w:before="80"/>
      </w:pPr>
      <w:r>
        <w:rPr>
          <w:rFonts w:ascii="Arial" w:cs="Arial" w:eastAsia="Arial" w:hAnsi="Arial"/>
          <w:sz w:val="20"/>
          <w:szCs w:val="20"/>
        </w:rPr>
        <w:t xml:space="preserve">The SAT is an optional 72-hour continuous operation test under real H₂ flow conditions with MPE and Owner witness. If exercised, the SAT shall demonstrate:</w:t>
      </w:r>
    </w:p>
    <w:p>
      <w:pPr>
        <w:pStyle w:val="ListParagraph"/>
        <w:numPr>
          <w:ilvl w:val="0"/>
          <w:numId w:val="3"/>
        </w:numPr>
        <w:spacing w:after="60" w:before="60"/>
      </w:pPr>
      <w:r>
        <w:rPr>
          <w:rFonts w:ascii="Arial" w:cs="Arial" w:eastAsia="Arial" w:hAnsi="Arial"/>
          <w:sz w:val="18"/>
          <w:szCs w:val="18"/>
        </w:rPr>
        <w:t xml:space="preserve">Continuous O₂ &lt; 5 ppm at HPDU outlet for 72 consecutive hours</w:t>
      </w:r>
    </w:p>
    <w:p>
      <w:pPr>
        <w:pStyle w:val="ListParagraph"/>
        <w:numPr>
          <w:ilvl w:val="0"/>
          <w:numId w:val="3"/>
        </w:numPr>
        <w:spacing w:after="60" w:before="60"/>
      </w:pPr>
      <w:r>
        <w:rPr>
          <w:rFonts w:ascii="Arial" w:cs="Arial" w:eastAsia="Arial" w:hAnsi="Arial"/>
          <w:sz w:val="18"/>
          <w:szCs w:val="18"/>
        </w:rPr>
        <w:t xml:space="preserve">Continuous H₂O &lt; 5 ppm at HPDU outlet for 72 consecutive hours</w:t>
      </w:r>
    </w:p>
    <w:p>
      <w:pPr>
        <w:pStyle w:val="ListParagraph"/>
        <w:numPr>
          <w:ilvl w:val="0"/>
          <w:numId w:val="3"/>
        </w:numPr>
        <w:spacing w:after="60" w:before="60"/>
      </w:pPr>
      <w:r>
        <w:rPr>
          <w:rFonts w:ascii="Arial" w:cs="Arial" w:eastAsia="Arial" w:hAnsi="Arial"/>
          <w:sz w:val="18"/>
          <w:szCs w:val="18"/>
        </w:rPr>
        <w:t xml:space="preserve">At least one complete TSA bed switchover with no moisture spike &gt; 5 ppm</w:t>
      </w:r>
    </w:p>
    <w:p>
      <w:pPr>
        <w:pStyle w:val="ListParagraph"/>
        <w:numPr>
          <w:ilvl w:val="0"/>
          <w:numId w:val="3"/>
        </w:numPr>
        <w:spacing w:after="60" w:before="60"/>
      </w:pPr>
      <w:r>
        <w:rPr>
          <w:rFonts w:ascii="Arial" w:cs="Arial" w:eastAsia="Arial" w:hAnsi="Arial"/>
          <w:sz w:val="18"/>
          <w:szCs w:val="18"/>
        </w:rPr>
        <w:t xml:space="preserve">At least one complete deoxo outlet O₂ reading cycle (minimum, maximum O₂ inlet scenario if operationally feasible)</w:t>
      </w:r>
    </w:p>
    <w:p>
      <w:pPr>
        <w:pStyle w:val="ListParagraph"/>
        <w:numPr>
          <w:ilvl w:val="0"/>
          <w:numId w:val="3"/>
        </w:numPr>
        <w:spacing w:after="60" w:before="60"/>
      </w:pPr>
      <w:r>
        <w:rPr>
          <w:rFonts w:ascii="Arial" w:cs="Arial" w:eastAsia="Arial" w:hAnsi="Arial"/>
          <w:sz w:val="18"/>
          <w:szCs w:val="18"/>
        </w:rPr>
        <w:t xml:space="preserve">Outlet gas sample sent to accredited analytical laboratory for ISO 14687:2019 Grade 4.0 certification (MPE to select lab)</w:t>
      </w:r>
    </w:p>
    <w:p>
      <w:pPr>
        <w:spacing w:after="80" w:before="80"/>
      </w:pPr>
      <w:r>
        <w:rPr>
          <w:rFonts w:ascii="Arial" w:cs="Arial" w:eastAsia="Arial" w:hAnsi="Arial"/>
          <w:sz w:val="20"/>
          <w:szCs w:val="20"/>
        </w:rPr>
        <w:t xml:space="preserve">The SAT Certificate (signed by MPE, Vendor, and Client) is the trigger for release of the 5% final retention payment.</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9.3 Warranty</w:t>
      </w:r>
    </w:p>
    <w:p>
      <w:pPr>
        <w:pStyle w:val="ListParagraph"/>
        <w:numPr>
          <w:ilvl w:val="0"/>
          <w:numId w:val="3"/>
        </w:numPr>
        <w:spacing w:after="60" w:before="60"/>
      </w:pPr>
      <w:r>
        <w:rPr>
          <w:rFonts w:ascii="Arial" w:cs="Arial" w:eastAsia="Arial" w:hAnsi="Arial"/>
          <w:sz w:val="18"/>
          <w:szCs w:val="18"/>
        </w:rPr>
        <w:t xml:space="preserve">Warranty Period: 24 months from Mechanical Completion (MC) or 30 months from DAP delivery (whichever is earlier).</w:t>
      </w:r>
    </w:p>
    <w:p>
      <w:pPr>
        <w:pStyle w:val="ListParagraph"/>
        <w:numPr>
          <w:ilvl w:val="0"/>
          <w:numId w:val="3"/>
        </w:numPr>
        <w:spacing w:after="60" w:before="60"/>
      </w:pPr>
      <w:r>
        <w:rPr>
          <w:rFonts w:ascii="Arial" w:cs="Arial" w:eastAsia="Arial" w:hAnsi="Arial"/>
          <w:sz w:val="18"/>
          <w:szCs w:val="18"/>
        </w:rPr>
        <w:t xml:space="preserve">Deoxo Catalyst Warranty: Guaranteed minimum 2 years active life maintaining O₂ outlet ≤ 5 ppm.</w:t>
      </w:r>
    </w:p>
    <w:p>
      <w:pPr>
        <w:pStyle w:val="ListParagraph"/>
        <w:numPr>
          <w:ilvl w:val="0"/>
          <w:numId w:val="3"/>
        </w:numPr>
        <w:spacing w:after="60" w:before="60"/>
      </w:pPr>
      <w:r>
        <w:rPr>
          <w:rFonts w:ascii="Arial" w:cs="Arial" w:eastAsia="Arial" w:hAnsi="Arial"/>
          <w:sz w:val="18"/>
          <w:szCs w:val="18"/>
        </w:rPr>
        <w:t xml:space="preserve">Molecular Sieve Warranty: Guaranteed minimum 3 years life maintaining H₂O outlet ≤ 5 ppm.</w:t>
      </w:r>
    </w:p>
    <w:p>
      <w:pPr>
        <w:pStyle w:val="ListParagraph"/>
        <w:numPr>
          <w:ilvl w:val="0"/>
          <w:numId w:val="3"/>
        </w:numPr>
        <w:spacing w:after="60" w:before="60"/>
      </w:pPr>
      <w:r>
        <w:rPr>
          <w:rFonts w:ascii="Arial" w:cs="Arial" w:eastAsia="Arial" w:hAnsi="Arial"/>
          <w:sz w:val="18"/>
          <w:szCs w:val="18"/>
        </w:rPr>
        <w:t xml:space="preserve">On-site response for critical failure (H₂ leak from HPDU caused by vendor workmanship): Vendor to have service engineer on-site within 48 hours of notification. Define 'critical failure' as: O₂ &gt; 25 ppm at HPDU outlet; H₂ leak detection HH alarm; vessel weld crack or gasket blowout.</w:t>
      </w:r>
    </w:p>
    <w:p>
      <w:pPr>
        <w:pStyle w:val="ListParagraph"/>
        <w:numPr>
          <w:ilvl w:val="0"/>
          <w:numId w:val="3"/>
        </w:numPr>
        <w:spacing w:after="60" w:before="60"/>
      </w:pPr>
      <w:r>
        <w:rPr>
          <w:rFonts w:ascii="Arial" w:cs="Arial" w:eastAsia="Arial" w:hAnsi="Arial"/>
          <w:sz w:val="18"/>
          <w:szCs w:val="18"/>
        </w:rPr>
        <w:t xml:space="preserve">Excluded from warranty: Damage from unauthorized modifications by Owner or EPC; catalyst poisoning from inlet gas contamination outside the specified inlet envelope; sieve damage from liquid slug (if inlet KO drum malfunction is confirmed as EPC scope issue).</w:t>
      </w:r>
    </w:p>
    <w:p>
      <w:pPr>
        <w:spacing w:after="60" w:before="60"/>
      </w:pPr>
      <w:r>
        <w:t xml:space="preserve"/>
      </w:r>
    </w:p>
    <w:p>
      <w:r>
        <w:br w:type="page"/>
      </w:r>
    </w:p>
    <w:p>
      <w:pPr>
        <w:pStyle w:val="Heading1"/>
        <w:pBdr>
          <w:bottom w:val="single" w:color="8B1A1A" w:sz="10" w:space="4"/>
        </w:pBdr>
        <w:spacing w:after="180" w:before="360"/>
      </w:pPr>
      <w:r>
        <w:rPr>
          <w:rFonts w:ascii="Arial" w:cs="Arial" w:eastAsia="Arial" w:hAnsi="Arial"/>
          <w:b/>
          <w:bCs/>
          <w:color w:val="0A2240"/>
          <w:sz w:val="28"/>
          <w:szCs w:val="28"/>
        </w:rPr>
        <w:t xml:space="preserve">10. NON-NEGOTIABLE REQUIREMENTS — SUMMARY</w:t>
      </w:r>
    </w:p>
    <w:p>
      <w:pPr>
        <w:spacing w:after="80" w:before="80"/>
      </w:pPr>
      <w:r>
        <w:rPr>
          <w:rFonts w:ascii="Arial" w:cs="Arial" w:eastAsia="Arial" w:hAnsi="Arial"/>
          <w:sz w:val="20"/>
          <w:szCs w:val="20"/>
        </w:rPr>
        <w:t xml:space="preserve">The following requirements are ABSOLUTE and NON-NEGOTIABLE. Deviation from any of these requirements will result in immediate disqualification of the bid or cancellation of the PO at Vendor's cost and risk: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c>
          <w:tcPr>
            <w:tcW w:type="dxa" w:w="600"/>
            <w:gridSpan w:val="1"/>
            <w:tcBorders>
              <w:top w:val="single" w:color="B0BEC5" w:sz="1"/>
              <w:left w:val="single" w:color="B0BEC5" w:sz="1"/>
              <w:bottom w:val="single" w:color="B0BEC5" w:sz="1"/>
              <w:right w:val="single" w:color="B0BEC5"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560"/>
            <w:gridSpan w:val="1"/>
            <w:tcBorders>
              <w:top w:val="single" w:color="B0BEC5" w:sz="1"/>
              <w:left w:val="single" w:color="B0BEC5" w:sz="1"/>
              <w:bottom w:val="single" w:color="B0BEC5" w:sz="1"/>
              <w:right w:val="single" w:color="B0BEC5"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Non-Negotiable Requirement</w:t>
            </w:r>
          </w:p>
        </w:tc>
        <w:tc>
          <w:tcPr>
            <w:tcW w:type="dxa" w:w="4200"/>
            <w:gridSpan w:val="1"/>
            <w:tcBorders>
              <w:top w:val="single" w:color="B0BEC5" w:sz="1"/>
              <w:left w:val="single" w:color="B0BEC5" w:sz="1"/>
              <w:bottom w:val="single" w:color="B0BEC5" w:sz="1"/>
              <w:right w:val="single" w:color="B0BEC5"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Consequence of Non-Compliance</w:t>
            </w:r>
          </w:p>
        </w:tc>
      </w:tr>
      <w:tr>
        <w:tc>
          <w:tcPr>
            <w:tcW w:type="dxa" w:w="6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NN-01</w:t>
            </w:r>
          </w:p>
        </w:tc>
        <w:tc>
          <w:tcPr>
            <w:tcW w:type="dxa" w:w="4560"/>
            <w:gridSpan w:val="1"/>
            <w:tcBorders>
              <w:top w:val="single" w:color="B0BEC5" w:sz="1"/>
              <w:left w:val="single" w:color="B0BEC5" w:sz="1"/>
              <w:bottom w:val="single" w:color="B0BEC5" w:sz="1"/>
              <w:right w:val="single" w:color="B0BEC5" w:sz="1"/>
            </w:tcBorders>
            <w:shd w:fill="FFF8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Molecular sieve type: Zeolite 3A MANDATORY. No 4A, 5A, or 13X as primary drying layer. 13X permissible as auxiliary CO₂/CO removal layer only.</w:t>
            </w:r>
          </w:p>
        </w:tc>
        <w:tc>
          <w:tcPr>
            <w:tcW w:type="dxa" w:w="42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Bid disqualified if vendor proposes 4A as primary drying adsorbent.</w:t>
            </w:r>
          </w:p>
        </w:tc>
      </w:tr>
      <w:tr>
        <w:tc>
          <w:tcPr>
            <w:tcW w:type="dxa" w:w="6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NN-02</w:t>
            </w:r>
          </w:p>
        </w:tc>
        <w:tc>
          <w:tcPr>
            <w:tcW w:type="dxa" w:w="4560"/>
            <w:gridSpan w:val="1"/>
            <w:tcBorders>
              <w:top w:val="single" w:color="B0BEC5" w:sz="1"/>
              <w:left w:val="single" w:color="B0BEC5" w:sz="1"/>
              <w:bottom w:val="single" w:color="B0BEC5" w:sz="1"/>
              <w:right w:val="single" w:color="B0BEC5" w:sz="1"/>
            </w:tcBorders>
            <w:shd w:fill="FFF8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All wetted parts in contact with H₂ at ≥ 1 barg: SS316L (ASTM A312 TP316L, A240 TP316L, A182 F316L) MINIMUM. No carbon steel, no carbon steel-lined vessels, no zinc-coated wetted parts.</w:t>
            </w:r>
          </w:p>
        </w:tc>
        <w:tc>
          <w:tcPr>
            <w:tcW w:type="dxa" w:w="42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Bid disqualified if carbon steel is proposed for any wetted H₂ service part.</w:t>
            </w:r>
          </w:p>
        </w:tc>
      </w:tr>
      <w:tr>
        <w:tc>
          <w:tcPr>
            <w:tcW w:type="dxa" w:w="6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NN-03</w:t>
            </w:r>
          </w:p>
        </w:tc>
        <w:tc>
          <w:tcPr>
            <w:tcW w:type="dxa" w:w="4560"/>
            <w:gridSpan w:val="1"/>
            <w:tcBorders>
              <w:top w:val="single" w:color="B0BEC5" w:sz="1"/>
              <w:left w:val="single" w:color="B0BEC5" w:sz="1"/>
              <w:bottom w:val="single" w:color="B0BEC5" w:sz="1"/>
              <w:right w:val="single" w:color="B0BEC5" w:sz="1"/>
            </w:tcBorders>
            <w:shd w:fill="FFF8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Piping Design Code: ASME B31.12 (Hydrogen Piping and Pipelines). Not B31.3. 100% RT on all butt welds in H₂ service.</w:t>
            </w:r>
          </w:p>
        </w:tc>
        <w:tc>
          <w:tcPr>
            <w:tcW w:type="dxa" w:w="42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Non-compliant piping design is a bid disqualifier.</w:t>
            </w:r>
          </w:p>
        </w:tc>
      </w:tr>
      <w:tr>
        <w:tc>
          <w:tcPr>
            <w:tcW w:type="dxa" w:w="6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NN-04</w:t>
            </w:r>
          </w:p>
        </w:tc>
        <w:tc>
          <w:tcPr>
            <w:tcW w:type="dxa" w:w="4560"/>
            <w:gridSpan w:val="1"/>
            <w:tcBorders>
              <w:top w:val="single" w:color="B0BEC5" w:sz="1"/>
              <w:left w:val="single" w:color="B0BEC5" w:sz="1"/>
              <w:bottom w:val="single" w:color="B0BEC5" w:sz="1"/>
              <w:right w:val="single" w:color="B0BEC5" w:sz="1"/>
            </w:tcBorders>
            <w:shd w:fill="FFF8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ATEX certification: All electrical equipment in Zone 1 must be Group IIC certified. No exceptions. IECEx accepted as equivalent only if protection level equals or exceeds ATEX IIC T3.</w:t>
            </w:r>
          </w:p>
        </w:tc>
        <w:tc>
          <w:tcPr>
            <w:tcW w:type="dxa" w:w="42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Bid disqualified if non-IIC-rated electrical equipment is proposed for Zone 1 locations.</w:t>
            </w:r>
          </w:p>
        </w:tc>
      </w:tr>
      <w:tr>
        <w:tc>
          <w:tcPr>
            <w:tcW w:type="dxa" w:w="6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NN-05</w:t>
            </w:r>
          </w:p>
        </w:tc>
        <w:tc>
          <w:tcPr>
            <w:tcW w:type="dxa" w:w="4560"/>
            <w:gridSpan w:val="1"/>
            <w:tcBorders>
              <w:top w:val="single" w:color="B0BEC5" w:sz="1"/>
              <w:left w:val="single" w:color="B0BEC5" w:sz="1"/>
              <w:bottom w:val="single" w:color="B0BEC5" w:sz="1"/>
              <w:right w:val="single" w:color="B0BEC5" w:sz="1"/>
            </w:tcBorders>
            <w:shd w:fill="FFF8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No combustion (gas/fuel-fired) heating equipment within HPDU package or within 15 m radius. All heating by electric resistance heaters only. No nitrogen in TSA regeneration gas during normal operation — dry H₂ only.</w:t>
            </w:r>
          </w:p>
        </w:tc>
        <w:tc>
          <w:tcPr>
            <w:tcW w:type="dxa" w:w="42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Critical safety violation. Non-compliant bid disqualified.</w:t>
            </w:r>
          </w:p>
        </w:tc>
      </w:tr>
      <w:tr>
        <w:tc>
          <w:tcPr>
            <w:tcW w:type="dxa" w:w="6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NN-06</w:t>
            </w:r>
          </w:p>
        </w:tc>
        <w:tc>
          <w:tcPr>
            <w:tcW w:type="dxa" w:w="4560"/>
            <w:gridSpan w:val="1"/>
            <w:tcBorders>
              <w:top w:val="single" w:color="B0BEC5" w:sz="1"/>
              <w:left w:val="single" w:color="B0BEC5" w:sz="1"/>
              <w:bottom w:val="single" w:color="B0BEC5" w:sz="1"/>
              <w:right w:val="single" w:color="B0BEC5" w:sz="1"/>
            </w:tcBorders>
            <w:shd w:fill="FFF8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FAT with MPE and Masdar witness is MANDATORY before any shipment. Vendor may NOT ship HPDU without signed FAT Certificate.</w:t>
            </w:r>
          </w:p>
        </w:tc>
        <w:tc>
          <w:tcPr>
            <w:tcW w:type="dxa" w:w="42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Unauthorized shipment constitutes contract breach; cost and risk borne by Vendor.</w:t>
            </w:r>
          </w:p>
        </w:tc>
      </w:tr>
      <w:tr>
        <w:tc>
          <w:tcPr>
            <w:tcW w:type="dxa" w:w="6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NN-07</w:t>
            </w:r>
          </w:p>
        </w:tc>
        <w:tc>
          <w:tcPr>
            <w:tcW w:type="dxa" w:w="4560"/>
            <w:gridSpan w:val="1"/>
            <w:tcBorders>
              <w:top w:val="single" w:color="B0BEC5" w:sz="1"/>
              <w:left w:val="single" w:color="B0BEC5" w:sz="1"/>
              <w:bottom w:val="single" w:color="B0BEC5" w:sz="1"/>
              <w:right w:val="single" w:color="B0BEC5" w:sz="1"/>
            </w:tcBorders>
            <w:shd w:fill="FFF8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EN 10204 Type 3.1 material certificates for ALL pressure-containing parts (vessels, piping, flanges, valves, fittings). Type 2.1/2.2 are not accepted.</w:t>
            </w:r>
          </w:p>
        </w:tc>
        <w:tc>
          <w:tcPr>
            <w:tcW w:type="dxa" w:w="42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Non-compliant documentation = HOLD on FAT sign-off.</w:t>
            </w:r>
          </w:p>
        </w:tc>
      </w:tr>
      <w:tr>
        <w:tc>
          <w:tcPr>
            <w:tcW w:type="dxa" w:w="6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NN-08</w:t>
            </w:r>
          </w:p>
        </w:tc>
        <w:tc>
          <w:tcPr>
            <w:tcW w:type="dxa" w:w="4560"/>
            <w:gridSpan w:val="1"/>
            <w:tcBorders>
              <w:top w:val="single" w:color="B0BEC5" w:sz="1"/>
              <w:left w:val="single" w:color="B0BEC5" w:sz="1"/>
              <w:bottom w:val="single" w:color="B0BEC5" w:sz="1"/>
              <w:right w:val="single" w:color="B0BEC5" w:sz="1"/>
            </w:tcBorders>
            <w:shd w:fill="FFF8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SIL 2 rated ESD/SIS for O₂ high-high trip, H₂ leak high-high trip, and moisture high-high trip (per IEC 61511). SIL assessment to be submitted by vendor.</w:t>
            </w:r>
          </w:p>
        </w:tc>
        <w:tc>
          <w:tcPr>
            <w:tcW w:type="dxa" w:w="42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Non-compliance is a bid disqualifier — safety critical for H₂ plant.</w:t>
            </w:r>
          </w:p>
        </w:tc>
      </w:tr>
      <w:tr>
        <w:tc>
          <w:tcPr>
            <w:tcW w:type="dxa" w:w="6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NN-09</w:t>
            </w:r>
          </w:p>
        </w:tc>
        <w:tc>
          <w:tcPr>
            <w:tcW w:type="dxa" w:w="4560"/>
            <w:gridSpan w:val="1"/>
            <w:tcBorders>
              <w:top w:val="single" w:color="B0BEC5" w:sz="1"/>
              <w:left w:val="single" w:color="B0BEC5" w:sz="1"/>
              <w:bottom w:val="single" w:color="B0BEC5" w:sz="1"/>
              <w:right w:val="single" w:color="B0BEC5" w:sz="1"/>
            </w:tcBorders>
            <w:shd w:fill="FFF8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Vendor must have minimum 3 verifiable references for hydrogen purification systems (deoxo + TSA drying) in H₂ service with flow ≥ 5,000 Nm³/h. References to be submitted with offer.</w:t>
            </w:r>
          </w:p>
        </w:tc>
        <w:tc>
          <w:tcPr>
            <w:tcW w:type="dxa" w:w="42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Bid disqualified if experience criteria not met.</w:t>
            </w:r>
          </w:p>
        </w:tc>
      </w:tr>
      <w:tr>
        <w:tc>
          <w:tcPr>
            <w:tcW w:type="dxa" w:w="6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NN-10</w:t>
            </w:r>
          </w:p>
        </w:tc>
        <w:tc>
          <w:tcPr>
            <w:tcW w:type="dxa" w:w="4560"/>
            <w:gridSpan w:val="1"/>
            <w:tcBorders>
              <w:top w:val="single" w:color="B0BEC5" w:sz="1"/>
              <w:left w:val="single" w:color="B0BEC5" w:sz="1"/>
              <w:bottom w:val="single" w:color="B0BEC5" w:sz="1"/>
              <w:right w:val="single" w:color="B0BEC5" w:sz="1"/>
            </w:tcBorders>
            <w:shd w:fill="FFF8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Arabic and English language dual O&amp;M manual. HMI to support both Arabic and English language selection. Site operators are primarily Arabic speaking.</w:t>
            </w:r>
          </w:p>
        </w:tc>
        <w:tc>
          <w:tcPr>
            <w:tcW w:type="dxa" w:w="4200"/>
            <w:gridSpan w:val="1"/>
            <w:tcBorders>
              <w:top w:val="single" w:color="B0BEC5" w:sz="1"/>
              <w:left w:val="single" w:color="B0BEC5" w:sz="1"/>
              <w:bottom w:val="single" w:color="B0BEC5" w:sz="1"/>
              <w:right w:val="single" w:color="B0BEC5" w:sz="1"/>
            </w:tcBorders>
            <w:shd w:fill="FFE5E5"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Non-compliant O&amp;M delivery = HOLD on MC Certificate.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0E6FF" w:val="clear"/>
            <w:tcMar>
              <w:top w:type="dxa" w:w="100"/>
              <w:left w:type="dxa" w:w="200"/>
              <w:bottom w:type="dxa" w:w="100"/>
              <w:right w:type="dxa" w:w="200"/>
            </w:tcMar>
          </w:tcPr>
          <w:p>
            <w:r>
              <w:rPr>
                <w:rFonts w:ascii="Arial" w:cs="Arial" w:eastAsia="Arial" w:hAnsi="Arial"/>
                <w:b/>
                <w:bCs/>
                <w:color w:val="4B0082"/>
                <w:sz w:val="19"/>
                <w:szCs w:val="19"/>
              </w:rPr>
              <w:t xml:space="preserve">✅ NON-NEGOTIABLE REQUIREMENT: </w:t>
            </w:r>
            <w:r>
              <w:rPr>
                <w:rFonts w:ascii="Arial" w:cs="Arial" w:eastAsia="Arial" w:hAnsi="Arial"/>
                <w:color w:val="4B0082"/>
                <w:sz w:val="18"/>
                <w:szCs w:val="18"/>
              </w:rPr>
              <w:t xml:space="preserve">All 10 non-negotiable requirements listed above (NN-01 through NN-10) must be explicitly confirmed compliant in Vendor's Technical Compliance Schedule (TCS). Any 'noted' or 'will comply' responses without technical confirmation will be treated as non-compliant.</w:t>
            </w:r>
          </w:p>
        </w:tc>
      </w:tr>
    </w:tbl>
    <w:p>
      <w:pPr>
        <w:spacing w:after="60" w:before="60"/>
      </w:pPr>
      <w:r>
        <w:t xml:space="preserve"/>
      </w:r>
    </w:p>
    <w:p>
      <w:r>
        <w:br w:type="page"/>
      </w:r>
    </w:p>
    <w:p>
      <w:pPr>
        <w:pStyle w:val="Heading1"/>
        <w:pBdr>
          <w:bottom w:val="single" w:color="8B1A1A" w:sz="10" w:space="4"/>
        </w:pBdr>
        <w:spacing w:after="180" w:before="360"/>
      </w:pPr>
      <w:r>
        <w:rPr>
          <w:rFonts w:ascii="Arial" w:cs="Arial" w:eastAsia="Arial" w:hAnsi="Arial"/>
          <w:b/>
          <w:bCs/>
          <w:color w:val="0A2240"/>
          <w:sz w:val="28"/>
          <w:szCs w:val="28"/>
        </w:rPr>
        <w:t xml:space="preserve">APPENDIX A: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Acronym</w:t>
            </w:r>
          </w:p>
        </w:tc>
        <w:tc>
          <w:tcPr>
            <w:tcW w:type="dxa" w:w="736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AEL</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Alkaline Electrolyzer</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AFC</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Approved for Construction</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AFI</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Approved for Information</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AFR</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Approved for Review</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ATEX</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ATmosphères EXplosibles (EU explosion protection certification)</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AIT</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Auto-Ignition Temperature</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BL</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Battery Limit</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DMS</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Document Management System</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EPC</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Engineering, Procurement, Construction</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ESD</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Emergency Shutdown</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FAT</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Factory Acceptance Test</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GC</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Gas Chromatograph</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HPDU</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Hydrogen Purification and Drying Unit</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HMI</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Human-Machine Interface</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HOLD</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Mandatory witness point – no proceeding without MPE sign-off</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IEC</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International Electrotechnical Commission</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IECEx</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IEC System for Certification to Standards relating to Equipment for use in Explosive Atmospheres</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IIC</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IEC 60079 Gas Group IIC (H₂, acetylene, CS₂)</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IP66</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Ingress Protection: dust-tight, jet-water protected</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ITP</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Inspection and Test Plan</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KOM</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Kick-Off Meeting</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LCP</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Local Control Panel</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LEL</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Lower Explosive Limit</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Level Transmitter</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LOPA</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Layer of Protection Analysis</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MDR</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Manufacturer's Data Record</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MIE</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Minimum Ignition Energy</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MPE</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MENA Process Engineering LLC</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NCR</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Non-Conformance Report</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O&amp;M</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Operations and Maintenance</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PEM</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Proton Exchange Membrane electrolyzer</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PLC</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Programmable Logic Controller</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PO</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Purchase Order</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PSR</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Project-Specific Requirements</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PSV</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Pressure Safety Valve</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RT</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Radiographic Testing</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SAT</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Site Acceptance Test (72h)</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SIL</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Safety Integrity Level (IEC 61511)</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SIS</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Safety Instrumented System</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SS316L</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Austenitic Stainless Steel Grade 316L (max 0.03% C)</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TSA</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Temperature Swing Adsorption</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TCS</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Technical Compliance Schedule</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UAE</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United Arab Emirates</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VDR</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Document Register</w:t>
            </w:r>
          </w:p>
        </w:tc>
      </w:tr>
      <w:tr>
        <w:tc>
          <w:tcPr>
            <w:tcW w:type="dxa" w:w="2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WPS/PQR</w:t>
            </w:r>
          </w:p>
        </w:tc>
        <w:tc>
          <w:tcPr>
            <w:tcW w:type="dxa" w:w="7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Welding Procedure Specification / Procedure Qualification Record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3CD" w:val="clear"/>
            <w:tcMar>
              <w:top w:type="dxa" w:w="100"/>
              <w:left w:type="dxa" w:w="200"/>
              <w:bottom w:type="dxa" w:w="100"/>
              <w:right w:type="dxa" w:w="200"/>
            </w:tcMar>
          </w:tcPr>
          <w:p>
            <w:r>
              <w:rPr>
                <w:rFonts w:ascii="Arial" w:cs="Arial" w:eastAsia="Arial" w:hAnsi="Arial"/>
                <w:b/>
                <w:bCs/>
                <w:color w:val="7B4F00"/>
                <w:sz w:val="19"/>
                <w:szCs w:val="19"/>
              </w:rPr>
              <w:t xml:space="preserve">⚠ CAUTION: </w:t>
            </w:r>
            <w:r>
              <w:rPr>
                <w:rFonts w:ascii="Arial" w:cs="Arial" w:eastAsia="Arial" w:hAnsi="Arial"/>
                <w:color w:val="7B4F00"/>
                <w:sz w:val="18"/>
                <w:szCs w:val="18"/>
              </w:rPr>
              <w:t xml:space="preserve">This PSR and all technical information contained herein are CONFIDENTIAL and proprietary to MENA Process Engineering LLC and Masdar Green Hydrogen Co. LLC. No part of this document may be reproduced or transmitted in any form without written consent. The Vendor acknowledges that acceptance of the Purchase Order constitutes full and unconditional acceptance of all requirements defined in this PSR.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1A1A" w:sz="6" w:space="4"/>
      </w:pBdr>
      <w:jc w:val="center"/>
    </w:pPr>
    <w:r>
      <w:rPr>
        <w:rFonts w:ascii="Arial" w:cs="Arial" w:eastAsia="Arial" w:hAnsi="Arial"/>
        <w:color w:val="555555"/>
        <w:sz w:val="16"/>
        <w:szCs w:val="16"/>
      </w:rPr>
      <w:t xml:space="preserve">CONTRACTUALLY BINDING    |    Page </w:t>
    </w:r>
    <w:fldSimple w:instr="PAGE"/>
    <w:r>
      <w:rPr>
        <w:rFonts w:ascii="Arial" w:cs="Arial" w:eastAsia="Arial" w:hAnsi="Arial"/>
        <w:color w:val="555555"/>
        <w:sz w:val="16"/>
        <w:szCs w:val="16"/>
      </w:rPr>
      <w:t xml:space="preserve"> of </w:t>
    </w:r>
    <w:fldSimple w:instr="NUMPAGES"/>
    <w:r>
      <w:rPr>
        <w:rFonts w:ascii="Arial" w:cs="Arial" w:eastAsia="Arial" w:hAnsi="Arial"/>
        <w:color w:val="555555"/>
        <w:sz w:val="16"/>
        <w:szCs w:val="16"/>
      </w:rPr>
      <w:t xml:space="preserve">    |    MPE-AGHP-2026-003-PSR-HPDU-001    |    © 2026 MENA Process Engineering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1A" w:sz="6" w:space="4"/>
      </w:pBdr>
    </w:pPr>
    <w:r>
      <w:rPr>
        <w:rFonts w:ascii="Arial" w:cs="Arial" w:eastAsia="Arial" w:hAnsi="Arial"/>
        <w:b/>
        <w:bCs/>
        <w:color w:val="0A2240"/>
        <w:sz w:val="18"/>
        <w:szCs w:val="18"/>
      </w:rPr>
      <w:t xml:space="preserve">MASDAR GREEN HYDROGEN CO. LLC  /  MENA PROCESS ENGINEERING LLC    |    </w:t>
    </w:r>
    <w:r>
      <w:rPr>
        <w:rFonts w:ascii="Arial" w:cs="Arial" w:eastAsia="Arial" w:hAnsi="Arial"/>
        <w:color w:val="555555"/>
        <w:sz w:val="16"/>
        <w:szCs w:val="16"/>
      </w:rPr>
      <w:t xml:space="preserve">Project-Specific Requirements – HPDU Package    |    MPE-AGHP-2026-003-PSR-HPDU-001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224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70B8"/>
      <w:sz w:val="24"/>
      <w:szCs w:val="24"/>
    </w:rPr>
  </w:style>
  <w:style w:type="paragraph" w:styleId="Heading3">
    <w:name w:val="Heading 3"/>
    <w:basedOn w:val="Normal"/>
    <w:next w:val="Normal"/>
    <w:qFormat/>
    <w:pPr>
      <w:spacing w:after="80" w:before="160"/>
      <w:outlineLvl w:val="2"/>
    </w:pPr>
    <w:rPr>
      <w:rFonts w:ascii="Arial" w:cs="Arial" w:eastAsia="Arial" w:hAnsi="Arial"/>
      <w:b/>
      <w:bCs/>
      <w:color w:val="0A22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2026-03-12T12:04:30.416Z</dcterms:created>
  <dcterms:modified xsi:type="dcterms:W3CDTF">2026-03-12T12:04:30.417Z</dcterms:modified>
</cp:coreProperties>
</file>

<file path=docProps/custom.xml><?xml version="1.0" encoding="utf-8"?>
<Properties xmlns="http://schemas.openxmlformats.org/officeDocument/2006/custom-properties" xmlns:vt="http://schemas.openxmlformats.org/officeDocument/2006/docPropsVTypes"/>
</file>