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b/>
          <w:bCs/>
          <w:color w:val="1B3A5C"/>
          <w:sz w:val="52"/>
          <w:szCs w:val="52"/>
        </w:rPr>
        <w:t xml:space="preserve">NEXUS ENERGY SOLUTIONS S.p.A.</w:t>
      </w:r>
    </w:p>
    <w:p>
      <w:pPr>
        <w:spacing w:after="120"/>
      </w:pPr>
      <w:r>
        <w:rPr>
          <w:rFonts w:ascii="Arial" w:cs="Arial" w:eastAsia="Arial" w:hAnsi="Arial"/>
          <w:color w:val="555555"/>
          <w:sz w:val="20"/>
          <w:szCs w:val="20"/>
        </w:rPr>
        <w:t xml:space="preserve">Via Mecenate 90 | 20138 Milan (MI) | Italy</w:t>
      </w:r>
    </w:p>
    <w:p>
      <w:pPr>
        <w:spacing w:after="400"/>
      </w:pPr>
      <w:r>
        <w:rPr>
          <w:rFonts w:ascii="Arial" w:cs="Arial" w:eastAsia="Arial" w:hAnsi="Arial"/>
          <w:color w:val="555555"/>
          <w:sz w:val="20"/>
          <w:szCs w:val="20"/>
        </w:rPr>
        <w:t xml:space="preserve">www.nexusenergyit.com | Tel: +39 02 8547 3300</w:t>
      </w:r>
    </w:p>
    <w:p>
      <w:pPr>
        <w:pBdr>
          <w:top w:val="single" w:color="2E6DA4" w:sz="12"/>
        </w:pBdr>
        <w:spacing w:after="80"/>
      </w:pPr>
    </w:p>
    <w:p>
      <w:pPr>
        <w:spacing w:after="80"/>
      </w:pPr>
      <w:r>
        <w:rPr>
          <w:rFonts w:ascii="Arial" w:cs="Arial" w:eastAsia="Arial" w:hAnsi="Arial"/>
          <w:b/>
          <w:bCs/>
          <w:color w:val="1B3A5C"/>
          <w:sz w:val="56"/>
          <w:szCs w:val="56"/>
        </w:rPr>
        <w:t xml:space="preserve">REQUEST FOR QUOTATION</w:t>
      </w:r>
    </w:p>
    <w:p>
      <w:pPr>
        <w:spacing w:after="400"/>
      </w:pPr>
      <w:r>
        <w:rPr>
          <w:rFonts w:ascii="Arial" w:cs="Arial" w:eastAsia="Arial" w:hAnsi="Arial"/>
          <w:b/>
          <w:bCs/>
          <w:color w:val="2E6DA4"/>
          <w:sz w:val="32"/>
          <w:szCs w:val="32"/>
        </w:rPr>
        <w:t xml:space="preserve">GAS DEHYDRATION PACKAGE UNIT – MOLECULAR SIEVE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9360"/>
            <w:gridSpan w:val="2"/>
            <w:tcBorders>
              <w:top w:val="single" w:color="C0CDD8" w:sz="1"/>
              <w:left w:val="single" w:color="C0CDD8" w:sz="1"/>
              <w:bottom w:val="single" w:color="C0CDD8" w:sz="1"/>
              <w:right w:val="single" w:color="C0CD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NEXUS ENERGY SOLUTIONS S.p.A.</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Document Title: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REQUEST FOR QUOTATION – GAS DEHYDRATION PACKAGE UNIT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 Name: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ADRIATIC GAS PROCESSING FACILITY – PHASE II EXPANSION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 Number: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NES-AGP-2026-007</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RFQ Number: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NES-AGP-2026-007-RFQ-GAS-DRY-001</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Revision:</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 For Quotation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Issue Date: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March 2026</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RFQ Closing Date: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15 April 2026 – 17:00 CET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Issued by: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Nexus Energy Solutions S.p.A. – Procurement Department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Confidentiality:</w:t>
            </w:r>
          </w:p>
        </w:tc>
        <w:tc>
          <w:tcPr>
            <w:tcW w:type="dxa" w:w="5860"/>
            <w:gridSpan w:val="1"/>
            <w:tcBorders>
              <w:top w:val="single" w:color="C0CDD8" w:sz="1"/>
              <w:left w:val="single" w:color="C0CDD8" w:sz="1"/>
              <w:bottom w:val="single" w:color="C0CDD8" w:sz="1"/>
              <w:right w:val="single" w:color="C0CDD8" w:sz="1"/>
            </w:tcBorders>
            <w:shd w:fill="FFF3CD"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COMPANY CONFIDENTIAL – Not for Distribution</w:t>
            </w:r>
          </w:p>
        </w:tc>
      </w:tr>
    </w:tbl>
    <w:p>
      <w:pPr>
        <w:spacing w:after="160"/>
      </w:pPr>
      <w:r>
        <w:t xml:space="preserve"/>
      </w:r>
    </w:p>
    <w:p>
      <w:pPr>
        <w:spacing w:after="120"/>
      </w:pPr>
      <w:r>
        <w:rPr>
          <w:rFonts w:ascii="Arial" w:cs="Arial" w:eastAsia="Arial" w:hAnsi="Arial"/>
          <w:b/>
          <w:bCs/>
          <w:color w:val="1B3A5C"/>
          <w:sz w:val="22"/>
          <w:szCs w:val="22"/>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80"/>
        <w:gridCol w:w="2480"/>
        <w:gridCol w:w="2000"/>
      </w:tblGrid>
      <w:tr>
        <w:tc>
          <w:tcPr>
            <w:tcW w:type="dxa" w:w="1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w:t>
            </w:r>
          </w:p>
        </w:tc>
        <w:tc>
          <w:tcPr>
            <w:tcW w:type="dxa" w:w="14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48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48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Prepared by</w:t>
            </w:r>
          </w:p>
        </w:tc>
        <w:tc>
          <w:tcPr>
            <w:tcW w:type="dxa" w:w="2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Approved by</w:t>
            </w:r>
          </w:p>
        </w:tc>
      </w:tr>
      <w:tr>
        <w:tc>
          <w:tcPr>
            <w:tcW w:type="dxa" w:w="1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w:t>
            </w:r>
          </w:p>
        </w:tc>
        <w:tc>
          <w:tcPr>
            <w:tcW w:type="dxa" w:w="14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12-Mar-2026</w:t>
            </w:r>
          </w:p>
        </w:tc>
        <w:tc>
          <w:tcPr>
            <w:tcW w:type="dxa" w:w="24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Issued for Quotation</w:t>
            </w:r>
          </w:p>
        </w:tc>
        <w:tc>
          <w:tcPr>
            <w:tcW w:type="dxa" w:w="248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 Ferretti / Proc. Eng.</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 Rossi / PM</w:t>
            </w:r>
          </w:p>
        </w:tc>
      </w:tr>
    </w:tbl>
    <w:p>
      <w:pPr>
        <w:spacing w:after="160"/>
      </w:pPr>
      <w:r>
        <w:t xml:space="preserve"/>
      </w:r>
    </w:p>
    <w:p>
      <w:pPr>
        <w:spacing w:after="180"/>
        <w:jc w:val="both"/>
      </w:pPr>
      <w:r>
        <w:rPr>
          <w:rFonts w:ascii="Arial" w:cs="Arial" w:eastAsia="Arial" w:hAnsi="Arial"/>
          <w:i/>
          <w:iCs/>
          <w:color w:val="555555"/>
          <w:sz w:val="18"/>
          <w:szCs w:val="18"/>
        </w:rPr>
        <w:t xml:space="preserve">CONFIDENTIALITY NOTICE: This Request for Quotation and all attachments are proprietary and confidential to Nexus Energy Solutions S.p.A. Receipt of this document implies acceptance of the confidentiality obligation. The contents shall not be disclosed to any third party without prior written consent of NES.</w:t>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1. INTRODUCTION AND PROJECT OVERVIEW</w:t>
      </w:r>
    </w:p>
    <w:p>
      <w:pPr>
        <w:pStyle w:val="Heading2"/>
        <w:spacing w:after="120" w:before="240"/>
      </w:pPr>
      <w:r>
        <w:rPr>
          <w:rFonts w:ascii="Arial" w:cs="Arial" w:eastAsia="Arial" w:hAnsi="Arial"/>
          <w:b/>
          <w:bCs/>
          <w:color w:val="2E6DA4"/>
          <w:sz w:val="24"/>
          <w:szCs w:val="24"/>
        </w:rPr>
        <w:t xml:space="preserve">1.1 Project Background</w:t>
      </w:r>
    </w:p>
    <w:p>
      <w:pPr>
        <w:spacing w:after="120"/>
      </w:pPr>
      <w:r>
        <w:rPr>
          <w:rFonts w:ascii="Arial" w:cs="Arial" w:eastAsia="Arial" w:hAnsi="Arial"/>
          <w:sz w:val="20"/>
          <w:szCs w:val="20"/>
        </w:rPr>
        <w:t xml:space="preserve">Nexus Energy Solutions S.p.A. (hereinafter referred to as 'NES' or 'EPC Contractor') has been awarded a lump-sum Engineering, Procurement, and Construction (EPC) contract by Adriatico Energia S.r.l. (hereinafter 'Client' or 'Owner') for the Phase II Expansion of the Adriatic Gas Processing Facility located near Ravenna, Province of Ravenna (RA), Emilia-Romagna, Italy.</w:t>
      </w:r>
    </w:p>
    <w:p>
      <w:pPr>
        <w:spacing w:after="120"/>
      </w:pPr>
      <w:r>
        <w:rPr>
          <w:rFonts w:ascii="Arial" w:cs="Arial" w:eastAsia="Arial" w:hAnsi="Arial"/>
          <w:sz w:val="20"/>
          <w:szCs w:val="20"/>
        </w:rPr>
        <w:t xml:space="preserve">The Adriatic Gas Processing Facility processes raw natural gas extracted from multiple offshore fields in the Northern Adriatic Sea via a dedicated 26-inch subsea pipeline. Phase I of the facility, commissioned in 2019, processes up to 25 MMSCFD. Phase II expansion is designed to increase throughput to 75 MMSCFD total (50 MMSCFD incremental), and includes the addition of a gas dehydration unit, a new NGL fractionation train, enhanced compression, and associated utilities.</w:t>
      </w:r>
    </w:p>
    <w:p>
      <w:pPr>
        <w:spacing w:after="160"/>
      </w:pPr>
      <w:r>
        <w:t xml:space="preserve"/>
      </w:r>
    </w:p>
    <w:p>
      <w:pPr>
        <w:pStyle w:val="Heading2"/>
        <w:spacing w:after="120" w:before="240"/>
      </w:pPr>
      <w:r>
        <w:rPr>
          <w:rFonts w:ascii="Arial" w:cs="Arial" w:eastAsia="Arial" w:hAnsi="Arial"/>
          <w:b/>
          <w:bCs/>
          <w:color w:val="2E6DA4"/>
          <w:sz w:val="24"/>
          <w:szCs w:val="24"/>
        </w:rPr>
        <w:t xml:space="preserve">1.2 Purpose of this RFQ</w:t>
      </w:r>
    </w:p>
    <w:p>
      <w:pPr>
        <w:spacing w:after="120"/>
      </w:pPr>
      <w:r>
        <w:rPr>
          <w:rFonts w:ascii="Arial" w:cs="Arial" w:eastAsia="Arial" w:hAnsi="Arial"/>
          <w:sz w:val="20"/>
          <w:szCs w:val="20"/>
        </w:rPr>
        <w:t xml:space="preserve">NES hereby requests a firm, fixed-price technical and commercial quotation for the engineering, procurement, fabrication, testing, preservation, and delivery of a complete Gas Dehydration Package Unit (hereinafter the 'Package' or 'GDU Package') based on molecular sieve adsorption technology, including all associated auxiliaries, instrumentation, controls, and documentation as specified herein.</w:t>
      </w:r>
    </w:p>
    <w:p>
      <w:pPr>
        <w:spacing w:after="120"/>
      </w:pPr>
      <w:r>
        <w:rPr>
          <w:rFonts w:ascii="Arial" w:cs="Arial" w:eastAsia="Arial" w:hAnsi="Arial"/>
          <w:sz w:val="20"/>
          <w:szCs w:val="20"/>
        </w:rPr>
        <w:t xml:space="preserve">The GDU Package shall be supplied as a fully integrated, pre-assembled, pre-tested, and pre-wired skid-mounted unit, designed for outdoor installation in an Italian coastal industrial site (Zona Industriale di Ravenna), complying with European (CE/PED), ATEX, and applicable international standards.</w:t>
      </w:r>
    </w:p>
    <w:p>
      <w:pPr>
        <w:spacing w:after="160"/>
      </w:pPr>
      <w:r>
        <w:t xml:space="preserve"/>
      </w:r>
    </w:p>
    <w:p>
      <w:pPr>
        <w:pStyle w:val="Heading2"/>
        <w:spacing w:after="120" w:before="240"/>
      </w:pPr>
      <w:r>
        <w:rPr>
          <w:rFonts w:ascii="Arial" w:cs="Arial" w:eastAsia="Arial" w:hAnsi="Arial"/>
          <w:b/>
          <w:bCs/>
          <w:color w:val="2E6DA4"/>
          <w:sz w:val="24"/>
          <w:szCs w:val="24"/>
        </w:rPr>
        <w:t xml:space="preserve">1.3 Scope of this RFQ</w:t>
      </w:r>
    </w:p>
    <w:p>
      <w:pPr>
        <w:spacing w:after="120"/>
      </w:pPr>
      <w:r>
        <w:rPr>
          <w:rFonts w:ascii="Arial" w:cs="Arial" w:eastAsia="Arial" w:hAnsi="Arial"/>
          <w:sz w:val="20"/>
          <w:szCs w:val="20"/>
        </w:rPr>
        <w:t xml:space="preserve">This RFQ covers the following major deliverables from the Vendor:</w:t>
      </w:r>
    </w:p>
    <w:p>
      <w:pPr>
        <w:pStyle w:val="ListParagraph"/>
        <w:numPr>
          <w:ilvl w:val="0"/>
          <w:numId w:val="2"/>
        </w:numPr>
        <w:spacing w:after="60"/>
      </w:pPr>
      <w:r>
        <w:rPr>
          <w:rFonts w:ascii="Arial" w:cs="Arial" w:eastAsia="Arial" w:hAnsi="Arial"/>
          <w:sz w:val="20"/>
          <w:szCs w:val="20"/>
        </w:rPr>
        <w:t xml:space="preserve">Complete Engineering and Detail Design of the GDU Package</w:t>
      </w:r>
    </w:p>
    <w:p>
      <w:pPr>
        <w:pStyle w:val="ListParagraph"/>
        <w:numPr>
          <w:ilvl w:val="0"/>
          <w:numId w:val="2"/>
        </w:numPr>
        <w:spacing w:after="60"/>
      </w:pPr>
      <w:r>
        <w:rPr>
          <w:rFonts w:ascii="Arial" w:cs="Arial" w:eastAsia="Arial" w:hAnsi="Arial"/>
          <w:sz w:val="20"/>
          <w:szCs w:val="20"/>
        </w:rPr>
        <w:t xml:space="preserve">Procurement and supply of all equipment, materials, and instruments within vendor scope</w:t>
      </w:r>
    </w:p>
    <w:p>
      <w:pPr>
        <w:pStyle w:val="ListParagraph"/>
        <w:numPr>
          <w:ilvl w:val="0"/>
          <w:numId w:val="2"/>
        </w:numPr>
        <w:spacing w:after="60"/>
      </w:pPr>
      <w:r>
        <w:rPr>
          <w:rFonts w:ascii="Arial" w:cs="Arial" w:eastAsia="Arial" w:hAnsi="Arial"/>
          <w:sz w:val="20"/>
          <w:szCs w:val="20"/>
        </w:rPr>
        <w:t xml:space="preserve">Fabrication and assembly of the complete skid package in Vendor's fabrication shop</w:t>
      </w:r>
    </w:p>
    <w:p>
      <w:pPr>
        <w:pStyle w:val="ListParagraph"/>
        <w:numPr>
          <w:ilvl w:val="0"/>
          <w:numId w:val="2"/>
        </w:numPr>
        <w:spacing w:after="60"/>
      </w:pPr>
      <w:r>
        <w:rPr>
          <w:rFonts w:ascii="Arial" w:cs="Arial" w:eastAsia="Arial" w:hAnsi="Arial"/>
          <w:sz w:val="20"/>
          <w:szCs w:val="20"/>
        </w:rPr>
        <w:t xml:space="preserve">Factory Acceptance Testing (FAT) witnessed by NES / Client</w:t>
      </w:r>
    </w:p>
    <w:p>
      <w:pPr>
        <w:pStyle w:val="ListParagraph"/>
        <w:numPr>
          <w:ilvl w:val="0"/>
          <w:numId w:val="2"/>
        </w:numPr>
        <w:spacing w:after="60"/>
      </w:pPr>
      <w:r>
        <w:rPr>
          <w:rFonts w:ascii="Arial" w:cs="Arial" w:eastAsia="Arial" w:hAnsi="Arial"/>
          <w:sz w:val="20"/>
          <w:szCs w:val="20"/>
        </w:rPr>
        <w:t xml:space="preserve">Preservation, packaging, and delivery DAP Ravenna Site</w:t>
      </w:r>
    </w:p>
    <w:p>
      <w:pPr>
        <w:pStyle w:val="ListParagraph"/>
        <w:numPr>
          <w:ilvl w:val="0"/>
          <w:numId w:val="2"/>
        </w:numPr>
        <w:spacing w:after="60"/>
      </w:pPr>
      <w:r>
        <w:rPr>
          <w:rFonts w:ascii="Arial" w:cs="Arial" w:eastAsia="Arial" w:hAnsi="Arial"/>
          <w:sz w:val="20"/>
          <w:szCs w:val="20"/>
        </w:rPr>
        <w:t xml:space="preserve">Complete Manufacturer's Data Record (MDR) package</w:t>
      </w:r>
    </w:p>
    <w:p>
      <w:pPr>
        <w:pStyle w:val="ListParagraph"/>
        <w:numPr>
          <w:ilvl w:val="0"/>
          <w:numId w:val="2"/>
        </w:numPr>
        <w:spacing w:after="60"/>
      </w:pPr>
      <w:r>
        <w:rPr>
          <w:rFonts w:ascii="Arial" w:cs="Arial" w:eastAsia="Arial" w:hAnsi="Arial"/>
          <w:sz w:val="20"/>
          <w:szCs w:val="20"/>
        </w:rPr>
        <w:t xml:space="preserve">Commissioning support on-site (minimum 5 days)</w:t>
      </w:r>
    </w:p>
    <w:p>
      <w:pPr>
        <w:pStyle w:val="ListParagraph"/>
        <w:numPr>
          <w:ilvl w:val="0"/>
          <w:numId w:val="2"/>
        </w:numPr>
        <w:spacing w:after="60"/>
      </w:pPr>
      <w:r>
        <w:rPr>
          <w:rFonts w:ascii="Arial" w:cs="Arial" w:eastAsia="Arial" w:hAnsi="Arial"/>
          <w:sz w:val="20"/>
          <w:szCs w:val="20"/>
        </w:rPr>
        <w:t xml:space="preserve">Training of Client personnel (2 days)</w:t>
      </w:r>
    </w:p>
    <w:p>
      <w:pPr>
        <w:spacing w:after="160"/>
      </w:pPr>
      <w:r>
        <w:t xml:space="preserve"/>
      </w:r>
    </w:p>
    <w:p>
      <w:pPr>
        <w:pStyle w:val="Heading2"/>
        <w:spacing w:after="120" w:before="240"/>
      </w:pPr>
      <w:r>
        <w:rPr>
          <w:rFonts w:ascii="Arial" w:cs="Arial" w:eastAsia="Arial" w:hAnsi="Arial"/>
          <w:b/>
          <w:bCs/>
          <w:color w:val="2E6DA4"/>
          <w:sz w:val="24"/>
          <w:szCs w:val="24"/>
        </w:rPr>
        <w:t xml:space="preserve">1.4 Site Location and Conditions</w:t>
      </w:r>
    </w:p>
    <w:p>
      <w:pPr>
        <w:pStyle w:val="ListParagraph"/>
        <w:numPr>
          <w:ilvl w:val="0"/>
          <w:numId w:val="2"/>
        </w:numPr>
        <w:spacing w:after="60"/>
      </w:pPr>
      <w:r>
        <w:rPr>
          <w:rFonts w:ascii="Arial" w:cs="Arial" w:eastAsia="Arial" w:hAnsi="Arial"/>
          <w:sz w:val="20"/>
          <w:szCs w:val="20"/>
        </w:rPr>
        <w:t xml:space="preserve">Site: Zona Industriale Porto di Ravenna, Ravenna (RA), Italy</w:t>
      </w:r>
    </w:p>
    <w:p>
      <w:pPr>
        <w:pStyle w:val="ListParagraph"/>
        <w:numPr>
          <w:ilvl w:val="0"/>
          <w:numId w:val="2"/>
        </w:numPr>
        <w:spacing w:after="60"/>
      </w:pPr>
      <w:r>
        <w:rPr>
          <w:rFonts w:ascii="Arial" w:cs="Arial" w:eastAsia="Arial" w:hAnsi="Arial"/>
          <w:sz w:val="20"/>
          <w:szCs w:val="20"/>
        </w:rPr>
        <w:t xml:space="preserve">Seismic Zone: Zone 3 (Low-to-medium seismicity per NTC 2018 Italian Building Code)</w:t>
      </w:r>
    </w:p>
    <w:p>
      <w:pPr>
        <w:pStyle w:val="ListParagraph"/>
        <w:numPr>
          <w:ilvl w:val="0"/>
          <w:numId w:val="2"/>
        </w:numPr>
        <w:spacing w:after="60"/>
      </w:pPr>
      <w:r>
        <w:rPr>
          <w:rFonts w:ascii="Arial" w:cs="Arial" w:eastAsia="Arial" w:hAnsi="Arial"/>
          <w:sz w:val="20"/>
          <w:szCs w:val="20"/>
        </w:rPr>
        <w:t xml:space="preserve">Wind Design: Wind speed 140 km/h (Vref) per EN 1991-1-4 (Italian Annex)</w:t>
      </w:r>
    </w:p>
    <w:p>
      <w:pPr>
        <w:pStyle w:val="ListParagraph"/>
        <w:numPr>
          <w:ilvl w:val="0"/>
          <w:numId w:val="2"/>
        </w:numPr>
        <w:spacing w:after="60"/>
      </w:pPr>
      <w:r>
        <w:rPr>
          <w:rFonts w:ascii="Arial" w:cs="Arial" w:eastAsia="Arial" w:hAnsi="Arial"/>
          <w:sz w:val="20"/>
          <w:szCs w:val="20"/>
        </w:rPr>
        <w:t xml:space="preserve">Ambient Temperature: -5°C to +40°C operating; design -10°C to +45°C</w:t>
      </w:r>
    </w:p>
    <w:p>
      <w:pPr>
        <w:pStyle w:val="ListParagraph"/>
        <w:numPr>
          <w:ilvl w:val="0"/>
          <w:numId w:val="2"/>
        </w:numPr>
        <w:spacing w:after="60"/>
      </w:pPr>
      <w:r>
        <w:rPr>
          <w:rFonts w:ascii="Arial" w:cs="Arial" w:eastAsia="Arial" w:hAnsi="Arial"/>
          <w:sz w:val="20"/>
          <w:szCs w:val="20"/>
        </w:rPr>
        <w:t xml:space="preserve">Relative Humidity: up to 95% (coastal industrial environment)</w:t>
      </w:r>
    </w:p>
    <w:p>
      <w:pPr>
        <w:pStyle w:val="ListParagraph"/>
        <w:numPr>
          <w:ilvl w:val="0"/>
          <w:numId w:val="2"/>
        </w:numPr>
        <w:spacing w:after="60"/>
      </w:pPr>
      <w:r>
        <w:rPr>
          <w:rFonts w:ascii="Arial" w:cs="Arial" w:eastAsia="Arial" w:hAnsi="Arial"/>
          <w:sz w:val="20"/>
          <w:szCs w:val="20"/>
        </w:rPr>
        <w:t xml:space="preserve">Site Classification: ATEX Zone 1 within 3m of process flanges; Zone 2 beyond</w:t>
      </w:r>
    </w:p>
    <w:p>
      <w:pPr>
        <w:pStyle w:val="ListParagraph"/>
        <w:numPr>
          <w:ilvl w:val="0"/>
          <w:numId w:val="2"/>
        </w:numPr>
        <w:spacing w:after="60"/>
      </w:pPr>
      <w:r>
        <w:rPr>
          <w:rFonts w:ascii="Arial" w:cs="Arial" w:eastAsia="Arial" w:hAnsi="Arial"/>
          <w:sz w:val="20"/>
          <w:szCs w:val="20"/>
        </w:rPr>
        <w:t xml:space="preserve">Electrical Area Classification: Ex Zone 1 IIA-IIB T3 (gas group: IIB, temp. class T3)</w:t>
      </w:r>
    </w:p>
    <w:p>
      <w:pPr>
        <w:pStyle w:val="ListParagraph"/>
        <w:numPr>
          <w:ilvl w:val="0"/>
          <w:numId w:val="2"/>
        </w:numPr>
        <w:spacing w:after="60"/>
      </w:pPr>
      <w:r>
        <w:rPr>
          <w:rFonts w:ascii="Arial" w:cs="Arial" w:eastAsia="Arial" w:hAnsi="Arial"/>
          <w:sz w:val="20"/>
          <w:szCs w:val="20"/>
        </w:rPr>
        <w:t xml:space="preserve">Site Pollution Category: C4 – High (coastal industrial, per ISO 12944)</w:t>
      </w:r>
    </w:p>
    <w:p>
      <w:pPr>
        <w:pStyle w:val="ListParagraph"/>
        <w:numPr>
          <w:ilvl w:val="0"/>
          <w:numId w:val="2"/>
        </w:numPr>
        <w:spacing w:after="60"/>
      </w:pPr>
      <w:r>
        <w:rPr>
          <w:rFonts w:ascii="Arial" w:cs="Arial" w:eastAsia="Arial" w:hAnsi="Arial"/>
          <w:sz w:val="20"/>
          <w:szCs w:val="20"/>
        </w:rPr>
        <w:t xml:space="preserve">Snow Load: 0.5 kN/m² (per EN 1991-1-3)</w:t>
      </w:r>
    </w:p>
    <w:p>
      <w:pPr>
        <w:pStyle w:val="ListParagraph"/>
        <w:numPr>
          <w:ilvl w:val="0"/>
          <w:numId w:val="2"/>
        </w:numPr>
        <w:spacing w:after="60"/>
      </w:pPr>
      <w:r>
        <w:rPr>
          <w:rFonts w:ascii="Arial" w:cs="Arial" w:eastAsia="Arial" w:hAnsi="Arial"/>
          <w:sz w:val="20"/>
          <w:szCs w:val="20"/>
        </w:rPr>
        <w:t xml:space="preserve">Corrosivity: CAT C4 to C5-M per ISO 12944 – offshore-equivalent painting specification required</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2. PROCESS DESIGN BASIS AND OPERATING CONDITIONS</w:t>
      </w:r>
    </w:p>
    <w:p>
      <w:pPr>
        <w:pStyle w:val="Heading2"/>
        <w:spacing w:after="120" w:before="240"/>
      </w:pPr>
      <w:r>
        <w:rPr>
          <w:rFonts w:ascii="Arial" w:cs="Arial" w:eastAsia="Arial" w:hAnsi="Arial"/>
          <w:b/>
          <w:bCs/>
          <w:color w:val="2E6DA4"/>
          <w:sz w:val="24"/>
          <w:szCs w:val="24"/>
        </w:rPr>
        <w:t xml:space="preserve">2.1 Gas Composition and Operating Data</w:t>
      </w:r>
    </w:p>
    <w:p>
      <w:pPr>
        <w:spacing w:after="120"/>
      </w:pPr>
      <w:r>
        <w:rPr>
          <w:rFonts w:ascii="Arial" w:cs="Arial" w:eastAsia="Arial" w:hAnsi="Arial"/>
          <w:sz w:val="20"/>
          <w:szCs w:val="20"/>
        </w:rPr>
        <w:t xml:space="preserve">The following process design data shall be used as the basis for sizing the GDU Package. Vendor shall design all equipment to operate reliably and achieve the guaranteed outlet specification across the full range of inlet conditions stated below.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60"/>
        <w:gridCol w:w="1500"/>
      </w:tblGrid>
      <w:tr>
        <w:tc>
          <w:tcPr>
            <w:tcW w:type="dxa" w:w="3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Inlet (Wet Gas)</w:t>
            </w:r>
          </w:p>
        </w:tc>
        <w:tc>
          <w:tcPr>
            <w:tcW w:type="dxa" w:w="18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Outlet (Dry Gas)</w:t>
            </w:r>
          </w:p>
        </w:tc>
        <w:tc>
          <w:tcPr>
            <w:tcW w:type="dxa" w:w="1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Flow Rate (Normal)</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49.8 (min.)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MMSCFD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Flow Rate (Min)</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MMSCFD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Flow Rate (Max)</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60.0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MMSCFD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Operating Pressure</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72.0 (min 65, max 80)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70.5</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barg</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Pressure</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barg</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Operating Temperature (Inlet)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 – 55</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Temperature</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 / +90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 / +90</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Content – Inlet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800 – 1,200 (saturated)</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mg/Nm³</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 Outlet (at line pressure)</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-40 (design: -50)</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Content – Outlet (guaranteed)</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 lb/MMSCF (≤16 mg/Nm³)</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lb/MMSCF</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H₂S Content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2</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Content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CH₄ Content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88.2</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C₂H₆ Content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5.1</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C₃H₈+ Content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N₂ Content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Molecular Weight</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18.4</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g/mol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Specific Gravity</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0.635</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Compressibility Z-factor</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0.862 (at op. cond.)</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Inlet Slug / Liquid Carry-over</w:t>
            </w:r>
          </w:p>
        </w:tc>
        <w:tc>
          <w:tcPr>
            <w:tcW w:type="dxa" w:w="2500"/>
            <w:gridSpan w:val="3"/>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Possible – coalescing filter upstream to be included in scope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Site Ambient Temperature Range</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 to +40</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Site Elevation</w:t>
            </w:r>
          </w:p>
        </w:tc>
        <w:tc>
          <w:tcPr>
            <w:tcW w:type="dxa" w:w="2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m a.s.l.</w:t>
            </w:r>
          </w:p>
        </w:tc>
        <w:tc>
          <w:tcPr>
            <w:tcW w:type="dxa" w:w="1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2.2 Process Design Notes</w:t>
      </w:r>
    </w:p>
    <w:p>
      <w:pPr>
        <w:pStyle w:val="ListParagraph"/>
        <w:numPr>
          <w:ilvl w:val="0"/>
          <w:numId w:val="2"/>
        </w:numPr>
        <w:spacing w:after="60"/>
      </w:pPr>
      <w:r>
        <w:rPr>
          <w:rFonts w:ascii="Arial" w:cs="Arial" w:eastAsia="Arial" w:hAnsi="Arial"/>
          <w:sz w:val="20"/>
          <w:szCs w:val="20"/>
        </w:rPr>
        <w:t xml:space="preserve">All flow rates are stated at Normal Conditions: 0°C (273.15 K), 1.01325 bara (ISO standard).</w:t>
      </w:r>
    </w:p>
    <w:p>
      <w:pPr>
        <w:pStyle w:val="ListParagraph"/>
        <w:numPr>
          <w:ilvl w:val="0"/>
          <w:numId w:val="2"/>
        </w:numPr>
        <w:spacing w:after="60"/>
      </w:pPr>
      <w:r>
        <w:rPr>
          <w:rFonts w:ascii="Arial" w:cs="Arial" w:eastAsia="Arial" w:hAnsi="Arial"/>
          <w:sz w:val="20"/>
          <w:szCs w:val="20"/>
        </w:rPr>
        <w:t xml:space="preserve">The GDU inlet gas arrives saturated with water. Vendor shall confirm assumed inlet water content based on the provided gas composition and operating conditions using a recognized equation of state (e.g., SRK, PR, or industry-standard correlation such as McKetta-Wehe).</w:t>
      </w:r>
    </w:p>
    <w:p>
      <w:pPr>
        <w:pStyle w:val="ListParagraph"/>
        <w:numPr>
          <w:ilvl w:val="0"/>
          <w:numId w:val="2"/>
        </w:numPr>
        <w:spacing w:after="60"/>
      </w:pPr>
      <w:r>
        <w:rPr>
          <w:rFonts w:ascii="Arial" w:cs="Arial" w:eastAsia="Arial" w:hAnsi="Arial"/>
          <w:sz w:val="20"/>
          <w:szCs w:val="20"/>
        </w:rPr>
        <w:t xml:space="preserve">The inlet gas may contain trace amounts of glycols (MEG carry-over from upstream slug catcher) – typically &lt;10 ppm. Vendor shall confirm impact on molecular sieve performance and life, and propose any guard bed or pre-treatment if required.</w:t>
      </w:r>
    </w:p>
    <w:p>
      <w:pPr>
        <w:pStyle w:val="ListParagraph"/>
        <w:numPr>
          <w:ilvl w:val="0"/>
          <w:numId w:val="2"/>
        </w:numPr>
        <w:spacing w:after="60"/>
      </w:pPr>
      <w:r>
        <w:rPr>
          <w:rFonts w:ascii="Arial" w:cs="Arial" w:eastAsia="Arial" w:hAnsi="Arial"/>
          <w:sz w:val="20"/>
          <w:szCs w:val="20"/>
        </w:rPr>
        <w:t xml:space="preserve">The regeneration gas outlet (wet gas from regeneration cooler / KO drum) shall be directed back to the facility flare header or compressor suction inlet as agreed with NES during FEED. Vendor to confirm pressure requirements for regeneration gas return.</w:t>
      </w:r>
    </w:p>
    <w:p>
      <w:pPr>
        <w:pStyle w:val="ListParagraph"/>
        <w:numPr>
          <w:ilvl w:val="0"/>
          <w:numId w:val="2"/>
        </w:numPr>
        <w:spacing w:after="60"/>
      </w:pPr>
      <w:r>
        <w:rPr>
          <w:rFonts w:ascii="Arial" w:cs="Arial" w:eastAsia="Arial" w:hAnsi="Arial"/>
          <w:sz w:val="20"/>
          <w:szCs w:val="20"/>
        </w:rPr>
        <w:t xml:space="preserve">Vendor shall propose regeneration cycle timing (adsorption / regeneration / cooling durations) and confirm achievability of the outlet water dewpoint specification on a continuous basis (i.e., at the point of vessel switchover, no exceedance of outlet specification for more than 30 minutes is acceptable).</w:t>
      </w:r>
    </w:p>
    <w:p>
      <w:pPr>
        <w:pStyle w:val="ListParagraph"/>
        <w:numPr>
          <w:ilvl w:val="0"/>
          <w:numId w:val="2"/>
        </w:numPr>
        <w:spacing w:after="60"/>
      </w:pPr>
      <w:r>
        <w:rPr>
          <w:rFonts w:ascii="Arial" w:cs="Arial" w:eastAsia="Arial" w:hAnsi="Arial"/>
          <w:sz w:val="20"/>
          <w:szCs w:val="20"/>
        </w:rPr>
        <w:t xml:space="preserve">Vendor shall state minimum turndown ratio achievable while maintaining the outlet water specification. NES requires a minimum turndown of 40% of design flow.</w:t>
      </w:r>
    </w:p>
    <w:p>
      <w:pPr>
        <w:pStyle w:val="ListParagraph"/>
        <w:numPr>
          <w:ilvl w:val="0"/>
          <w:numId w:val="2"/>
        </w:numPr>
        <w:spacing w:after="60"/>
      </w:pPr>
      <w:r>
        <w:rPr>
          <w:rFonts w:ascii="Arial" w:cs="Arial" w:eastAsia="Arial" w:hAnsi="Arial"/>
          <w:sz w:val="20"/>
          <w:szCs w:val="20"/>
        </w:rPr>
        <w:t xml:space="preserve">All pressure drops across the GDU (inlet to outlet, including all internals, valves, piping) at maximum flow shall be stated. Maximum allowable skid pressure drop: 1.5 barg.</w:t>
      </w:r>
    </w:p>
    <w:p>
      <w:pPr>
        <w:pStyle w:val="ListParagraph"/>
        <w:numPr>
          <w:ilvl w:val="0"/>
          <w:numId w:val="2"/>
        </w:numPr>
        <w:spacing w:after="60"/>
      </w:pPr>
      <w:r>
        <w:rPr>
          <w:rFonts w:ascii="Arial" w:cs="Arial" w:eastAsia="Arial" w:hAnsi="Arial"/>
          <w:sz w:val="20"/>
          <w:szCs w:val="20"/>
        </w:rPr>
        <w:t xml:space="preserve">Vendor shall provide complete heat and material balance (HMB) at: design flow 50 MMSCFD, minimum flow 25 MMSCFD, and maximum flow 60 MMSCFD.</w:t>
      </w:r>
    </w:p>
    <w:p>
      <w:pPr>
        <w:spacing w:after="160"/>
      </w:pPr>
      <w:r>
        <w:t xml:space="preserve"/>
      </w:r>
    </w:p>
    <w:p>
      <w:pPr>
        <w:pStyle w:val="Heading2"/>
        <w:spacing w:after="120" w:before="240"/>
      </w:pPr>
      <w:r>
        <w:rPr>
          <w:rFonts w:ascii="Arial" w:cs="Arial" w:eastAsia="Arial" w:hAnsi="Arial"/>
          <w:b/>
          <w:bCs/>
          <w:color w:val="2E6DA4"/>
          <w:sz w:val="24"/>
          <w:szCs w:val="24"/>
        </w:rPr>
        <w:t xml:space="preserve">2.3 Outlet Gas Quality Specification</w:t>
      </w:r>
    </w:p>
    <w:p>
      <w:pPr>
        <w:spacing w:after="120"/>
      </w:pPr>
      <w:r>
        <w:rPr>
          <w:rFonts w:ascii="Arial" w:cs="Arial" w:eastAsia="Arial" w:hAnsi="Arial"/>
          <w:sz w:val="20"/>
          <w:szCs w:val="20"/>
        </w:rPr>
        <w:t xml:space="preserve">The table below defines the complete required quality of the dry gas delivered by the GDU Package at the outlet battery limit flange. This specification covers ALL parameters relevant to downstream equipment and pipeline injection — not just the drying duty. Vendor shall explicitly confirm compliance or non-compliance with every parameter. Parameters highlighted GREEN are the direct responsibility of the GDU design. Parameters highlighted YELLOW are pass-through (the GDU does not change them) but Vendor must confirm whether the GDU introduces any adverse effect.</w:t>
      </w:r>
    </w:p>
    <w:p>
      <w:pPr>
        <w:spacing w:after="120"/>
      </w:pPr>
      <w:r>
        <w:rPr>
          <w:rFonts w:ascii="Arial" w:cs="Arial" w:eastAsia="Arial" w:hAnsi="Arial"/>
          <w:sz w:val="20"/>
          <w:szCs w:val="20"/>
        </w:rPr>
        <w:t xml:space="preserve">NOTE ON TREATMENT SEQUENCE: The GDU Package is positioned AFTER the inlet slug catcher and BEFORE the NGL cryogenic extraction unit. No upstream sweetening (amine) unit is present in Phase II scope. H₂S and CO₂ are managed within acceptable limits for the NGL plant and are not required to meet grid injection quality. If pipeline (grid) injection is required in future phases, an upstream CO₂ removal and/or sweetening unit would be needed — this is OUTSIDE the scope of this RFQ.</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200"/>
        <w:gridCol w:w="1460"/>
        <w:gridCol w:w="1200"/>
      </w:tblGrid>
      <w:tr>
        <w:tc>
          <w:tcPr>
            <w:tcW w:type="dxa" w:w="26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1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18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Guaranteed Max / Spec</w:t>
            </w:r>
          </w:p>
        </w:tc>
        <w:tc>
          <w:tcPr>
            <w:tcW w:type="dxa" w:w="12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Target</w:t>
            </w:r>
          </w:p>
        </w:tc>
        <w:tc>
          <w:tcPr>
            <w:tcW w:type="dxa" w:w="14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 / Reference</w:t>
            </w:r>
          </w:p>
        </w:tc>
        <w:tc>
          <w:tcPr>
            <w:tcW w:type="dxa" w:w="12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GDU Action</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60"/>
              <w:left w:type="dxa" w:w="120"/>
              <w:bottom w:type="dxa" w:w="60"/>
              <w:right w:type="dxa" w:w="120"/>
            </w:tcMar>
          </w:tcPr>
          <w:p>
            <w:r>
              <w:rPr>
                <w:rFonts w:ascii="Arial" w:cs="Arial" w:eastAsia="Arial" w:hAnsi="Arial"/>
                <w:b/>
                <w:bCs/>
                <w:color w:val="FFFFFF"/>
                <w:sz w:val="18"/>
                <w:szCs w:val="18"/>
              </w:rPr>
              <w:t xml:space="preserve">WATER / DRYNESS</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Content</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lb/MMSCF</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1.0 lb/MMSCF (≤ 16 mg/Nm³)</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0.5 lb/MMSCF</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GPSA Engineering Data Book</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REMOVED by GDU</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(at line pressure, 70 barg)</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-40°C (design: -50°C)</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-50°C</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23874 / GPA 2140</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REMOVED by GDU</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(at -5°C ambient, lowest pipeline T)</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-8°C (no free water at min. ambient)</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-15°C</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§6.2.2 (EU grid requirement)</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REMOVED by GDU</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60"/>
              <w:left w:type="dxa" w:w="120"/>
              <w:bottom w:type="dxa" w:w="60"/>
              <w:right w:type="dxa" w:w="120"/>
            </w:tcMar>
          </w:tcPr>
          <w:p>
            <w:r>
              <w:rPr>
                <w:rFonts w:ascii="Arial" w:cs="Arial" w:eastAsia="Arial" w:hAnsi="Arial"/>
                <w:b/>
                <w:bCs/>
                <w:color w:val="FFFFFF"/>
                <w:sz w:val="18"/>
                <w:szCs w:val="18"/>
              </w:rPr>
              <w:t xml:space="preserve">SULFUR COMPOUNDS</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Hydrogen Sulfide (H₂S)</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2 ppm vol (same as inlet – GDU does not remove H₂S)</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2 ppm vol</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§6.3.4 (max 5 ppm vol)</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NOT removed – upstream sweetening required if tighter spec needed</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Sulfur (H₂S + COS + mercaptans + thioethers)</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mg/Nm³</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30 mg/Nm³ (EN 16726 grid limit)</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15 mg/Nm³</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§6.3.5</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confirm – mol. sieve 3A does NOT remove sulfur compounds</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Mercaptans (RSH)</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mg/Nm³</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6 mg/Nm³ (EN 16726)</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3 mg/Nm³</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§6.3.5</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NOT removed – confirm inlet level acceptable</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60"/>
              <w:left w:type="dxa" w:w="120"/>
              <w:bottom w:type="dxa" w:w="60"/>
              <w:right w:type="dxa" w:w="120"/>
            </w:tcMar>
          </w:tcPr>
          <w:p>
            <w:r>
              <w:rPr>
                <w:rFonts w:ascii="Arial" w:cs="Arial" w:eastAsia="Arial" w:hAnsi="Arial"/>
                <w:b/>
                <w:bCs/>
                <w:color w:val="FFFFFF"/>
                <w:sz w:val="18"/>
                <w:szCs w:val="18"/>
              </w:rPr>
              <w:t xml:space="preserve">ACID GASES AND INERTS</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Carbon Dioxide (CO₂)</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mol%</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3.5 mol% (same as inlet – GDU does not target CO₂ removal)</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3.5 mol%</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§6.3.3 (max 2.5 mol% for grid)</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NOT removed by 3A sieve. NOTE: if grid injection required, upstream CO₂ removal needed.</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co-adsorption loss on molecular sieve (max)</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mol% of inlet CO₂</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 of inlet CO₂ (i.e., &lt; 0.035 mol% absolute loss)</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0.5% of inlet CO₂</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design responsibility (3A vs 4A selectivity)</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must confirm CO₂ co-adsorption rate in offer</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Nitrogen (N₂)</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mol%</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1.2 mol% (same as inlet – GDU does not remove N₂)</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1.2 mol%</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§6.3.2 (max 5 mol%)</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Pass-through – no action by GDU</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Oxygen (O₂)</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10 ppm vol</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ppm vol</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§6.3.1; downstream NGL plant spec</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confirm no O₂ ingress during regen cycle (confirm GDU does not introduce O₂)</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60"/>
              <w:left w:type="dxa" w:w="120"/>
              <w:bottom w:type="dxa" w:w="60"/>
              <w:right w:type="dxa" w:w="120"/>
            </w:tcMar>
          </w:tcPr>
          <w:p>
            <w:r>
              <w:rPr>
                <w:rFonts w:ascii="Arial" w:cs="Arial" w:eastAsia="Arial" w:hAnsi="Arial"/>
                <w:b/>
                <w:bCs/>
                <w:color w:val="FFFFFF"/>
                <w:sz w:val="18"/>
                <w:szCs w:val="18"/>
              </w:rPr>
              <w:t xml:space="preserve">HYDROCARBON QUALITY</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Hydrocarbon Dewpoint (HCDP) at 70 barg</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-5°C (no HC condensation in pipeline at min. ambient)</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-10°C</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§6.2.3; downstream NGL unit spec</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GDU does NOT change HCDP – vendor to confirm inlet HCDP already meets spec. If not, NGL inlet scrubber required (EPC scope).</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Heavy HC adsorption loss on mol. sieve (C₃+ co-adsorption)</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of inlet C₃+</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2% of inlet C₃+ content lost to sieve adsorption per cycle</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design responsibility</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MUST quantify C₃+ co-adsorption in design calculations and confirm desorption completeness during regeneration cycle</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Wobbe Index (superior)</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MJ/Nm³</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48.0 – 56.9 MJ/Nm³</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50–55 MJ/Nm³</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§6.4.1 (for grid injection)</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GDU does not change Wobbe Index – EPC to confirm with gas composition</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Gross Calorific Value (GCV, superior)</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MJ/Nm³</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30.0 – 45.0 MJ/Nm³</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35–42 MJ/Nm³</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16726 §6.4.2</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Informational – GDU does not change GCV</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60"/>
              <w:left w:type="dxa" w:w="120"/>
              <w:bottom w:type="dxa" w:w="60"/>
              <w:right w:type="dxa" w:w="120"/>
            </w:tcMar>
          </w:tcPr>
          <w:p>
            <w:r>
              <w:rPr>
                <w:rFonts w:ascii="Arial" w:cs="Arial" w:eastAsia="Arial" w:hAnsi="Arial"/>
                <w:b/>
                <w:bCs/>
                <w:color w:val="FFFFFF"/>
                <w:sz w:val="18"/>
                <w:szCs w:val="18"/>
              </w:rPr>
              <w:t xml:space="preserve">LIQUID / CHEMICAL CONTAMINANTS</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Monoethylene Glycol (MEG) carry-over (inlet)</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8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10 ppm (inlet – from upstream slug catcher)</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ppm</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NGL plant inlet spec</w:t>
            </w:r>
          </w:p>
        </w:tc>
        <w:tc>
          <w:tcPr>
            <w:tcW w:type="dxa" w:w="1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Inlet coalescer MUST capture MEG droplets. Vendor to confirm coalescer efficiency for MEG at operating conditions. MEG partially adsorbed by mol. sieve – quantify impact on sieve life.</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Methanol carry-over (outlet – if methanol used upstream)</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1 ppm vol (NGL plant catalyst protection)</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0.5 ppm</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NGL plant licensor spec (typical)</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Methanol is adsorbed by mol. sieve 3A and released during regeneration. Vendor to confirm outlet methanol level during normal operation.</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 sieve dust / fines carry-over (outlet)</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mg/Nm³</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0.1 mg/Nm³ (bed fines must not enter downstream NGL equipment)</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Zero visible fines</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NGL plant / compressor protection</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Vendor to provide outlet gas filter / fines catcher downstream of adsorbers. Specify filter type, micron rating, ΔP, replacement interval.</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Compressor lube oil carry-over (from regen gas compressor, if any)</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ppm vol</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&lt; 0.1 ppm (oil-mist carry-over from any compressor in regen loop)</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Zero visible oil</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 sieve protection – oil poisons sieve</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include oil coalescer on regeneration gas compressor discharge (if regen gas compression used). This is a critical sieve protection item.</w:t>
            </w:r>
          </w:p>
        </w:tc>
      </w:tr>
      <w:tr>
        <w:tc>
          <w:tcPr>
            <w:tcW w:type="dxa" w:w="9360"/>
            <w:gridSpan w:val="6"/>
            <w:tcBorders>
              <w:top w:val="single" w:color="C0CDD8" w:sz="1"/>
              <w:left w:val="single" w:color="C0CDD8" w:sz="1"/>
              <w:bottom w:val="single" w:color="C0CDD8" w:sz="1"/>
              <w:right w:val="single" w:color="C0CDD8" w:sz="1"/>
            </w:tcBorders>
            <w:shd w:fill="1B3A5C" w:val="clear"/>
            <w:tcMar>
              <w:top w:type="dxa" w:w="60"/>
              <w:left w:type="dxa" w:w="120"/>
              <w:bottom w:type="dxa" w:w="60"/>
              <w:right w:type="dxa" w:w="120"/>
            </w:tcMar>
          </w:tcPr>
          <w:p>
            <w:r>
              <w:rPr>
                <w:rFonts w:ascii="Arial" w:cs="Arial" w:eastAsia="Arial" w:hAnsi="Arial"/>
                <w:b/>
                <w:bCs/>
                <w:color w:val="FFFFFF"/>
                <w:sz w:val="18"/>
                <w:szCs w:val="18"/>
              </w:rPr>
              <w:t xml:space="preserve">PHYSICAL DELIVERY CONDITIONS AT OUTLET BL</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Pressure at outlet BL flange</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barg</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70.5 barg (min at max flow – accounts for 1.5 barg ΔP)</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71.5 barg</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NGL unit min. inlet pressure</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confirms ΔP is within 1.5 barg budget</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Temperature at outlet BL flange</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°C</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55°C (must not exceed downstream NGL unit inlet T limit)</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30–50°C</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NGL plant spec</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confirm no process heating in main gas path (only regen gas is heated). Dry gas outlet T ≈ inlet T.</w:t>
            </w:r>
          </w:p>
        </w:tc>
      </w:tr>
      <w:tr>
        <w:tc>
          <w:tcPr>
            <w:tcW w:type="dxa" w:w="2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phase fraction at outlet (no liquids permitted)</w:t>
            </w:r>
          </w:p>
        </w:tc>
        <w:tc>
          <w:tcPr>
            <w:tcW w:type="dxa" w:w="11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8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100% gas phase – no liquid carryover permitted under any operating condition</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gas</w:t>
            </w:r>
          </w:p>
        </w:tc>
        <w:tc>
          <w:tcPr>
            <w:tcW w:type="dxa" w:w="1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Downstream compressor / NGL plant protection</w:t>
            </w:r>
          </w:p>
        </w:tc>
        <w:tc>
          <w:tcPr>
            <w:tcW w:type="dxa" w:w="120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Inlet coalescer is the primary protection. Outlet fines filter with liquid seal provides secondary protection.</w:t>
            </w:r>
          </w:p>
        </w:tc>
      </w:tr>
      <w:tr>
        <w:tc>
          <w:tcPr>
            <w:tcW w:type="dxa" w:w="9360"/>
            <w:gridSpan w:val="6"/>
            <w:tcBorders>
              <w:top w:val="single" w:color="C0CDD8" w:sz="1"/>
              <w:left w:val="single" w:color="C0CDD8" w:sz="1"/>
              <w:bottom w:val="single" w:color="C0CDD8" w:sz="1"/>
              <w:right w:val="single" w:color="C0CDD8" w:sz="1"/>
            </w:tcBorders>
            <w:shd w:fill="F5F5F5" w:val="clear"/>
            <w:tcMar>
              <w:top w:type="dxa" w:w="60"/>
              <w:left w:type="dxa" w:w="120"/>
              <w:bottom w:type="dxa" w:w="60"/>
              <w:right w:type="dxa" w:w="120"/>
            </w:tcMar>
          </w:tcPr>
          <w:p>
            <w:r>
              <w:rPr>
                <w:rFonts w:ascii="Arial" w:cs="Arial" w:eastAsia="Arial" w:hAnsi="Arial"/>
                <w:b/>
                <w:bCs/>
                <w:sz w:val="17"/>
                <w:szCs w:val="17"/>
              </w:rPr>
              <w:t xml:space="preserve">COLOR KEY:  </w:t>
            </w:r>
            <w:r>
              <w:rPr>
                <w:rFonts w:ascii="Arial" w:cs="Arial" w:eastAsia="Arial" w:hAnsi="Arial"/>
                <w:b w:val="false"/>
                <w:bCs w:val="false"/>
                <w:sz w:val="17"/>
                <w:szCs w:val="17"/>
              </w:rPr>
              <w:t xml:space="preserve">GREEN = GDU actively controls / guarantees this parameter     </w:t>
            </w:r>
            <w:r>
              <w:rPr>
                <w:rFonts w:ascii="Arial" w:cs="Arial" w:eastAsia="Arial" w:hAnsi="Arial"/>
                <w:i/>
                <w:iCs/>
                <w:sz w:val="17"/>
                <w:szCs w:val="17"/>
              </w:rPr>
              <w:t xml:space="preserve">YELLOW = Pass-through or informational – GDU does NOT change this parameter. Vendor must confirm.</w:t>
            </w:r>
          </w:p>
        </w:tc>
      </w:tr>
    </w:tbl>
    <w:p>
      <w:pPr>
        <w:spacing w:after="160"/>
      </w:pPr>
      <w:r>
        <w:t xml:space="preserve"/>
      </w:r>
    </w:p>
    <w:p>
      <w:pPr>
        <w:spacing w:after="120"/>
      </w:pPr>
      <w:r>
        <w:rPr>
          <w:rFonts w:ascii="Arial" w:cs="Arial" w:eastAsia="Arial" w:hAnsi="Arial"/>
          <w:sz w:val="20"/>
          <w:szCs w:val="20"/>
        </w:rPr>
        <w:t xml:space="preserve">Vendor Obligation: The offer shall include a dedicated 'Outlet Gas Quality Confirmation' table (using the format above) stating the guaranteed value for each parameter, the measurement basis, and any deviations from the specifications above. Failure to include this table will result in the bid being classified as technically incomplete.</w:t>
      </w:r>
    </w:p>
    <w:p>
      <w:pPr>
        <w:spacing w:after="160"/>
      </w:pPr>
      <w:r>
        <w:t xml:space="preserve"/>
      </w:r>
    </w:p>
    <w:p>
      <w:pPr>
        <w:pStyle w:val="Heading2"/>
        <w:spacing w:after="120" w:before="240"/>
      </w:pPr>
      <w:r>
        <w:rPr>
          <w:rFonts w:ascii="Arial" w:cs="Arial" w:eastAsia="Arial" w:hAnsi="Arial"/>
          <w:b/>
          <w:bCs/>
          <w:color w:val="2E6DA4"/>
          <w:sz w:val="24"/>
          <w:szCs w:val="24"/>
        </w:rPr>
        <w:t xml:space="preserve">2.4 Utility Requirements</w:t>
      </w:r>
    </w:p>
    <w:p>
      <w:pPr>
        <w:spacing w:after="120"/>
      </w:pPr>
      <w:r>
        <w:rPr>
          <w:rFonts w:ascii="Arial" w:cs="Arial" w:eastAsia="Arial" w:hAnsi="Arial"/>
          <w:sz w:val="20"/>
          <w:szCs w:val="20"/>
        </w:rPr>
        <w:t xml:space="preserve">The following utilities are available at the skid battery limit. Vendor shall confirm consumption of each utility and flag any utility not available that the design requires.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c>
          <w:tcPr>
            <w:tcW w:type="dxa" w:w="3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Utility</w:t>
            </w:r>
          </w:p>
        </w:tc>
        <w:tc>
          <w:tcPr>
            <w:tcW w:type="dxa" w:w="40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c>
          <w:tcPr>
            <w:tcW w:type="dxa" w:w="18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Fuel Gas (for regen heater)</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60–75 barg, LHV ≈ 48 MJ/kg, CH₄ &gt;90%</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Available at battery limit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Instrument Air</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 barg, dew pt -40°C, oil-free</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confirm min. flow</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Plant Air</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 barg, non-dried</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For maintenance use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Electrical Power (MV)</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 kV / 50 Hz / 3-phase</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If any large motors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Electrical Power (LV)</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400 V / 50 Hz / 3-phase; 230 V / 50 Hz UPS</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Main distribution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Cooling Water (if needed)</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Supply 32°C / Return max 45°C, P=4 barg</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Air coolers preferred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Nitrogen (for purging)</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 barg, purity &gt;99.9%, dewpt -60°C</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Available at BL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Regeneration Gas (lean)</w:t>
            </w:r>
          </w:p>
        </w:tc>
        <w:tc>
          <w:tcPr>
            <w:tcW w:type="dxa" w:w="40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Dry gas slip-stream from outlet, vendor to specify flow &amp; pressure</w:t>
            </w:r>
          </w:p>
        </w:tc>
        <w:tc>
          <w:tcPr>
            <w:tcW w:type="dxa" w:w="18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 be routed back to inlet/flare</w:t>
            </w:r>
          </w:p>
        </w:tc>
      </w:tr>
    </w:tbl>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3. TECHNICAL REQUIREMENTS</w:t>
      </w:r>
    </w:p>
    <w:p>
      <w:pPr>
        <w:pStyle w:val="Heading2"/>
        <w:spacing w:after="120" w:before="240"/>
      </w:pPr>
      <w:r>
        <w:rPr>
          <w:rFonts w:ascii="Arial" w:cs="Arial" w:eastAsia="Arial" w:hAnsi="Arial"/>
          <w:b/>
          <w:bCs/>
          <w:color w:val="2E6DA4"/>
          <w:sz w:val="24"/>
          <w:szCs w:val="24"/>
        </w:rPr>
        <w:t xml:space="preserve">3.1 Technology Selection</w:t>
      </w:r>
    </w:p>
    <w:p>
      <w:pPr>
        <w:spacing w:after="120"/>
      </w:pPr>
      <w:r>
        <w:rPr>
          <w:rFonts w:ascii="Arial" w:cs="Arial" w:eastAsia="Arial" w:hAnsi="Arial"/>
          <w:sz w:val="20"/>
          <w:szCs w:val="20"/>
        </w:rPr>
        <w:t xml:space="preserve">Molecular Sieve (3A zeolite, preferably Zeochem or BASF/Axens equivalent) adsorption technology is specified for this application, as the required outlet water dewpoint of -40°C (design -50°C) and the upstream cryogenic NGL extraction unit requirements mandate ultra-deep dehydration to water content ≤ 1 lb/MMSCF (≤ 16 mg/Nm³). TEG absorption technology will NOT be considered for this application.</w:t>
      </w:r>
    </w:p>
    <w:p>
      <w:pPr>
        <w:spacing w:after="120"/>
      </w:pPr>
      <w:r>
        <w:rPr>
          <w:rFonts w:ascii="Arial" w:cs="Arial" w:eastAsia="Arial" w:hAnsi="Arial"/>
          <w:sz w:val="20"/>
          <w:szCs w:val="20"/>
        </w:rPr>
        <w:t xml:space="preserve">Vendor shall propose either a 2-vessel (adsorbing + regenerating) or 3-vessel (adsorbing + regenerating + cooling) arrangement and justify the selection based on cycle efficiency, outlet water content guarantee, molecular sieve longevity, and CAPEX/OPEX optimization. A 3-vessel arrangement is preferred by NES for continuous outlet quality assurance.</w:t>
      </w:r>
    </w:p>
    <w:p>
      <w:pPr>
        <w:spacing w:after="160"/>
      </w:pPr>
      <w:r>
        <w:t xml:space="preserve"/>
      </w:r>
    </w:p>
    <w:p>
      <w:pPr>
        <w:pStyle w:val="Heading2"/>
        <w:spacing w:after="120" w:before="240"/>
      </w:pPr>
      <w:r>
        <w:rPr>
          <w:rFonts w:ascii="Arial" w:cs="Arial" w:eastAsia="Arial" w:hAnsi="Arial"/>
          <w:b/>
          <w:bCs/>
          <w:color w:val="2E6DA4"/>
          <w:sz w:val="24"/>
          <w:szCs w:val="24"/>
        </w:rPr>
        <w:t xml:space="preserve">3.2 Adsorber Vessels</w:t>
      </w:r>
    </w:p>
    <w:p>
      <w:pPr>
        <w:pStyle w:val="ListParagraph"/>
        <w:numPr>
          <w:ilvl w:val="0"/>
          <w:numId w:val="2"/>
        </w:numPr>
        <w:spacing w:after="60"/>
      </w:pPr>
      <w:r>
        <w:rPr>
          <w:rFonts w:ascii="Arial" w:cs="Arial" w:eastAsia="Arial" w:hAnsi="Arial"/>
          <w:sz w:val="20"/>
          <w:szCs w:val="20"/>
        </w:rPr>
        <w:t xml:space="preserve">Design Code: ASME Section VIII Division 1 (or PED 2014/68/EU with ASME equivalent, upon NES written acceptance)</w:t>
      </w:r>
    </w:p>
    <w:p>
      <w:pPr>
        <w:pStyle w:val="ListParagraph"/>
        <w:numPr>
          <w:ilvl w:val="0"/>
          <w:numId w:val="2"/>
        </w:numPr>
        <w:spacing w:after="60"/>
      </w:pPr>
      <w:r>
        <w:rPr>
          <w:rFonts w:ascii="Arial" w:cs="Arial" w:eastAsia="Arial" w:hAnsi="Arial"/>
          <w:sz w:val="20"/>
          <w:szCs w:val="20"/>
        </w:rPr>
        <w:t xml:space="preserve">Material: SA-516 Grade 70 (ASTM) as a minimum for vessel shell and heads; all wetted internal parts to be 316L stainless steel (screens, supports, distributor pipes)</w:t>
      </w:r>
    </w:p>
    <w:p>
      <w:pPr>
        <w:pStyle w:val="ListParagraph"/>
        <w:numPr>
          <w:ilvl w:val="0"/>
          <w:numId w:val="2"/>
        </w:numPr>
        <w:spacing w:after="60"/>
      </w:pPr>
      <w:r>
        <w:rPr>
          <w:rFonts w:ascii="Arial" w:cs="Arial" w:eastAsia="Arial" w:hAnsi="Arial"/>
          <w:sz w:val="20"/>
          <w:szCs w:val="20"/>
        </w:rPr>
        <w:t xml:space="preserve">Design Pressure: 100 barg (vessels shall be hydrostatically tested at 1.5x Design Pressure = 150 barg)</w:t>
      </w:r>
    </w:p>
    <w:p>
      <w:pPr>
        <w:pStyle w:val="ListParagraph"/>
        <w:numPr>
          <w:ilvl w:val="0"/>
          <w:numId w:val="2"/>
        </w:numPr>
        <w:spacing w:after="60"/>
      </w:pPr>
      <w:r>
        <w:rPr>
          <w:rFonts w:ascii="Arial" w:cs="Arial" w:eastAsia="Arial" w:hAnsi="Arial"/>
          <w:sz w:val="20"/>
          <w:szCs w:val="20"/>
        </w:rPr>
        <w:t xml:space="preserve">Design Temperature: -20°C to +90°C (full range)</w:t>
      </w:r>
    </w:p>
    <w:p>
      <w:pPr>
        <w:pStyle w:val="ListParagraph"/>
        <w:numPr>
          <w:ilvl w:val="0"/>
          <w:numId w:val="2"/>
        </w:numPr>
        <w:spacing w:after="60"/>
      </w:pPr>
      <w:r>
        <w:rPr>
          <w:rFonts w:ascii="Arial" w:cs="Arial" w:eastAsia="Arial" w:hAnsi="Arial"/>
          <w:sz w:val="20"/>
          <w:szCs w:val="20"/>
        </w:rPr>
        <w:t xml:space="preserve">PWHT: Required per ASME VIII Division 1 UCS-56 due to wall thickness</w:t>
      </w:r>
    </w:p>
    <w:p>
      <w:pPr>
        <w:pStyle w:val="ListParagraph"/>
        <w:numPr>
          <w:ilvl w:val="0"/>
          <w:numId w:val="2"/>
        </w:numPr>
        <w:spacing w:after="60"/>
      </w:pPr>
      <w:r>
        <w:rPr>
          <w:rFonts w:ascii="Arial" w:cs="Arial" w:eastAsia="Arial" w:hAnsi="Arial"/>
          <w:sz w:val="20"/>
          <w:szCs w:val="20"/>
        </w:rPr>
        <w:t xml:space="preserve">Nozzle Ratings: Minimum ANSI Class 900 RF flanged connections. All nozzles DN50 and above to be Class 900. Instrument nozzles DN25 Class 900 minimum</w:t>
      </w:r>
    </w:p>
    <w:p>
      <w:pPr>
        <w:pStyle w:val="ListParagraph"/>
        <w:numPr>
          <w:ilvl w:val="0"/>
          <w:numId w:val="2"/>
        </w:numPr>
        <w:spacing w:after="60"/>
      </w:pPr>
      <w:r>
        <w:rPr>
          <w:rFonts w:ascii="Arial" w:cs="Arial" w:eastAsia="Arial" w:hAnsi="Arial"/>
          <w:sz w:val="20"/>
          <w:szCs w:val="20"/>
        </w:rPr>
        <w:t xml:space="preserve">Internals: Inlet distributor (preventing channeling and bed disturbance), hold-down screen (316L wire mesh + support ring), lower support screen (316L wire mesh + support grid), inert ceramic balls top/bottom layer, access manway (DN500 minimum) at top and bottom</w:t>
      </w:r>
    </w:p>
    <w:p>
      <w:pPr>
        <w:pStyle w:val="ListParagraph"/>
        <w:numPr>
          <w:ilvl w:val="0"/>
          <w:numId w:val="2"/>
        </w:numPr>
        <w:spacing w:after="60"/>
      </w:pPr>
      <w:r>
        <w:rPr>
          <w:rFonts w:ascii="Arial" w:cs="Arial" w:eastAsia="Arial" w:hAnsi="Arial"/>
          <w:sz w:val="20"/>
          <w:szCs w:val="20"/>
        </w:rPr>
        <w:t xml:space="preserve">Corrosion Allowance: 3.0 mm minimum on all carbon steel pressure-containing parts</w:t>
      </w:r>
    </w:p>
    <w:p>
      <w:pPr>
        <w:pStyle w:val="ListParagraph"/>
        <w:numPr>
          <w:ilvl w:val="0"/>
          <w:numId w:val="2"/>
        </w:numPr>
        <w:spacing w:after="60"/>
      </w:pPr>
      <w:r>
        <w:rPr>
          <w:rFonts w:ascii="Arial" w:cs="Arial" w:eastAsia="Arial" w:hAnsi="Arial"/>
          <w:sz w:val="20"/>
          <w:szCs w:val="20"/>
        </w:rPr>
        <w:t xml:space="preserve">Insulation: Vessels to be externally insulated (mineral wool, 75 mm min.) for heat retention during regeneration and temperature control. Insulation design to be included in vendor scope.</w:t>
      </w:r>
    </w:p>
    <w:p>
      <w:pPr>
        <w:pStyle w:val="ListParagraph"/>
        <w:numPr>
          <w:ilvl w:val="0"/>
          <w:numId w:val="2"/>
        </w:numPr>
        <w:spacing w:after="60"/>
      </w:pPr>
      <w:r>
        <w:rPr>
          <w:rFonts w:ascii="Arial" w:cs="Arial" w:eastAsia="Arial" w:hAnsi="Arial"/>
          <w:sz w:val="20"/>
          <w:szCs w:val="20"/>
        </w:rPr>
        <w:t xml:space="preserve">External Coating: Per project Painting Specification (to be provided by NES). Minimum system: 2-coat epoxy primer + polyurethane topcoat for C4 corrosivity category (ISO 12944). Color: TBD (to be confirmed at AFC stage).</w:t>
      </w:r>
    </w:p>
    <w:p>
      <w:pPr>
        <w:pStyle w:val="ListParagraph"/>
        <w:numPr>
          <w:ilvl w:val="0"/>
          <w:numId w:val="2"/>
        </w:numPr>
        <w:spacing w:after="60"/>
      </w:pPr>
      <w:r>
        <w:rPr>
          <w:rFonts w:ascii="Arial" w:cs="Arial" w:eastAsia="Arial" w:hAnsi="Arial"/>
          <w:sz w:val="20"/>
          <w:szCs w:val="20"/>
        </w:rPr>
        <w:t xml:space="preserve">Nameplate: Per ASME code stamped (U-stamp) and CE-marked (PED). Dual marking preferred.</w:t>
      </w:r>
    </w:p>
    <w:p>
      <w:pPr>
        <w:spacing w:after="160"/>
      </w:pPr>
      <w:r>
        <w:t xml:space="preserve"/>
      </w:r>
    </w:p>
    <w:p>
      <w:pPr>
        <w:pStyle w:val="Heading2"/>
        <w:spacing w:after="120" w:before="240"/>
      </w:pPr>
      <w:r>
        <w:rPr>
          <w:rFonts w:ascii="Arial" w:cs="Arial" w:eastAsia="Arial" w:hAnsi="Arial"/>
          <w:b/>
          <w:bCs/>
          <w:color w:val="2E6DA4"/>
          <w:sz w:val="24"/>
          <w:szCs w:val="24"/>
        </w:rPr>
        <w:t xml:space="preserve">3.3 Molecular Sieve Adsorbent</w:t>
      </w:r>
    </w:p>
    <w:p>
      <w:pPr>
        <w:pStyle w:val="ListParagraph"/>
        <w:numPr>
          <w:ilvl w:val="0"/>
          <w:numId w:val="2"/>
        </w:numPr>
        <w:spacing w:after="60"/>
      </w:pPr>
      <w:r>
        <w:rPr>
          <w:rFonts w:ascii="Arial" w:cs="Arial" w:eastAsia="Arial" w:hAnsi="Arial"/>
          <w:sz w:val="20"/>
          <w:szCs w:val="20"/>
        </w:rPr>
        <w:t xml:space="preserve">Type: Zeolite 3A (3 Angstrom pore size). 3A is mandatory to minimize co-adsorption of CO2 and hydrocarbon heavy components. 4A will NOT be accepted without NES written approval.</w:t>
      </w:r>
    </w:p>
    <w:p>
      <w:pPr>
        <w:pStyle w:val="ListParagraph"/>
        <w:numPr>
          <w:ilvl w:val="0"/>
          <w:numId w:val="2"/>
        </w:numPr>
        <w:spacing w:after="60"/>
      </w:pPr>
      <w:r>
        <w:rPr>
          <w:rFonts w:ascii="Arial" w:cs="Arial" w:eastAsia="Arial" w:hAnsi="Arial"/>
          <w:sz w:val="20"/>
          <w:szCs w:val="20"/>
        </w:rPr>
        <w:t xml:space="preserve">Form: Extrudate (1/8-inch diameter preferred) or beads (8x12 mesh) – vendor to confirm optimum shape for this application based on flow velocity and pressure drop</w:t>
      </w:r>
    </w:p>
    <w:p>
      <w:pPr>
        <w:pStyle w:val="ListParagraph"/>
        <w:numPr>
          <w:ilvl w:val="0"/>
          <w:numId w:val="2"/>
        </w:numPr>
        <w:spacing w:after="60"/>
      </w:pPr>
      <w:r>
        <w:rPr>
          <w:rFonts w:ascii="Arial" w:cs="Arial" w:eastAsia="Arial" w:hAnsi="Arial"/>
          <w:sz w:val="20"/>
          <w:szCs w:val="20"/>
        </w:rPr>
        <w:t xml:space="preserve">Loading: Vendor to specify total adsorbent weight and volume per vessel; initial fill to be included in vendor scope of supply with 10% spare volume for topping-up included in quote</w:t>
      </w:r>
    </w:p>
    <w:p>
      <w:pPr>
        <w:pStyle w:val="ListParagraph"/>
        <w:numPr>
          <w:ilvl w:val="0"/>
          <w:numId w:val="2"/>
        </w:numPr>
        <w:spacing w:after="60"/>
      </w:pPr>
      <w:r>
        <w:rPr>
          <w:rFonts w:ascii="Arial" w:cs="Arial" w:eastAsia="Arial" w:hAnsi="Arial"/>
          <w:sz w:val="20"/>
          <w:szCs w:val="20"/>
        </w:rPr>
        <w:t xml:space="preserve">Supplier: Vendor to confirm adsorbent manufacturer (e.g., Zeochem, UOP/Honeywell, CECA, Grace, Axens). NES reserves the right to approve adsorbent supplier.</w:t>
      </w:r>
    </w:p>
    <w:p>
      <w:pPr>
        <w:pStyle w:val="ListParagraph"/>
        <w:numPr>
          <w:ilvl w:val="0"/>
          <w:numId w:val="2"/>
        </w:numPr>
        <w:spacing w:after="60"/>
      </w:pPr>
      <w:r>
        <w:rPr>
          <w:rFonts w:ascii="Arial" w:cs="Arial" w:eastAsia="Arial" w:hAnsi="Arial"/>
          <w:sz w:val="20"/>
          <w:szCs w:val="20"/>
        </w:rPr>
        <w:t xml:space="preserve">Performance: Vendor to confirm calculated adsorption capacity (kg water per kg sieve), dynamic adsorption capacity at operating conditions, and predicted sieve life (years) under stated regeneration temperature and gas composition. Minimum guaranteed sieve life: 3 years under normal operation.</w:t>
      </w:r>
    </w:p>
    <w:p>
      <w:pPr>
        <w:pStyle w:val="ListParagraph"/>
        <w:numPr>
          <w:ilvl w:val="0"/>
          <w:numId w:val="2"/>
        </w:numPr>
        <w:spacing w:after="60"/>
      </w:pPr>
      <w:r>
        <w:rPr>
          <w:rFonts w:ascii="Arial" w:cs="Arial" w:eastAsia="Arial" w:hAnsi="Arial"/>
          <w:sz w:val="20"/>
          <w:szCs w:val="20"/>
        </w:rPr>
        <w:t xml:space="preserve">Regeneration Temperature: Vendor to specify. Typically 220–280°C. NES accepts up to 300°C for a direct-fired heater outlet.</w:t>
      </w:r>
    </w:p>
    <w:p>
      <w:pPr>
        <w:spacing w:after="160"/>
      </w:pPr>
      <w:r>
        <w:t xml:space="preserve"/>
      </w:r>
    </w:p>
    <w:p>
      <w:pPr>
        <w:pStyle w:val="Heading2"/>
        <w:spacing w:after="120" w:before="240"/>
      </w:pPr>
      <w:r>
        <w:rPr>
          <w:rFonts w:ascii="Arial" w:cs="Arial" w:eastAsia="Arial" w:hAnsi="Arial"/>
          <w:b/>
          <w:bCs/>
          <w:color w:val="2E6DA4"/>
          <w:sz w:val="24"/>
          <w:szCs w:val="24"/>
        </w:rPr>
        <w:t xml:space="preserve">3.4 Regeneration Gas Heater</w:t>
      </w:r>
    </w:p>
    <w:p>
      <w:pPr>
        <w:pStyle w:val="ListParagraph"/>
        <w:numPr>
          <w:ilvl w:val="0"/>
          <w:numId w:val="2"/>
        </w:numPr>
        <w:spacing w:after="60"/>
      </w:pPr>
      <w:r>
        <w:rPr>
          <w:rFonts w:ascii="Arial" w:cs="Arial" w:eastAsia="Arial" w:hAnsi="Arial"/>
          <w:sz w:val="20"/>
          <w:szCs w:val="20"/>
        </w:rPr>
        <w:t xml:space="preserve">Type: Indirect-fired bath heater (glycol bath) or direct-fired shell-and-tube type – Vendor to propose with CAPEX/OPEX justification. Direct-fired units must include full burner management system (BMS) with flame failure detection and ultraviolet (UV) scanner.</w:t>
      </w:r>
    </w:p>
    <w:p>
      <w:pPr>
        <w:pStyle w:val="ListParagraph"/>
        <w:numPr>
          <w:ilvl w:val="0"/>
          <w:numId w:val="2"/>
        </w:numPr>
        <w:spacing w:after="60"/>
      </w:pPr>
      <w:r>
        <w:rPr>
          <w:rFonts w:ascii="Arial" w:cs="Arial" w:eastAsia="Arial" w:hAnsi="Arial"/>
          <w:sz w:val="20"/>
          <w:szCs w:val="20"/>
        </w:rPr>
        <w:t xml:space="preserve">Fuel: Facility fuel gas (see Utility Table). Vendor to size for maximum regeneration duty.</w:t>
      </w:r>
    </w:p>
    <w:p>
      <w:pPr>
        <w:pStyle w:val="ListParagraph"/>
        <w:numPr>
          <w:ilvl w:val="0"/>
          <w:numId w:val="2"/>
        </w:numPr>
        <w:spacing w:after="60"/>
      </w:pPr>
      <w:r>
        <w:rPr>
          <w:rFonts w:ascii="Arial" w:cs="Arial" w:eastAsia="Arial" w:hAnsi="Arial"/>
          <w:sz w:val="20"/>
          <w:szCs w:val="20"/>
        </w:rPr>
        <w:t xml:space="preserve">Design Code: ASME Section VIII Div.1 (heating coil / tubes); ASME B31.3 (piping)</w:t>
      </w:r>
    </w:p>
    <w:p>
      <w:pPr>
        <w:pStyle w:val="ListParagraph"/>
        <w:numPr>
          <w:ilvl w:val="0"/>
          <w:numId w:val="2"/>
        </w:numPr>
        <w:spacing w:after="60"/>
      </w:pPr>
      <w:r>
        <w:rPr>
          <w:rFonts w:ascii="Arial" w:cs="Arial" w:eastAsia="Arial" w:hAnsi="Arial"/>
          <w:sz w:val="20"/>
          <w:szCs w:val="20"/>
        </w:rPr>
        <w:t xml:space="preserve">Material (gas-side coil): 316L Stainless Steel to minimize contamination</w:t>
      </w:r>
    </w:p>
    <w:p>
      <w:pPr>
        <w:pStyle w:val="ListParagraph"/>
        <w:numPr>
          <w:ilvl w:val="0"/>
          <w:numId w:val="2"/>
        </w:numPr>
        <w:spacing w:after="60"/>
      </w:pPr>
      <w:r>
        <w:rPr>
          <w:rFonts w:ascii="Arial" w:cs="Arial" w:eastAsia="Arial" w:hAnsi="Arial"/>
          <w:sz w:val="20"/>
          <w:szCs w:val="20"/>
        </w:rPr>
        <w:t xml:space="preserve">Safety Systems: High-high temperature trip on regeneration gas outlet (linked to ESD); low-low fuel gas pressure trip; flame failure auto-shutdown per EN 746-2 / NFPA 86</w:t>
      </w:r>
    </w:p>
    <w:p>
      <w:pPr>
        <w:pStyle w:val="ListParagraph"/>
        <w:numPr>
          <w:ilvl w:val="0"/>
          <w:numId w:val="2"/>
        </w:numPr>
        <w:spacing w:after="60"/>
      </w:pPr>
      <w:r>
        <w:rPr>
          <w:rFonts w:ascii="Arial" w:cs="Arial" w:eastAsia="Arial" w:hAnsi="Arial"/>
          <w:sz w:val="20"/>
          <w:szCs w:val="20"/>
        </w:rPr>
        <w:t xml:space="preserve">Duty: Vendor to calculate based on cycle duration, adsorbent mass, vessel thermal mass, and heat losses. Provide heat duty summary table.</w:t>
      </w:r>
    </w:p>
    <w:p>
      <w:pPr>
        <w:spacing w:after="160"/>
      </w:pPr>
      <w:r>
        <w:t xml:space="preserve"/>
      </w:r>
    </w:p>
    <w:p>
      <w:pPr>
        <w:pStyle w:val="Heading2"/>
        <w:spacing w:after="120" w:before="240"/>
      </w:pPr>
      <w:r>
        <w:rPr>
          <w:rFonts w:ascii="Arial" w:cs="Arial" w:eastAsia="Arial" w:hAnsi="Arial"/>
          <w:b/>
          <w:bCs/>
          <w:color w:val="2E6DA4"/>
          <w:sz w:val="24"/>
          <w:szCs w:val="24"/>
        </w:rPr>
        <w:t xml:space="preserve">3.5 Regeneration Gas Cooler and Knockout Drum</w:t>
      </w:r>
    </w:p>
    <w:p>
      <w:pPr>
        <w:pStyle w:val="ListParagraph"/>
        <w:numPr>
          <w:ilvl w:val="0"/>
          <w:numId w:val="2"/>
        </w:numPr>
        <w:spacing w:after="60"/>
      </w:pPr>
      <w:r>
        <w:rPr>
          <w:rFonts w:ascii="Arial" w:cs="Arial" w:eastAsia="Arial" w:hAnsi="Arial"/>
          <w:sz w:val="20"/>
          <w:szCs w:val="20"/>
        </w:rPr>
        <w:t xml:space="preserve">Cooler Type: Air-cooled (preferred given coastal ambient conditions) or water-cooled heat exchanger. Vendor to propose and justify.</w:t>
      </w:r>
    </w:p>
    <w:p>
      <w:pPr>
        <w:pStyle w:val="ListParagraph"/>
        <w:numPr>
          <w:ilvl w:val="0"/>
          <w:numId w:val="2"/>
        </w:numPr>
        <w:spacing w:after="60"/>
      </w:pPr>
      <w:r>
        <w:rPr>
          <w:rFonts w:ascii="Arial" w:cs="Arial" w:eastAsia="Arial" w:hAnsi="Arial"/>
          <w:sz w:val="20"/>
          <w:szCs w:val="20"/>
        </w:rPr>
        <w:t xml:space="preserve">Duty: Vendor to size to cool regeneration gas to ≤ 40°C before entering the knockout drum, to ensure effective water condensation and separation</w:t>
      </w:r>
    </w:p>
    <w:p>
      <w:pPr>
        <w:pStyle w:val="ListParagraph"/>
        <w:numPr>
          <w:ilvl w:val="0"/>
          <w:numId w:val="2"/>
        </w:numPr>
        <w:spacing w:after="60"/>
      </w:pPr>
      <w:r>
        <w:rPr>
          <w:rFonts w:ascii="Arial" w:cs="Arial" w:eastAsia="Arial" w:hAnsi="Arial"/>
          <w:sz w:val="20"/>
          <w:szCs w:val="20"/>
        </w:rPr>
        <w:t xml:space="preserve">Knockout Drum: Vertical, 2-phase gas-liquid separator. Design Code: ASME VIII Div.1. Material: CS with 3 mm CA. With: level gauge (LG), level transmitter (LT) for high-high level alarm and shutdown, drain valve, gas outlet to inlet of unit / flare header.</w:t>
      </w:r>
    </w:p>
    <w:p>
      <w:pPr>
        <w:spacing w:after="160"/>
      </w:pPr>
      <w:r>
        <w:t xml:space="preserve"/>
      </w:r>
    </w:p>
    <w:p>
      <w:pPr>
        <w:pStyle w:val="Heading2"/>
        <w:spacing w:after="120" w:before="240"/>
      </w:pPr>
      <w:r>
        <w:rPr>
          <w:rFonts w:ascii="Arial" w:cs="Arial" w:eastAsia="Arial" w:hAnsi="Arial"/>
          <w:b/>
          <w:bCs/>
          <w:color w:val="2E6DA4"/>
          <w:sz w:val="24"/>
          <w:szCs w:val="24"/>
        </w:rPr>
        <w:t xml:space="preserve">3.6 Inlet Coalescing Filter / Separator</w:t>
      </w:r>
    </w:p>
    <w:p>
      <w:pPr>
        <w:pStyle w:val="ListParagraph"/>
        <w:numPr>
          <w:ilvl w:val="0"/>
          <w:numId w:val="2"/>
        </w:numPr>
        <w:spacing w:after="60"/>
      </w:pPr>
      <w:r>
        <w:rPr>
          <w:rFonts w:ascii="Arial" w:cs="Arial" w:eastAsia="Arial" w:hAnsi="Arial"/>
          <w:sz w:val="20"/>
          <w:szCs w:val="20"/>
        </w:rPr>
        <w:t xml:space="preserve">Type: High-efficiency vertical coalescing filter separator capable of removing liquid droplets to ≤ 0.1 ppm carry-over (ASME-rated vessel with coalescing elements)</w:t>
      </w:r>
    </w:p>
    <w:p>
      <w:pPr>
        <w:pStyle w:val="ListParagraph"/>
        <w:numPr>
          <w:ilvl w:val="0"/>
          <w:numId w:val="2"/>
        </w:numPr>
        <w:spacing w:after="60"/>
      </w:pPr>
      <w:r>
        <w:rPr>
          <w:rFonts w:ascii="Arial" w:cs="Arial" w:eastAsia="Arial" w:hAnsi="Arial"/>
          <w:sz w:val="20"/>
          <w:szCs w:val="20"/>
        </w:rPr>
        <w:t xml:space="preserve">Purpose: Protection of molecular sieve beds from liquid water, hydrocarbons, and glycol carry-over. Critical for sieve protection and longevity.</w:t>
      </w:r>
    </w:p>
    <w:p>
      <w:pPr>
        <w:pStyle w:val="ListParagraph"/>
        <w:numPr>
          <w:ilvl w:val="0"/>
          <w:numId w:val="2"/>
        </w:numPr>
        <w:spacing w:after="60"/>
      </w:pPr>
      <w:r>
        <w:rPr>
          <w:rFonts w:ascii="Arial" w:cs="Arial" w:eastAsia="Arial" w:hAnsi="Arial"/>
          <w:sz w:val="20"/>
          <w:szCs w:val="20"/>
        </w:rPr>
        <w:t xml:space="preserve">Internals: Multi-stage coalescing elements (fiberglass borosilicate), mist eliminator pad, liquid sumps with dump control valves (modulating), level gauges, LT high level trip</w:t>
      </w:r>
    </w:p>
    <w:p>
      <w:pPr>
        <w:pStyle w:val="ListParagraph"/>
        <w:numPr>
          <w:ilvl w:val="0"/>
          <w:numId w:val="2"/>
        </w:numPr>
        <w:spacing w:after="60"/>
      </w:pPr>
      <w:r>
        <w:rPr>
          <w:rFonts w:ascii="Arial" w:cs="Arial" w:eastAsia="Arial" w:hAnsi="Arial"/>
          <w:sz w:val="20"/>
          <w:szCs w:val="20"/>
        </w:rPr>
        <w:t xml:space="preserve">Design Code: ASME VIII Div.1 or API 12J. Class 900 nozzles.</w:t>
      </w:r>
    </w:p>
    <w:p>
      <w:pPr>
        <w:pStyle w:val="ListParagraph"/>
        <w:numPr>
          <w:ilvl w:val="0"/>
          <w:numId w:val="2"/>
        </w:numPr>
        <w:spacing w:after="60"/>
      </w:pPr>
      <w:r>
        <w:rPr>
          <w:rFonts w:ascii="Arial" w:cs="Arial" w:eastAsia="Arial" w:hAnsi="Arial"/>
          <w:sz w:val="20"/>
          <w:szCs w:val="20"/>
        </w:rPr>
        <w:t xml:space="preserve">Drain System: Automatic drain valve (fail-closed), routed to closed drain system</w:t>
      </w:r>
    </w:p>
    <w:p>
      <w:pPr>
        <w:spacing w:after="160"/>
      </w:pPr>
      <w:r>
        <w:t xml:space="preserve"/>
      </w:r>
    </w:p>
    <w:p>
      <w:pPr>
        <w:pStyle w:val="Heading2"/>
        <w:spacing w:after="120" w:before="240"/>
      </w:pPr>
      <w:r>
        <w:rPr>
          <w:rFonts w:ascii="Arial" w:cs="Arial" w:eastAsia="Arial" w:hAnsi="Arial"/>
          <w:b/>
          <w:bCs/>
          <w:color w:val="2E6DA4"/>
          <w:sz w:val="24"/>
          <w:szCs w:val="24"/>
        </w:rPr>
        <w:t xml:space="preserve">3.7 Process Valves and Actuated Switching Valves</w:t>
      </w:r>
    </w:p>
    <w:p>
      <w:pPr>
        <w:pStyle w:val="ListParagraph"/>
        <w:numPr>
          <w:ilvl w:val="0"/>
          <w:numId w:val="2"/>
        </w:numPr>
        <w:spacing w:after="60"/>
      </w:pPr>
      <w:r>
        <w:rPr>
          <w:rFonts w:ascii="Arial" w:cs="Arial" w:eastAsia="Arial" w:hAnsi="Arial"/>
          <w:sz w:val="20"/>
          <w:szCs w:val="20"/>
        </w:rPr>
        <w:t xml:space="preserve">All main adsorber inlet/outlet switching valves: Full-bore motorized ball valves, ANSI Class 900, Body: A351 CF8M or A105N + 316 SS trim, Actuator: Electric (fail-in-last-position, with position feedback to PLC), Rising-stem switching valves with limit switches and positioner feedback</w:t>
      </w:r>
    </w:p>
    <w:p>
      <w:pPr>
        <w:pStyle w:val="ListParagraph"/>
        <w:numPr>
          <w:ilvl w:val="0"/>
          <w:numId w:val="2"/>
        </w:numPr>
        <w:spacing w:after="60"/>
      </w:pPr>
      <w:r>
        <w:rPr>
          <w:rFonts w:ascii="Arial" w:cs="Arial" w:eastAsia="Arial" w:hAnsi="Arial"/>
          <w:sz w:val="20"/>
          <w:szCs w:val="20"/>
        </w:rPr>
        <w:t xml:space="preserve">Control Valves: Fisher or Emerson (or equivalent approved by NES) – ANSI Class 900 minimum, globe body, with actuator positioner (4-20 mA), HART protocol, handwheel override, fail-safe position clearly stated on each datasheet</w:t>
      </w:r>
    </w:p>
    <w:p>
      <w:pPr>
        <w:pStyle w:val="ListParagraph"/>
        <w:numPr>
          <w:ilvl w:val="0"/>
          <w:numId w:val="2"/>
        </w:numPr>
        <w:spacing w:after="60"/>
      </w:pPr>
      <w:r>
        <w:rPr>
          <w:rFonts w:ascii="Arial" w:cs="Arial" w:eastAsia="Arial" w:hAnsi="Arial"/>
          <w:sz w:val="20"/>
          <w:szCs w:val="20"/>
        </w:rPr>
        <w:t xml:space="preserve">Safety Relief Valves: API 526 / API 520 – Spring-loaded, ANSI Class 900, conventional or balanced bellows type for back-pressure &gt; 10% set pressure, set pressure at vessel MAWP, 316SS trim, full lift tested, stamped with UV symbol (ASME National Board registered)</w:t>
      </w:r>
    </w:p>
    <w:p>
      <w:pPr>
        <w:pStyle w:val="ListParagraph"/>
        <w:numPr>
          <w:ilvl w:val="0"/>
          <w:numId w:val="2"/>
        </w:numPr>
        <w:spacing w:after="60"/>
      </w:pPr>
      <w:r>
        <w:rPr>
          <w:rFonts w:ascii="Arial" w:cs="Arial" w:eastAsia="Arial" w:hAnsi="Arial"/>
          <w:sz w:val="20"/>
          <w:szCs w:val="20"/>
        </w:rPr>
        <w:t xml:space="preserve">Manual Valves: Ball valves Class 900 for isolation; gate or globe for throttling where required; all with fugitive emission packing per ISO 15848-1 Class B</w:t>
      </w:r>
    </w:p>
    <w:p>
      <w:pPr>
        <w:spacing w:after="160"/>
      </w:pPr>
      <w:r>
        <w:t xml:space="preserve"/>
      </w:r>
    </w:p>
    <w:p>
      <w:pPr>
        <w:pStyle w:val="Heading2"/>
        <w:spacing w:after="120" w:before="240"/>
      </w:pPr>
      <w:r>
        <w:rPr>
          <w:rFonts w:ascii="Arial" w:cs="Arial" w:eastAsia="Arial" w:hAnsi="Arial"/>
          <w:b/>
          <w:bCs/>
          <w:color w:val="2E6DA4"/>
          <w:sz w:val="24"/>
          <w:szCs w:val="24"/>
        </w:rPr>
        <w:t xml:space="preserve">3.8 Instrumentation, Automation and Control</w:t>
      </w:r>
    </w:p>
    <w:p>
      <w:pPr>
        <w:pStyle w:val="Heading3"/>
        <w:spacing w:after="80" w:before="180"/>
      </w:pPr>
      <w:r>
        <w:rPr>
          <w:rFonts w:ascii="Arial" w:cs="Arial" w:eastAsia="Arial" w:hAnsi="Arial"/>
          <w:b/>
          <w:bCs/>
          <w:color w:val="1B3A5C"/>
          <w:sz w:val="22"/>
          <w:szCs w:val="22"/>
        </w:rPr>
        <w:t xml:space="preserve">3.8.1 General Instrumentation Philosophy</w:t>
      </w:r>
    </w:p>
    <w:p>
      <w:pPr>
        <w:pStyle w:val="ListParagraph"/>
        <w:numPr>
          <w:ilvl w:val="0"/>
          <w:numId w:val="2"/>
        </w:numPr>
        <w:spacing w:after="60"/>
      </w:pPr>
      <w:r>
        <w:rPr>
          <w:rFonts w:ascii="Arial" w:cs="Arial" w:eastAsia="Arial" w:hAnsi="Arial"/>
          <w:sz w:val="20"/>
          <w:szCs w:val="20"/>
        </w:rPr>
        <w:t xml:space="preserve">All field instrumentation to be SMART, microprocessor-based, 4-20mA with HART (Highway Addressable Remote Transducer) protocol superimposed on signal</w:t>
      </w:r>
    </w:p>
    <w:p>
      <w:pPr>
        <w:pStyle w:val="ListParagraph"/>
        <w:numPr>
          <w:ilvl w:val="0"/>
          <w:numId w:val="2"/>
        </w:numPr>
        <w:spacing w:after="60"/>
      </w:pPr>
      <w:r>
        <w:rPr>
          <w:rFonts w:ascii="Arial" w:cs="Arial" w:eastAsia="Arial" w:hAnsi="Arial"/>
          <w:sz w:val="20"/>
          <w:szCs w:val="20"/>
        </w:rPr>
        <w:t xml:space="preserve">Minimum ingress protection: IP65 for all field instruments; IP66 for outdoor junction boxes</w:t>
      </w:r>
    </w:p>
    <w:p>
      <w:pPr>
        <w:pStyle w:val="ListParagraph"/>
        <w:numPr>
          <w:ilvl w:val="0"/>
          <w:numId w:val="2"/>
        </w:numPr>
        <w:spacing w:after="60"/>
      </w:pPr>
      <w:r>
        <w:rPr>
          <w:rFonts w:ascii="Arial" w:cs="Arial" w:eastAsia="Arial" w:hAnsi="Arial"/>
          <w:sz w:val="20"/>
          <w:szCs w:val="20"/>
        </w:rPr>
        <w:t xml:space="preserve">Hazardous Area Classification: All instruments in Zone 1 shall be certified Ex d IIB T3 (flameproof) or Ex ia IIC T4 (intrinsically safe). ATEX certification (IECEx also acceptable). ATEX certificates to be provided with offer and final documentation.</w:t>
      </w:r>
    </w:p>
    <w:p>
      <w:pPr>
        <w:pStyle w:val="ListParagraph"/>
        <w:numPr>
          <w:ilvl w:val="0"/>
          <w:numId w:val="2"/>
        </w:numPr>
        <w:spacing w:after="60"/>
      </w:pPr>
      <w:r>
        <w:rPr>
          <w:rFonts w:ascii="Arial" w:cs="Arial" w:eastAsia="Arial" w:hAnsi="Arial"/>
          <w:sz w:val="20"/>
          <w:szCs w:val="20"/>
        </w:rPr>
        <w:t xml:space="preserve">Accuracy: Pressure transmitters ±0.075% FS; temperature transmitters (thermowell + RTD Pt100 Class A) ±0.5°C; flow meters ±1.0% of rate</w:t>
      </w:r>
    </w:p>
    <w:p>
      <w:pPr>
        <w:pStyle w:val="ListParagraph"/>
        <w:numPr>
          <w:ilvl w:val="0"/>
          <w:numId w:val="2"/>
        </w:numPr>
        <w:spacing w:after="60"/>
      </w:pPr>
      <w:r>
        <w:rPr>
          <w:rFonts w:ascii="Arial" w:cs="Arial" w:eastAsia="Arial" w:hAnsi="Arial"/>
          <w:sz w:val="20"/>
          <w:szCs w:val="20"/>
        </w:rPr>
        <w:t xml:space="preserve">Failure Mode: All instruments shall be fail-safe. 4-20mA transmitters to indicate low (3.5 mA) on failure (fault detection)</w:t>
      </w:r>
    </w:p>
    <w:p>
      <w:pPr>
        <w:spacing w:after="160"/>
      </w:pPr>
      <w:r>
        <w:t xml:space="preserve"/>
      </w:r>
    </w:p>
    <w:p>
      <w:pPr>
        <w:pStyle w:val="Heading3"/>
        <w:spacing w:after="80" w:before="180"/>
      </w:pPr>
      <w:r>
        <w:rPr>
          <w:rFonts w:ascii="Arial" w:cs="Arial" w:eastAsia="Arial" w:hAnsi="Arial"/>
          <w:b/>
          <w:bCs/>
          <w:color w:val="1B3A5C"/>
          <w:sz w:val="22"/>
          <w:szCs w:val="22"/>
        </w:rPr>
        <w:t xml:space="preserve">3.8.2 Minimum Instrumentation per Adsorber Vessel</w:t>
      </w:r>
    </w:p>
    <w:p>
      <w:pPr>
        <w:pStyle w:val="ListParagraph"/>
        <w:numPr>
          <w:ilvl w:val="0"/>
          <w:numId w:val="2"/>
        </w:numPr>
        <w:spacing w:after="60"/>
      </w:pPr>
      <w:r>
        <w:rPr>
          <w:rFonts w:ascii="Arial" w:cs="Arial" w:eastAsia="Arial" w:hAnsi="Arial"/>
          <w:sz w:val="20"/>
          <w:szCs w:val="20"/>
        </w:rPr>
        <w:t xml:space="preserve">Inlet and outlet temperature transmitters (TT) – 4x per vessel (top inlet, mid-bed, lower bed, outlet) with local temperature indicators (TI)</w:t>
      </w:r>
    </w:p>
    <w:p>
      <w:pPr>
        <w:pStyle w:val="ListParagraph"/>
        <w:numPr>
          <w:ilvl w:val="0"/>
          <w:numId w:val="2"/>
        </w:numPr>
        <w:spacing w:after="60"/>
      </w:pPr>
      <w:r>
        <w:rPr>
          <w:rFonts w:ascii="Arial" w:cs="Arial" w:eastAsia="Arial" w:hAnsi="Arial"/>
          <w:sz w:val="20"/>
          <w:szCs w:val="20"/>
        </w:rPr>
        <w:t xml:space="preserve">Inlet and outlet pressure transmitters (PT) – with local pressure indicators (PI), differential pressure transmitter (DPT) across bed for pressure drop monitoring and bed breakthrough alarm</w:t>
      </w:r>
    </w:p>
    <w:p>
      <w:pPr>
        <w:pStyle w:val="ListParagraph"/>
        <w:numPr>
          <w:ilvl w:val="0"/>
          <w:numId w:val="2"/>
        </w:numPr>
        <w:spacing w:after="60"/>
      </w:pPr>
      <w:r>
        <w:rPr>
          <w:rFonts w:ascii="Arial" w:cs="Arial" w:eastAsia="Arial" w:hAnsi="Arial"/>
          <w:sz w:val="20"/>
          <w:szCs w:val="20"/>
        </w:rPr>
        <w:t xml:space="preserve">Bed temperature profile: 4x thermocouple assemblies at different elevations to track adsorption wave front and confirm complete regeneration</w:t>
      </w:r>
    </w:p>
    <w:p>
      <w:pPr>
        <w:pStyle w:val="ListParagraph"/>
        <w:numPr>
          <w:ilvl w:val="0"/>
          <w:numId w:val="2"/>
        </w:numPr>
        <w:spacing w:after="60"/>
      </w:pPr>
      <w:r>
        <w:rPr>
          <w:rFonts w:ascii="Arial" w:cs="Arial" w:eastAsia="Arial" w:hAnsi="Arial"/>
          <w:sz w:val="20"/>
          <w:szCs w:val="20"/>
        </w:rPr>
        <w:t xml:space="preserve">High-High pressure trip (PSH) – hardwired to ESD system</w:t>
      </w:r>
    </w:p>
    <w:p>
      <w:pPr>
        <w:pStyle w:val="ListParagraph"/>
        <w:numPr>
          <w:ilvl w:val="0"/>
          <w:numId w:val="2"/>
        </w:numPr>
        <w:spacing w:after="60"/>
      </w:pPr>
      <w:r>
        <w:rPr>
          <w:rFonts w:ascii="Arial" w:cs="Arial" w:eastAsia="Arial" w:hAnsi="Arial"/>
          <w:sz w:val="20"/>
          <w:szCs w:val="20"/>
        </w:rPr>
        <w:t xml:space="preserve">Low-Low pressure trip (PSL) – hardwired to ESD system (loss of containment indicator)</w:t>
      </w:r>
    </w:p>
    <w:p>
      <w:pPr>
        <w:spacing w:after="160"/>
      </w:pPr>
      <w:r>
        <w:t xml:space="preserve"/>
      </w:r>
    </w:p>
    <w:p>
      <w:pPr>
        <w:pStyle w:val="Heading3"/>
        <w:spacing w:after="80" w:before="180"/>
      </w:pPr>
      <w:r>
        <w:rPr>
          <w:rFonts w:ascii="Arial" w:cs="Arial" w:eastAsia="Arial" w:hAnsi="Arial"/>
          <w:b/>
          <w:bCs/>
          <w:color w:val="1B3A5C"/>
          <w:sz w:val="22"/>
          <w:szCs w:val="22"/>
        </w:rPr>
        <w:t xml:space="preserve">3.8.3 Process Analyser – Moisture Content</w:t>
      </w:r>
    </w:p>
    <w:p>
      <w:pPr>
        <w:pStyle w:val="ListParagraph"/>
        <w:numPr>
          <w:ilvl w:val="0"/>
          <w:numId w:val="2"/>
        </w:numPr>
        <w:spacing w:after="60"/>
      </w:pPr>
      <w:r>
        <w:rPr>
          <w:rFonts w:ascii="Arial" w:cs="Arial" w:eastAsia="Arial" w:hAnsi="Arial"/>
          <w:sz w:val="20"/>
          <w:szCs w:val="20"/>
        </w:rPr>
        <w:t xml:space="preserve">Type: Online aluminium oxide (Al₂O₃) capacitance-based moisture analyser at GDU package outlet. Supplier examples: Vaisala HMT360, Michell Instruments QMI, or equal.</w:t>
      </w:r>
    </w:p>
    <w:p>
      <w:pPr>
        <w:pStyle w:val="ListParagraph"/>
        <w:numPr>
          <w:ilvl w:val="0"/>
          <w:numId w:val="2"/>
        </w:numPr>
        <w:spacing w:after="60"/>
      </w:pPr>
      <w:r>
        <w:rPr>
          <w:rFonts w:ascii="Arial" w:cs="Arial" w:eastAsia="Arial" w:hAnsi="Arial"/>
          <w:sz w:val="20"/>
          <w:szCs w:val="20"/>
        </w:rPr>
        <w:t xml:space="preserve">Range: 0 – 1,000 ppm(v) water content or equivalent dewpoint range -100°C to 0°C</w:t>
      </w:r>
    </w:p>
    <w:p>
      <w:pPr>
        <w:pStyle w:val="ListParagraph"/>
        <w:numPr>
          <w:ilvl w:val="0"/>
          <w:numId w:val="2"/>
        </w:numPr>
        <w:spacing w:after="60"/>
      </w:pPr>
      <w:r>
        <w:rPr>
          <w:rFonts w:ascii="Arial" w:cs="Arial" w:eastAsia="Arial" w:hAnsi="Arial"/>
          <w:sz w:val="20"/>
          <w:szCs w:val="20"/>
        </w:rPr>
        <w:t xml:space="preserve">Sample Conditioning System: Vendor to supply fully engineered in-situ sample system (stainless steel, pressure-reduction to instrument pressure, automatic purge capability, zero gas supply connection)</w:t>
      </w:r>
    </w:p>
    <w:p>
      <w:pPr>
        <w:pStyle w:val="ListParagraph"/>
        <w:numPr>
          <w:ilvl w:val="0"/>
          <w:numId w:val="2"/>
        </w:numPr>
        <w:spacing w:after="60"/>
      </w:pPr>
      <w:r>
        <w:rPr>
          <w:rFonts w:ascii="Arial" w:cs="Arial" w:eastAsia="Arial" w:hAnsi="Arial"/>
          <w:sz w:val="20"/>
          <w:szCs w:val="20"/>
        </w:rPr>
        <w:t xml:space="preserve">Alarms: High moisture alarm at 50% of outlet spec; High-High moisture alarm at 80% of outlet spec (both to be configurable on site)</w:t>
      </w:r>
    </w:p>
    <w:p>
      <w:pPr>
        <w:pStyle w:val="ListParagraph"/>
        <w:numPr>
          <w:ilvl w:val="0"/>
          <w:numId w:val="2"/>
        </w:numPr>
        <w:spacing w:after="60"/>
      </w:pPr>
      <w:r>
        <w:rPr>
          <w:rFonts w:ascii="Arial" w:cs="Arial" w:eastAsia="Arial" w:hAnsi="Arial"/>
          <w:sz w:val="20"/>
          <w:szCs w:val="20"/>
        </w:rPr>
        <w:t xml:space="preserve">Output: 4-20 mA (HART) to PLC / DCS; MODBUS RTU data link as backup</w:t>
      </w:r>
    </w:p>
    <w:p>
      <w:pPr>
        <w:spacing w:after="160"/>
      </w:pPr>
      <w:r>
        <w:t xml:space="preserve"/>
      </w:r>
    </w:p>
    <w:p>
      <w:pPr>
        <w:pStyle w:val="Heading3"/>
        <w:spacing w:after="80" w:before="180"/>
      </w:pPr>
      <w:r>
        <w:rPr>
          <w:rFonts w:ascii="Arial" w:cs="Arial" w:eastAsia="Arial" w:hAnsi="Arial"/>
          <w:b/>
          <w:bCs/>
          <w:color w:val="1B3A5C"/>
          <w:sz w:val="22"/>
          <w:szCs w:val="22"/>
        </w:rPr>
        <w:t xml:space="preserve">3.8.4 Local Control Panel (LCP) and PLC</w:t>
      </w:r>
    </w:p>
    <w:p>
      <w:pPr>
        <w:pStyle w:val="ListParagraph"/>
        <w:numPr>
          <w:ilvl w:val="0"/>
          <w:numId w:val="2"/>
        </w:numPr>
        <w:spacing w:after="60"/>
      </w:pPr>
      <w:r>
        <w:rPr>
          <w:rFonts w:ascii="Arial" w:cs="Arial" w:eastAsia="Arial" w:hAnsi="Arial"/>
          <w:sz w:val="20"/>
          <w:szCs w:val="20"/>
        </w:rPr>
        <w:t xml:space="preserve">IP Rating: IP65 minimum; stainless steel 316 enclosure. ATEX rated for Zone 2 installation (or purge-pressurized for Zone 1 if panel located close to process).</w:t>
      </w:r>
    </w:p>
    <w:p>
      <w:pPr>
        <w:pStyle w:val="ListParagraph"/>
        <w:numPr>
          <w:ilvl w:val="0"/>
          <w:numId w:val="2"/>
        </w:numPr>
        <w:spacing w:after="60"/>
      </w:pPr>
      <w:r>
        <w:rPr>
          <w:rFonts w:ascii="Arial" w:cs="Arial" w:eastAsia="Arial" w:hAnsi="Arial"/>
          <w:sz w:val="20"/>
          <w:szCs w:val="20"/>
        </w:rPr>
        <w:t xml:space="preserve">PLC System: Redundant CPU (hot-standby), IEC 61131-3 compliant. Brand acceptable: Siemens S7-400/1500, Allen-Bradley ControlLogix, Honeywell Safety Manager, or approved equivalent. NES to approve PLC brand during FEED clarification.</w:t>
      </w:r>
    </w:p>
    <w:p>
      <w:pPr>
        <w:pStyle w:val="ListParagraph"/>
        <w:numPr>
          <w:ilvl w:val="0"/>
          <w:numId w:val="2"/>
        </w:numPr>
        <w:spacing w:after="60"/>
      </w:pPr>
      <w:r>
        <w:rPr>
          <w:rFonts w:ascii="Arial" w:cs="Arial" w:eastAsia="Arial" w:hAnsi="Arial"/>
          <w:sz w:val="20"/>
          <w:szCs w:val="20"/>
        </w:rPr>
        <w:t xml:space="preserve">HMI: 15-inch (minimum) TFT color touch-screen, SCADA-capable, with trend historian (minimum 30-day local storage). Synoptic mimic of full GDU package.</w:t>
      </w:r>
    </w:p>
    <w:p>
      <w:pPr>
        <w:pStyle w:val="ListParagraph"/>
        <w:numPr>
          <w:ilvl w:val="0"/>
          <w:numId w:val="2"/>
        </w:numPr>
        <w:spacing w:after="60"/>
      </w:pPr>
      <w:r>
        <w:rPr>
          <w:rFonts w:ascii="Arial" w:cs="Arial" w:eastAsia="Arial" w:hAnsi="Arial"/>
          <w:sz w:val="20"/>
          <w:szCs w:val="20"/>
        </w:rPr>
        <w:t xml:space="preserve">Communications: PROFINET or Ethernet/IP to plant DCS (NES will specify DCS brand at PO stage). MODBUS TCP as fallback. OPC UA server capability required.</w:t>
      </w:r>
    </w:p>
    <w:p>
      <w:pPr>
        <w:pStyle w:val="ListParagraph"/>
        <w:numPr>
          <w:ilvl w:val="0"/>
          <w:numId w:val="2"/>
        </w:numPr>
        <w:spacing w:after="60"/>
      </w:pPr>
      <w:r>
        <w:rPr>
          <w:rFonts w:ascii="Arial" w:cs="Arial" w:eastAsia="Arial" w:hAnsi="Arial"/>
          <w:sz w:val="20"/>
          <w:szCs w:val="20"/>
        </w:rPr>
        <w:t xml:space="preserve">Sequence Control: Automatic cyclic adsorption/regeneration/cooling sequencer with configurable cycle timer (manual override capability). Cycle steps to be fully configurable from HMI.</w:t>
      </w:r>
    </w:p>
    <w:p>
      <w:pPr>
        <w:pStyle w:val="ListParagraph"/>
        <w:numPr>
          <w:ilvl w:val="0"/>
          <w:numId w:val="2"/>
        </w:numPr>
        <w:spacing w:after="60"/>
      </w:pPr>
      <w:r>
        <w:rPr>
          <w:rFonts w:ascii="Arial" w:cs="Arial" w:eastAsia="Arial" w:hAnsi="Arial"/>
          <w:sz w:val="20"/>
          <w:szCs w:val="20"/>
        </w:rPr>
        <w:t xml:space="preserve">Alarms and Trips: All instrument alarms, process trips, and ESD functions to be mapped in LCP. Cause and Effect matrix to be developed by vendor and submitted for NES review.</w:t>
      </w:r>
    </w:p>
    <w:p>
      <w:pPr>
        <w:pStyle w:val="ListParagraph"/>
        <w:numPr>
          <w:ilvl w:val="0"/>
          <w:numId w:val="2"/>
        </w:numPr>
        <w:spacing w:after="60"/>
      </w:pPr>
      <w:r>
        <w:rPr>
          <w:rFonts w:ascii="Arial" w:cs="Arial" w:eastAsia="Arial" w:hAnsi="Arial"/>
          <w:sz w:val="20"/>
          <w:szCs w:val="20"/>
        </w:rPr>
        <w:t xml:space="preserve">Emergency Shutdown (ESD) Function: ESD logic to be implemented in hardwired safety relay or approved SIL-rated safety PLC (separate from process PLC if required by SIL assessment). Target SIL 1 for the package ESD function.</w:t>
      </w:r>
    </w:p>
    <w:p>
      <w:pPr>
        <w:spacing w:after="160"/>
      </w:pPr>
      <w:r>
        <w:t xml:space="preserve"/>
      </w:r>
    </w:p>
    <w:p>
      <w:pPr>
        <w:pStyle w:val="Heading2"/>
        <w:spacing w:after="120" w:before="240"/>
      </w:pPr>
      <w:r>
        <w:rPr>
          <w:rFonts w:ascii="Arial" w:cs="Arial" w:eastAsia="Arial" w:hAnsi="Arial"/>
          <w:b/>
          <w:bCs/>
          <w:color w:val="2E6DA4"/>
          <w:sz w:val="24"/>
          <w:szCs w:val="24"/>
        </w:rPr>
        <w:t xml:space="preserve">3.9 Skid Frame and Structural Requirements</w:t>
      </w:r>
    </w:p>
    <w:p>
      <w:pPr>
        <w:pStyle w:val="ListParagraph"/>
        <w:numPr>
          <w:ilvl w:val="0"/>
          <w:numId w:val="2"/>
        </w:numPr>
        <w:spacing w:after="60"/>
      </w:pPr>
      <w:r>
        <w:rPr>
          <w:rFonts w:ascii="Arial" w:cs="Arial" w:eastAsia="Arial" w:hAnsi="Arial"/>
          <w:sz w:val="20"/>
          <w:szCs w:val="20"/>
        </w:rPr>
        <w:t xml:space="preserve">Material: Structural steel to ASTM A36 (or EN 10025 S275 equivalent). All welding per AWS D1.1 (or EN ISO 15614-1).</w:t>
      </w:r>
    </w:p>
    <w:p>
      <w:pPr>
        <w:pStyle w:val="ListParagraph"/>
        <w:numPr>
          <w:ilvl w:val="0"/>
          <w:numId w:val="2"/>
        </w:numPr>
        <w:spacing w:after="60"/>
      </w:pPr>
      <w:r>
        <w:rPr>
          <w:rFonts w:ascii="Arial" w:cs="Arial" w:eastAsia="Arial" w:hAnsi="Arial"/>
          <w:sz w:val="20"/>
          <w:szCs w:val="20"/>
        </w:rPr>
        <w:t xml:space="preserve">Surface Treatment: Full hot-dip galvanizing (HDG) after fabrication per EN ISO 1461 / ASTM A123. Galvanizing layer thickness minimum 85 μm average. Vendor to confirm galvanizing supplier.</w:t>
      </w:r>
    </w:p>
    <w:p>
      <w:pPr>
        <w:pStyle w:val="ListParagraph"/>
        <w:numPr>
          <w:ilvl w:val="0"/>
          <w:numId w:val="2"/>
        </w:numPr>
        <w:spacing w:after="60"/>
      </w:pPr>
      <w:r>
        <w:rPr>
          <w:rFonts w:ascii="Arial" w:cs="Arial" w:eastAsia="Arial" w:hAnsi="Arial"/>
          <w:sz w:val="20"/>
          <w:szCs w:val="20"/>
        </w:rPr>
        <w:t xml:space="preserve">Grating: Carbon steel bar grating, hot-dip galvanized. All elevated platforms to have 1.1 m handrails (EN ISO 14122).</w:t>
      </w:r>
    </w:p>
    <w:p>
      <w:pPr>
        <w:pStyle w:val="ListParagraph"/>
        <w:numPr>
          <w:ilvl w:val="0"/>
          <w:numId w:val="2"/>
        </w:numPr>
        <w:spacing w:after="60"/>
      </w:pPr>
      <w:r>
        <w:rPr>
          <w:rFonts w:ascii="Arial" w:cs="Arial" w:eastAsia="Arial" w:hAnsi="Arial"/>
          <w:sz w:val="20"/>
          <w:szCs w:val="20"/>
        </w:rPr>
        <w:t xml:space="preserve">Lifting Lugs: Engineered lifting lugs, certified, with proof load test certificate. Lift points and COG clearly marked on GA drawing.</w:t>
      </w:r>
    </w:p>
    <w:p>
      <w:pPr>
        <w:pStyle w:val="ListParagraph"/>
        <w:numPr>
          <w:ilvl w:val="0"/>
          <w:numId w:val="2"/>
        </w:numPr>
        <w:spacing w:after="60"/>
      </w:pPr>
      <w:r>
        <w:rPr>
          <w:rFonts w:ascii="Arial" w:cs="Arial" w:eastAsia="Arial" w:hAnsi="Arial"/>
          <w:sz w:val="20"/>
          <w:szCs w:val="20"/>
        </w:rPr>
        <w:t xml:space="preserve">Anchor Bolts: Vendor to supply anchor bolt layout, stiffener plate plan, and all foundation load data (static + dynamic operating + seismic). NES civil team will design foundation.</w:t>
      </w:r>
    </w:p>
    <w:p>
      <w:pPr>
        <w:pStyle w:val="ListParagraph"/>
        <w:numPr>
          <w:ilvl w:val="0"/>
          <w:numId w:val="2"/>
        </w:numPr>
        <w:spacing w:after="60"/>
      </w:pPr>
      <w:r>
        <w:rPr>
          <w:rFonts w:ascii="Arial" w:cs="Arial" w:eastAsia="Arial" w:hAnsi="Arial"/>
          <w:sz w:val="20"/>
          <w:szCs w:val="20"/>
        </w:rPr>
        <w:t xml:space="preserve">Dimensions: Vendor to optimize skid dimensions for road transport (maximum 4.0 m width, 4.2 m height without special escort; confirm if split delivery is needed for adsorber vessels).</w:t>
      </w:r>
    </w:p>
    <w:p>
      <w:pPr>
        <w:spacing w:after="160"/>
      </w:pPr>
      <w:r>
        <w:t xml:space="preserve"/>
      </w:r>
    </w:p>
    <w:p>
      <w:pPr>
        <w:pStyle w:val="Heading2"/>
        <w:spacing w:after="120" w:before="240"/>
      </w:pPr>
      <w:r>
        <w:rPr>
          <w:rFonts w:ascii="Arial" w:cs="Arial" w:eastAsia="Arial" w:hAnsi="Arial"/>
          <w:b/>
          <w:bCs/>
          <w:color w:val="2E6DA4"/>
          <w:sz w:val="24"/>
          <w:szCs w:val="24"/>
        </w:rPr>
        <w:t xml:space="preserve">3.10 Painting and Coating</w:t>
      </w:r>
    </w:p>
    <w:p>
      <w:pPr>
        <w:pStyle w:val="ListParagraph"/>
        <w:numPr>
          <w:ilvl w:val="0"/>
          <w:numId w:val="2"/>
        </w:numPr>
        <w:spacing w:after="60"/>
      </w:pPr>
      <w:r>
        <w:rPr>
          <w:rFonts w:ascii="Arial" w:cs="Arial" w:eastAsia="Arial" w:hAnsi="Arial"/>
          <w:sz w:val="20"/>
          <w:szCs w:val="20"/>
        </w:rPr>
        <w:t xml:space="preserve">Painting System: Per NES Project Painting Specification Doc. NES-AGP-2026-PAINT-001 (to be issued separately at PO stage). Minimum: Sa 2.5 blast cleaning (ISO 8501-1), 2-coat epoxy primer (75 μm DFT per coat) + 2-coat aliphatic polyurethane topcoat (50 μm DFT per coat). Total min DFT: 250 μm.</w:t>
      </w:r>
    </w:p>
    <w:p>
      <w:pPr>
        <w:pStyle w:val="ListParagraph"/>
        <w:numPr>
          <w:ilvl w:val="0"/>
          <w:numId w:val="2"/>
        </w:numPr>
        <w:spacing w:after="60"/>
      </w:pPr>
      <w:r>
        <w:rPr>
          <w:rFonts w:ascii="Arial" w:cs="Arial" w:eastAsia="Arial" w:hAnsi="Arial"/>
          <w:sz w:val="20"/>
          <w:szCs w:val="20"/>
        </w:rPr>
        <w:t xml:space="preserve">Corrosivity Category: C4 (High) per ISO 12944. Coastal industrial environment.</w:t>
      </w:r>
    </w:p>
    <w:p>
      <w:pPr>
        <w:pStyle w:val="ListParagraph"/>
        <w:numPr>
          <w:ilvl w:val="0"/>
          <w:numId w:val="2"/>
        </w:numPr>
        <w:spacing w:after="60"/>
      </w:pPr>
      <w:r>
        <w:rPr>
          <w:rFonts w:ascii="Arial" w:cs="Arial" w:eastAsia="Arial" w:hAnsi="Arial"/>
          <w:sz w:val="20"/>
          <w:szCs w:val="20"/>
        </w:rPr>
        <w:t xml:space="preserve">High-Temperature Areas (&gt;200°C): Silicone aluminum heat-resistant paint. Regeneration heater and associated hot piping/vessels: Hempadur Heat or equivalent.</w:t>
      </w:r>
    </w:p>
    <w:p>
      <w:pPr>
        <w:pStyle w:val="ListParagraph"/>
        <w:numPr>
          <w:ilvl w:val="0"/>
          <w:numId w:val="2"/>
        </w:numPr>
        <w:spacing w:after="60"/>
      </w:pPr>
      <w:r>
        <w:rPr>
          <w:rFonts w:ascii="Arial" w:cs="Arial" w:eastAsia="Arial" w:hAnsi="Arial"/>
          <w:sz w:val="20"/>
          <w:szCs w:val="20"/>
        </w:rPr>
        <w:t xml:space="preserve">Surfaces Under Insulation: Epoxy phenolic primer, 150 μm DFT minimum.</w:t>
      </w:r>
    </w:p>
    <w:p>
      <w:pPr>
        <w:spacing w:after="160"/>
      </w:pPr>
      <w:r>
        <w:t xml:space="preserve"/>
      </w:r>
    </w:p>
    <w:p>
      <w:pPr>
        <w:pStyle w:val="Heading2"/>
        <w:spacing w:after="120" w:before="240"/>
      </w:pPr>
      <w:r>
        <w:rPr>
          <w:rFonts w:ascii="Arial" w:cs="Arial" w:eastAsia="Arial" w:hAnsi="Arial"/>
          <w:b/>
          <w:bCs/>
          <w:color w:val="2E6DA4"/>
          <w:sz w:val="24"/>
          <w:szCs w:val="24"/>
        </w:rPr>
        <w:t xml:space="preserve">3.11 Piping Design</w:t>
      </w:r>
    </w:p>
    <w:p>
      <w:pPr>
        <w:pStyle w:val="ListParagraph"/>
        <w:numPr>
          <w:ilvl w:val="0"/>
          <w:numId w:val="2"/>
        </w:numPr>
        <w:spacing w:after="60"/>
      </w:pPr>
      <w:r>
        <w:rPr>
          <w:rFonts w:ascii="Arial" w:cs="Arial" w:eastAsia="Arial" w:hAnsi="Arial"/>
          <w:sz w:val="20"/>
          <w:szCs w:val="20"/>
        </w:rPr>
        <w:t xml:space="preserve">Piping Code: ASME B31.3 Process Piping</w:t>
      </w:r>
    </w:p>
    <w:p>
      <w:pPr>
        <w:pStyle w:val="ListParagraph"/>
        <w:numPr>
          <w:ilvl w:val="0"/>
          <w:numId w:val="2"/>
        </w:numPr>
        <w:spacing w:after="60"/>
      </w:pPr>
      <w:r>
        <w:rPr>
          <w:rFonts w:ascii="Arial" w:cs="Arial" w:eastAsia="Arial" w:hAnsi="Arial"/>
          <w:sz w:val="20"/>
          <w:szCs w:val="20"/>
        </w:rPr>
        <w:t xml:space="preserve">Minimum Piping Class: Class 900 (CL900) for all gas-carrying lines. Flanges: ASME B16.5 RF (raised face) for ≤ DN400; ASME B16.47 Series A for larger sizes if required.</w:t>
      </w:r>
    </w:p>
    <w:p>
      <w:pPr>
        <w:pStyle w:val="ListParagraph"/>
        <w:numPr>
          <w:ilvl w:val="0"/>
          <w:numId w:val="2"/>
        </w:numPr>
        <w:spacing w:after="60"/>
      </w:pPr>
      <w:r>
        <w:rPr>
          <w:rFonts w:ascii="Arial" w:cs="Arial" w:eastAsia="Arial" w:hAnsi="Arial"/>
          <w:sz w:val="20"/>
          <w:szCs w:val="20"/>
        </w:rPr>
        <w:t xml:space="preserve">Line Sizing: Maximum gas velocity in adsorber vessel nozzles: 5 m/s; maximum gas velocity in interconnecting skid piping: 15 m/s; vendor to confirm</w:t>
      </w:r>
    </w:p>
    <w:p>
      <w:pPr>
        <w:pStyle w:val="ListParagraph"/>
        <w:numPr>
          <w:ilvl w:val="0"/>
          <w:numId w:val="2"/>
        </w:numPr>
        <w:spacing w:after="60"/>
      </w:pPr>
      <w:r>
        <w:rPr>
          <w:rFonts w:ascii="Arial" w:cs="Arial" w:eastAsia="Arial" w:hAnsi="Arial"/>
          <w:sz w:val="20"/>
          <w:szCs w:val="20"/>
        </w:rPr>
        <w:t xml:space="preserve">Material: Carbon steel (ASTM A106 Gr.B seamless or A335 for high-temp lines); 316L SS for regeneration gas heater outlet (hot lines), KO drum liquid service, and instrument connections</w:t>
      </w:r>
    </w:p>
    <w:p>
      <w:pPr>
        <w:pStyle w:val="ListParagraph"/>
        <w:numPr>
          <w:ilvl w:val="0"/>
          <w:numId w:val="2"/>
        </w:numPr>
        <w:spacing w:after="60"/>
      </w:pPr>
      <w:r>
        <w:rPr>
          <w:rFonts w:ascii="Arial" w:cs="Arial" w:eastAsia="Arial" w:hAnsi="Arial"/>
          <w:sz w:val="20"/>
          <w:szCs w:val="20"/>
        </w:rPr>
        <w:t xml:space="preserve">Gaskets: Spiral wound metallic (316SS / graphite filler) for Class 900; ring-type joint (RTJ) not required unless vendor proposes for specific service</w:t>
      </w:r>
    </w:p>
    <w:p>
      <w:pPr>
        <w:pStyle w:val="ListParagraph"/>
        <w:numPr>
          <w:ilvl w:val="0"/>
          <w:numId w:val="2"/>
        </w:numPr>
        <w:spacing w:after="60"/>
      </w:pPr>
      <w:r>
        <w:rPr>
          <w:rFonts w:ascii="Arial" w:cs="Arial" w:eastAsia="Arial" w:hAnsi="Arial"/>
          <w:sz w:val="20"/>
          <w:szCs w:val="20"/>
        </w:rPr>
        <w:t xml:space="preserve">Bolting: ASTM A193 B7 studs / A194 2H heavy hex nuts for all process flanges. PTFE-coated for easier removal</w:t>
      </w:r>
    </w:p>
    <w:p>
      <w:pPr>
        <w:pStyle w:val="ListParagraph"/>
        <w:numPr>
          <w:ilvl w:val="0"/>
          <w:numId w:val="2"/>
        </w:numPr>
        <w:spacing w:after="60"/>
      </w:pPr>
      <w:r>
        <w:rPr>
          <w:rFonts w:ascii="Arial" w:cs="Arial" w:eastAsia="Arial" w:hAnsi="Arial"/>
          <w:sz w:val="20"/>
          <w:szCs w:val="20"/>
        </w:rPr>
        <w:t xml:space="preserve">NDE: All butt welds in pressure piping ≥ DN50 to have minimum 20% RT (ASME B31.3 Normal Fluid Category); 100% RT for high-temperature (&gt;300°C) and high-pressure (&gt;80 barg) lines; vendor to specify and confirm in ITP</w:t>
      </w:r>
    </w:p>
    <w:p>
      <w:pPr>
        <w:spacing w:after="160"/>
      </w:pPr>
      <w:r>
        <w:t xml:space="preserve"/>
      </w:r>
    </w:p>
    <w:p>
      <w:pPr>
        <w:pStyle w:val="Heading2"/>
        <w:spacing w:after="120" w:before="240"/>
      </w:pPr>
      <w:r>
        <w:rPr>
          <w:rFonts w:ascii="Arial" w:cs="Arial" w:eastAsia="Arial" w:hAnsi="Arial"/>
          <w:b/>
          <w:bCs/>
          <w:color w:val="2E6DA4"/>
          <w:sz w:val="24"/>
          <w:szCs w:val="24"/>
        </w:rPr>
        <w:t xml:space="preserve">3.12 Insulation and Heat Tracing</w:t>
      </w:r>
    </w:p>
    <w:p>
      <w:pPr>
        <w:pStyle w:val="ListParagraph"/>
        <w:numPr>
          <w:ilvl w:val="0"/>
          <w:numId w:val="2"/>
        </w:numPr>
        <w:spacing w:after="60"/>
      </w:pPr>
      <w:r>
        <w:rPr>
          <w:rFonts w:ascii="Arial" w:cs="Arial" w:eastAsia="Arial" w:hAnsi="Arial"/>
          <w:sz w:val="20"/>
          <w:szCs w:val="20"/>
        </w:rPr>
        <w:t xml:space="preserve">Insulation: All vessels and piping at operating temperature &gt; 200°C (regeneration gas train) to be insulated with 100 mm calcium silicate block (density 220 kg/m³) + aluminum cladding (0.9 mm stucco embossed). Vapor barrier where T &lt; 0°C.</w:t>
      </w:r>
    </w:p>
    <w:p>
      <w:pPr>
        <w:pStyle w:val="ListParagraph"/>
        <w:numPr>
          <w:ilvl w:val="0"/>
          <w:numId w:val="2"/>
        </w:numPr>
        <w:spacing w:after="60"/>
      </w:pPr>
      <w:r>
        <w:rPr>
          <w:rFonts w:ascii="Arial" w:cs="Arial" w:eastAsia="Arial" w:hAnsi="Arial"/>
          <w:sz w:val="20"/>
          <w:szCs w:val="20"/>
        </w:rPr>
        <w:t xml:space="preserve">Heat Tracing: Electric self-regulating heat tracing for all gas-carrying lines, vessels, and instrument connections exposed to ambient temperatures below 0°C. Design winterization temperature: -10°C ambient. Tracing to be designed per IEEE 515 / EN 62395. Thermostat-controlled, ATEX-rated.</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4. QUALITY ASSURANCE, INSPECTION, AND TESTING</w:t>
      </w:r>
    </w:p>
    <w:p>
      <w:pPr>
        <w:pStyle w:val="Heading2"/>
        <w:spacing w:after="120" w:before="240"/>
      </w:pPr>
      <w:r>
        <w:rPr>
          <w:rFonts w:ascii="Arial" w:cs="Arial" w:eastAsia="Arial" w:hAnsi="Arial"/>
          <w:b/>
          <w:bCs/>
          <w:color w:val="2E6DA4"/>
          <w:sz w:val="24"/>
          <w:szCs w:val="24"/>
        </w:rPr>
        <w:t xml:space="preserve">4.1 Vendor QMS Requirements</w:t>
      </w:r>
    </w:p>
    <w:p>
      <w:pPr>
        <w:spacing w:after="120"/>
      </w:pPr>
      <w:r>
        <w:rPr>
          <w:rFonts w:ascii="Arial" w:cs="Arial" w:eastAsia="Arial" w:hAnsi="Arial"/>
          <w:sz w:val="20"/>
          <w:szCs w:val="20"/>
        </w:rPr>
        <w:t xml:space="preserve">Vendor shall maintain a Quality Management System certified to ISO 9001:2015 (or latest revision) by an accredited third-party certification body (e.g., DNV, Bureau Veritas, SGS, TUV). Proof of certification shall be included with the technical offer and shall remain valid throughout the period of manufacture.</w:t>
      </w:r>
    </w:p>
    <w:p>
      <w:pPr>
        <w:spacing w:after="120"/>
      </w:pPr>
      <w:r>
        <w:rPr>
          <w:rFonts w:ascii="Arial" w:cs="Arial" w:eastAsia="Arial" w:hAnsi="Arial"/>
          <w:sz w:val="20"/>
          <w:szCs w:val="20"/>
        </w:rPr>
        <w:t xml:space="preserve">Vendor shall prepare and submit a Project Quality Plan (PQP) within 4 weeks of Purchase Order award. The PQP shall describe quality controls applicable to engineering, procurement, fabrication, testing, and preservation activities for this specific contract.</w:t>
      </w:r>
    </w:p>
    <w:p>
      <w:pPr>
        <w:spacing w:after="160"/>
      </w:pPr>
      <w:r>
        <w:t xml:space="preserve"/>
      </w:r>
    </w:p>
    <w:p>
      <w:pPr>
        <w:pStyle w:val="Heading2"/>
        <w:spacing w:after="120" w:before="240"/>
      </w:pPr>
      <w:r>
        <w:rPr>
          <w:rFonts w:ascii="Arial" w:cs="Arial" w:eastAsia="Arial" w:hAnsi="Arial"/>
          <w:b/>
          <w:bCs/>
          <w:color w:val="2E6DA4"/>
          <w:sz w:val="24"/>
          <w:szCs w:val="24"/>
        </w:rPr>
        <w:t xml:space="preserve">4.2 Inspection and Test Plan (ITP)</w:t>
      </w:r>
    </w:p>
    <w:p>
      <w:pPr>
        <w:spacing w:after="120"/>
      </w:pPr>
      <w:r>
        <w:rPr>
          <w:rFonts w:ascii="Arial" w:cs="Arial" w:eastAsia="Arial" w:hAnsi="Arial"/>
          <w:sz w:val="20"/>
          <w:szCs w:val="20"/>
        </w:rPr>
        <w:t xml:space="preserve">Vendor shall prepare and submit a detailed ITP for NES review and approval within 6 weeks of PO award. The ITP shall identify all inspection, examination, and testing activities, and shall clearly designate the following hold/witness/review categories for each activity:</w:t>
      </w:r>
    </w:p>
    <w:p>
      <w:pPr>
        <w:pStyle w:val="ListParagraph"/>
        <w:numPr>
          <w:ilvl w:val="0"/>
          <w:numId w:val="2"/>
        </w:numPr>
        <w:spacing w:after="60"/>
      </w:pPr>
      <w:r>
        <w:rPr>
          <w:rFonts w:ascii="Arial" w:cs="Arial" w:eastAsia="Arial" w:hAnsi="Arial"/>
          <w:sz w:val="20"/>
          <w:szCs w:val="20"/>
        </w:rPr>
        <w:t xml:space="preserve">H – HOLD Point: Work shall not proceed without NES Inspector presence and written authorization. Examples: Hydrostatic test, FAT completion.</w:t>
      </w:r>
    </w:p>
    <w:p>
      <w:pPr>
        <w:pStyle w:val="ListParagraph"/>
        <w:numPr>
          <w:ilvl w:val="0"/>
          <w:numId w:val="2"/>
        </w:numPr>
        <w:spacing w:after="60"/>
      </w:pPr>
      <w:r>
        <w:rPr>
          <w:rFonts w:ascii="Arial" w:cs="Arial" w:eastAsia="Arial" w:hAnsi="Arial"/>
          <w:sz w:val="20"/>
          <w:szCs w:val="20"/>
        </w:rPr>
        <w:t xml:space="preserve">W – WITNESS Point: NES Inspector to be notified; work may proceed only if Inspector fails to attend within 5 business days of notification. Examples: NDT examination, weld map review.</w:t>
      </w:r>
    </w:p>
    <w:p>
      <w:pPr>
        <w:pStyle w:val="ListParagraph"/>
        <w:numPr>
          <w:ilvl w:val="0"/>
          <w:numId w:val="2"/>
        </w:numPr>
        <w:spacing w:after="60"/>
      </w:pPr>
      <w:r>
        <w:rPr>
          <w:rFonts w:ascii="Arial" w:cs="Arial" w:eastAsia="Arial" w:hAnsi="Arial"/>
          <w:sz w:val="20"/>
          <w:szCs w:val="20"/>
        </w:rPr>
        <w:t xml:space="preserve">R – REVIEW Point: NES Inspector reviews documentation but physical presence not mandatory. Examples: Material certification review, dimensional check reports.</w:t>
      </w:r>
    </w:p>
    <w:p>
      <w:pPr>
        <w:pStyle w:val="ListParagraph"/>
        <w:numPr>
          <w:ilvl w:val="0"/>
          <w:numId w:val="2"/>
        </w:numPr>
        <w:spacing w:after="60"/>
      </w:pPr>
      <w:r>
        <w:rPr>
          <w:rFonts w:ascii="Arial" w:cs="Arial" w:eastAsia="Arial" w:hAnsi="Arial"/>
          <w:sz w:val="20"/>
          <w:szCs w:val="20"/>
        </w:rPr>
        <w:t xml:space="preserve">I – INFORMATION Point: For information only; no NES action required.</w:t>
      </w:r>
    </w:p>
    <w:p>
      <w:pPr>
        <w:spacing w:after="160"/>
      </w:pPr>
      <w:r>
        <w:t xml:space="preserve"/>
      </w:r>
    </w:p>
    <w:p>
      <w:pPr>
        <w:pStyle w:val="Heading2"/>
        <w:spacing w:after="120" w:before="240"/>
      </w:pPr>
      <w:r>
        <w:rPr>
          <w:rFonts w:ascii="Arial" w:cs="Arial" w:eastAsia="Arial" w:hAnsi="Arial"/>
          <w:b/>
          <w:bCs/>
          <w:color w:val="2E6DA4"/>
          <w:sz w:val="24"/>
          <w:szCs w:val="24"/>
        </w:rPr>
        <w:t xml:space="preserve">4.3 Material Traceability</w:t>
      </w:r>
    </w:p>
    <w:p>
      <w:pPr>
        <w:pStyle w:val="ListParagraph"/>
        <w:numPr>
          <w:ilvl w:val="0"/>
          <w:numId w:val="2"/>
        </w:numPr>
        <w:spacing w:after="60"/>
      </w:pPr>
      <w:r>
        <w:rPr>
          <w:rFonts w:ascii="Arial" w:cs="Arial" w:eastAsia="Arial" w:hAnsi="Arial"/>
          <w:sz w:val="20"/>
          <w:szCs w:val="20"/>
        </w:rPr>
        <w:t xml:space="preserve">All pressure-containing parts shall be traceable to EN 10204 Type 3.1 Inspection Certificates (Material Test Reports – MTRs). 3.2 certificates may be required for critical items at NES discretion.</w:t>
      </w:r>
    </w:p>
    <w:p>
      <w:pPr>
        <w:pStyle w:val="ListParagraph"/>
        <w:numPr>
          <w:ilvl w:val="0"/>
          <w:numId w:val="2"/>
        </w:numPr>
        <w:spacing w:after="60"/>
      </w:pPr>
      <w:r>
        <w:rPr>
          <w:rFonts w:ascii="Arial" w:cs="Arial" w:eastAsia="Arial" w:hAnsi="Arial"/>
          <w:sz w:val="20"/>
          <w:szCs w:val="20"/>
        </w:rPr>
        <w:t xml:space="preserve">Heat numbers shall be stamped on all pressure parts. Weld maps shall correlate weld seams to WPS, welder qualification, and NDE records.</w:t>
      </w:r>
    </w:p>
    <w:p>
      <w:pPr>
        <w:pStyle w:val="ListParagraph"/>
        <w:numPr>
          <w:ilvl w:val="0"/>
          <w:numId w:val="2"/>
        </w:numPr>
        <w:spacing w:after="60"/>
      </w:pPr>
      <w:r>
        <w:rPr>
          <w:rFonts w:ascii="Arial" w:cs="Arial" w:eastAsia="Arial" w:hAnsi="Arial"/>
          <w:sz w:val="20"/>
          <w:szCs w:val="20"/>
        </w:rPr>
        <w:t xml:space="preserve">Carbon equivalency (Pcm or IIW CE) to be reported for all structural and pressure-containing carbon steel. Material substitution requires NES written approval.</w:t>
      </w:r>
    </w:p>
    <w:p>
      <w:pPr>
        <w:spacing w:after="160"/>
      </w:pPr>
      <w:r>
        <w:t xml:space="preserve"/>
      </w:r>
    </w:p>
    <w:p>
      <w:pPr>
        <w:pStyle w:val="Heading2"/>
        <w:spacing w:after="120" w:before="240"/>
      </w:pPr>
      <w:r>
        <w:rPr>
          <w:rFonts w:ascii="Arial" w:cs="Arial" w:eastAsia="Arial" w:hAnsi="Arial"/>
          <w:b/>
          <w:bCs/>
          <w:color w:val="2E6DA4"/>
          <w:sz w:val="24"/>
          <w:szCs w:val="24"/>
        </w:rPr>
        <w:t xml:space="preserve">4.4 Non-Destructive Examination (NDE)</w:t>
      </w:r>
    </w:p>
    <w:p>
      <w:pPr>
        <w:pStyle w:val="ListParagraph"/>
        <w:numPr>
          <w:ilvl w:val="0"/>
          <w:numId w:val="2"/>
        </w:numPr>
        <w:spacing w:after="60"/>
      </w:pPr>
      <w:r>
        <w:rPr>
          <w:rFonts w:ascii="Arial" w:cs="Arial" w:eastAsia="Arial" w:hAnsi="Arial"/>
          <w:sz w:val="20"/>
          <w:szCs w:val="20"/>
        </w:rPr>
        <w:t xml:space="preserve">All pressure vessel shell and head butt welds: 100% RT (radiographic testing) per ASME VIII Div.1</w:t>
      </w:r>
    </w:p>
    <w:p>
      <w:pPr>
        <w:pStyle w:val="ListParagraph"/>
        <w:numPr>
          <w:ilvl w:val="0"/>
          <w:numId w:val="2"/>
        </w:numPr>
        <w:spacing w:after="60"/>
      </w:pPr>
      <w:r>
        <w:rPr>
          <w:rFonts w:ascii="Arial" w:cs="Arial" w:eastAsia="Arial" w:hAnsi="Arial"/>
          <w:sz w:val="20"/>
          <w:szCs w:val="20"/>
        </w:rPr>
        <w:t xml:space="preserve">Nozzle welds ≥ DN50 to vessel shell: 100% UT (phased array PAUT preferred) or RT</w:t>
      </w:r>
    </w:p>
    <w:p>
      <w:pPr>
        <w:pStyle w:val="ListParagraph"/>
        <w:numPr>
          <w:ilvl w:val="0"/>
          <w:numId w:val="2"/>
        </w:numPr>
        <w:spacing w:after="60"/>
      </w:pPr>
      <w:r>
        <w:rPr>
          <w:rFonts w:ascii="Arial" w:cs="Arial" w:eastAsia="Arial" w:hAnsi="Arial"/>
          <w:sz w:val="20"/>
          <w:szCs w:val="20"/>
        </w:rPr>
        <w:t xml:space="preserve">Fillet welds ≥ 8 mm leg (non-pressure): MT (magnetic particle testing) or PT (liquid penetrant testing) per ASME V</w:t>
      </w:r>
    </w:p>
    <w:p>
      <w:pPr>
        <w:pStyle w:val="ListParagraph"/>
        <w:numPr>
          <w:ilvl w:val="0"/>
          <w:numId w:val="2"/>
        </w:numPr>
        <w:spacing w:after="60"/>
      </w:pPr>
      <w:r>
        <w:rPr>
          <w:rFonts w:ascii="Arial" w:cs="Arial" w:eastAsia="Arial" w:hAnsi="Arial"/>
          <w:sz w:val="20"/>
          <w:szCs w:val="20"/>
        </w:rPr>
        <w:t xml:space="preserve">PWHT required per UCS-56 for vessel wall thickness &gt; 38 mm or where design temperature &lt; -20°C. PWHT to be performed in calibrated furnace; time-temperature charts to be submitted as part of MDR.</w:t>
      </w:r>
    </w:p>
    <w:p>
      <w:pPr>
        <w:pStyle w:val="ListParagraph"/>
        <w:numPr>
          <w:ilvl w:val="0"/>
          <w:numId w:val="2"/>
        </w:numPr>
        <w:spacing w:after="60"/>
      </w:pPr>
      <w:r>
        <w:rPr>
          <w:rFonts w:ascii="Arial" w:cs="Arial" w:eastAsia="Arial" w:hAnsi="Arial"/>
          <w:sz w:val="20"/>
          <w:szCs w:val="20"/>
        </w:rPr>
        <w:t xml:space="preserve">NDE operators: ASNT Level II minimum for RT, UT, MT, PT. Records to be maintained and submitted in MDR.</w:t>
      </w:r>
    </w:p>
    <w:p>
      <w:pPr>
        <w:spacing w:after="160"/>
      </w:pPr>
      <w:r>
        <w:t xml:space="preserve"/>
      </w:r>
    </w:p>
    <w:p>
      <w:pPr>
        <w:pStyle w:val="Heading2"/>
        <w:spacing w:after="120" w:before="240"/>
      </w:pPr>
      <w:r>
        <w:rPr>
          <w:rFonts w:ascii="Arial" w:cs="Arial" w:eastAsia="Arial" w:hAnsi="Arial"/>
          <w:b/>
          <w:bCs/>
          <w:color w:val="2E6DA4"/>
          <w:sz w:val="24"/>
          <w:szCs w:val="24"/>
        </w:rPr>
        <w:t xml:space="preserve">4.5 Pressure Testing</w:t>
      </w:r>
    </w:p>
    <w:p>
      <w:pPr>
        <w:pStyle w:val="ListParagraph"/>
        <w:numPr>
          <w:ilvl w:val="0"/>
          <w:numId w:val="2"/>
        </w:numPr>
        <w:spacing w:after="60"/>
      </w:pPr>
      <w:r>
        <w:rPr>
          <w:rFonts w:ascii="Arial" w:cs="Arial" w:eastAsia="Arial" w:hAnsi="Arial"/>
          <w:sz w:val="20"/>
          <w:szCs w:val="20"/>
        </w:rPr>
        <w:t xml:space="preserve">All pressure vessels: Hydrostatic test at 1.5 x MAWP, held for minimum 30 minutes. Water to be clean, potable quality; chloride content &lt; 50 ppm for stainless steel surfaces.</w:t>
      </w:r>
    </w:p>
    <w:p>
      <w:pPr>
        <w:pStyle w:val="ListParagraph"/>
        <w:numPr>
          <w:ilvl w:val="0"/>
          <w:numId w:val="2"/>
        </w:numPr>
        <w:spacing w:after="60"/>
      </w:pPr>
      <w:r>
        <w:rPr>
          <w:rFonts w:ascii="Arial" w:cs="Arial" w:eastAsia="Arial" w:hAnsi="Arial"/>
          <w:sz w:val="20"/>
          <w:szCs w:val="20"/>
        </w:rPr>
        <w:t xml:space="preserve">Piping systems: Hydrostatic test at 1.5 x design pressure per ASME B31.3. Pneumatic testing with NES written approval only.</w:t>
      </w:r>
    </w:p>
    <w:p>
      <w:pPr>
        <w:pStyle w:val="ListParagraph"/>
        <w:numPr>
          <w:ilvl w:val="0"/>
          <w:numId w:val="2"/>
        </w:numPr>
        <w:spacing w:after="60"/>
      </w:pPr>
      <w:r>
        <w:rPr>
          <w:rFonts w:ascii="Arial" w:cs="Arial" w:eastAsia="Arial" w:hAnsi="Arial"/>
          <w:sz w:val="20"/>
          <w:szCs w:val="20"/>
        </w:rPr>
        <w:t xml:space="preserve">Completed skid (assembled): Leak test at design pressure using nitrogen (pneumatic) – 100% external soap solution bubble test of all flanged joints and connections. FAT to include this test.</w:t>
      </w:r>
    </w:p>
    <w:p>
      <w:pPr>
        <w:spacing w:after="160"/>
      </w:pPr>
      <w:r>
        <w:t xml:space="preserve"/>
      </w:r>
    </w:p>
    <w:p>
      <w:pPr>
        <w:pStyle w:val="Heading2"/>
        <w:spacing w:after="120" w:before="240"/>
      </w:pPr>
      <w:r>
        <w:rPr>
          <w:rFonts w:ascii="Arial" w:cs="Arial" w:eastAsia="Arial" w:hAnsi="Arial"/>
          <w:b/>
          <w:bCs/>
          <w:color w:val="2E6DA4"/>
          <w:sz w:val="24"/>
          <w:szCs w:val="24"/>
        </w:rPr>
        <w:t xml:space="preserve">4.6 Factory Acceptance Test (FAT)</w:t>
      </w:r>
    </w:p>
    <w:p>
      <w:pPr>
        <w:spacing w:after="120"/>
      </w:pPr>
      <w:r>
        <w:rPr>
          <w:rFonts w:ascii="Arial" w:cs="Arial" w:eastAsia="Arial" w:hAnsi="Arial"/>
          <w:sz w:val="20"/>
          <w:szCs w:val="20"/>
        </w:rPr>
        <w:t xml:space="preserve">The FAT shall be conducted at the Vendor's fabrication facility with minimum 5 business days' notice to NES. NES (and Client if requested) shall witness the FAT. FAT shall include as a minimum:</w:t>
      </w:r>
    </w:p>
    <w:p>
      <w:pPr>
        <w:pStyle w:val="ListParagraph"/>
        <w:numPr>
          <w:ilvl w:val="0"/>
          <w:numId w:val="3"/>
        </w:numPr>
        <w:spacing w:after="80"/>
      </w:pPr>
      <w:r>
        <w:rPr>
          <w:rFonts w:ascii="Arial" w:cs="Arial" w:eastAsia="Arial" w:hAnsi="Arial"/>
          <w:sz w:val="20"/>
          <w:szCs w:val="20"/>
        </w:rPr>
        <w:t xml:space="preserve">Dimensional and mechanical completion inspection – all equipment, skid, piping, instruments checked against final IFC drawings and datasheets</w:t>
      </w:r>
    </w:p>
    <w:p>
      <w:pPr>
        <w:pStyle w:val="ListParagraph"/>
        <w:numPr>
          <w:ilvl w:val="0"/>
          <w:numId w:val="3"/>
        </w:numPr>
        <w:spacing w:after="80"/>
      </w:pPr>
      <w:r>
        <w:rPr>
          <w:rFonts w:ascii="Arial" w:cs="Arial" w:eastAsia="Arial" w:hAnsi="Arial"/>
          <w:sz w:val="20"/>
          <w:szCs w:val="20"/>
        </w:rPr>
        <w:t xml:space="preserve">Visual inspection of all welds, coatings, insulation, and tracing</w:t>
      </w:r>
    </w:p>
    <w:p>
      <w:pPr>
        <w:pStyle w:val="ListParagraph"/>
        <w:numPr>
          <w:ilvl w:val="0"/>
          <w:numId w:val="3"/>
        </w:numPr>
        <w:spacing w:after="80"/>
      </w:pPr>
      <w:r>
        <w:rPr>
          <w:rFonts w:ascii="Arial" w:cs="Arial" w:eastAsia="Arial" w:hAnsi="Arial"/>
          <w:sz w:val="20"/>
          <w:szCs w:val="20"/>
        </w:rPr>
        <w:t xml:space="preserve">Verification of all instrument tags, ranges, and calibration certificates</w:t>
      </w:r>
    </w:p>
    <w:p>
      <w:pPr>
        <w:pStyle w:val="ListParagraph"/>
        <w:numPr>
          <w:ilvl w:val="0"/>
          <w:numId w:val="3"/>
        </w:numPr>
        <w:spacing w:after="80"/>
      </w:pPr>
      <w:r>
        <w:rPr>
          <w:rFonts w:ascii="Arial" w:cs="Arial" w:eastAsia="Arial" w:hAnsi="Arial"/>
          <w:sz w:val="20"/>
          <w:szCs w:val="20"/>
        </w:rPr>
        <w:t xml:space="preserve">Electrical continuity, insulation resistance, and earthing verification</w:t>
      </w:r>
    </w:p>
    <w:p>
      <w:pPr>
        <w:pStyle w:val="ListParagraph"/>
        <w:numPr>
          <w:ilvl w:val="0"/>
          <w:numId w:val="3"/>
        </w:numPr>
        <w:spacing w:after="80"/>
      </w:pPr>
      <w:r>
        <w:rPr>
          <w:rFonts w:ascii="Arial" w:cs="Arial" w:eastAsia="Arial" w:hAnsi="Arial"/>
          <w:sz w:val="20"/>
          <w:szCs w:val="20"/>
        </w:rPr>
        <w:t xml:space="preserve">PLC software functional test: cycle sequence simulation, alarm and trip testing (loop checks), HMI functionality</w:t>
      </w:r>
    </w:p>
    <w:p>
      <w:pPr>
        <w:pStyle w:val="ListParagraph"/>
        <w:numPr>
          <w:ilvl w:val="0"/>
          <w:numId w:val="3"/>
        </w:numPr>
        <w:spacing w:after="80"/>
      </w:pPr>
      <w:r>
        <w:rPr>
          <w:rFonts w:ascii="Arial" w:cs="Arial" w:eastAsia="Arial" w:hAnsi="Arial"/>
          <w:sz w:val="20"/>
          <w:szCs w:val="20"/>
        </w:rPr>
        <w:t xml:space="preserve">Actuated valve function test (full stroke, fail-safe mode, position feedback)</w:t>
      </w:r>
    </w:p>
    <w:p>
      <w:pPr>
        <w:pStyle w:val="ListParagraph"/>
        <w:numPr>
          <w:ilvl w:val="0"/>
          <w:numId w:val="3"/>
        </w:numPr>
        <w:spacing w:after="80"/>
      </w:pPr>
      <w:r>
        <w:rPr>
          <w:rFonts w:ascii="Arial" w:cs="Arial" w:eastAsia="Arial" w:hAnsi="Arial"/>
          <w:sz w:val="20"/>
          <w:szCs w:val="20"/>
        </w:rPr>
        <w:t xml:space="preserve">Leak test (nitrogen at design pressure, all flanged connections and instrument connections soap-bubble checked)</w:t>
      </w:r>
    </w:p>
    <w:p>
      <w:pPr>
        <w:pStyle w:val="ListParagraph"/>
        <w:numPr>
          <w:ilvl w:val="0"/>
          <w:numId w:val="3"/>
        </w:numPr>
        <w:spacing w:after="80"/>
      </w:pPr>
      <w:r>
        <w:rPr>
          <w:rFonts w:ascii="Arial" w:cs="Arial" w:eastAsia="Arial" w:hAnsi="Arial"/>
          <w:sz w:val="20"/>
          <w:szCs w:val="20"/>
        </w:rPr>
        <w:t xml:space="preserve">Control valve positioner calibration and function check</w:t>
      </w:r>
    </w:p>
    <w:p>
      <w:pPr>
        <w:pStyle w:val="ListParagraph"/>
        <w:numPr>
          <w:ilvl w:val="0"/>
          <w:numId w:val="3"/>
        </w:numPr>
        <w:spacing w:after="80"/>
      </w:pPr>
      <w:r>
        <w:rPr>
          <w:rFonts w:ascii="Arial" w:cs="Arial" w:eastAsia="Arial" w:hAnsi="Arial"/>
          <w:sz w:val="20"/>
          <w:szCs w:val="20"/>
        </w:rPr>
        <w:t xml:space="preserve">PSV set pressure verification (each PSV bench-tested by approved workshop, certificates provided)</w:t>
      </w:r>
    </w:p>
    <w:p>
      <w:pPr>
        <w:pStyle w:val="ListParagraph"/>
        <w:numPr>
          <w:ilvl w:val="0"/>
          <w:numId w:val="3"/>
        </w:numPr>
        <w:spacing w:after="80"/>
      </w:pPr>
      <w:r>
        <w:rPr>
          <w:rFonts w:ascii="Arial" w:cs="Arial" w:eastAsia="Arial" w:hAnsi="Arial"/>
          <w:sz w:val="20"/>
          <w:szCs w:val="20"/>
        </w:rPr>
        <w:t xml:space="preserve">Moisture analyser function check with calibrated reference gas</w:t>
      </w:r>
    </w:p>
    <w:p>
      <w:pPr>
        <w:pStyle w:val="ListParagraph"/>
        <w:numPr>
          <w:ilvl w:val="0"/>
          <w:numId w:val="3"/>
        </w:numPr>
        <w:spacing w:after="80"/>
      </w:pPr>
      <w:r>
        <w:rPr>
          <w:rFonts w:ascii="Arial" w:cs="Arial" w:eastAsia="Arial" w:hAnsi="Arial"/>
          <w:sz w:val="20"/>
          <w:szCs w:val="20"/>
        </w:rPr>
        <w:t xml:space="preserve">Review of complete MDR documentation package – outstanding items to be listed on Punch List A/B/C</w:t>
      </w:r>
    </w:p>
    <w:p>
      <w:pPr>
        <w:pStyle w:val="ListParagraph"/>
        <w:numPr>
          <w:ilvl w:val="0"/>
          <w:numId w:val="3"/>
        </w:numPr>
        <w:spacing w:after="80"/>
      </w:pPr>
      <w:r>
        <w:rPr>
          <w:rFonts w:ascii="Arial" w:cs="Arial" w:eastAsia="Arial" w:hAnsi="Arial"/>
          <w:sz w:val="20"/>
          <w:szCs w:val="20"/>
        </w:rPr>
        <w:t xml:space="preserve">Factory performance test (if specified in contract – gas flow simulation using compressed air or nitrogen to verify pressure drop and cycling behavior)</w:t>
      </w:r>
    </w:p>
    <w:p>
      <w:pPr>
        <w:spacing w:after="120"/>
      </w:pPr>
      <w:r>
        <w:rPr>
          <w:rFonts w:ascii="Arial" w:cs="Arial" w:eastAsia="Arial" w:hAnsi="Arial"/>
          <w:sz w:val="20"/>
          <w:szCs w:val="20"/>
        </w:rPr>
        <w:t xml:space="preserve">A signed FAT completion certificate shall be issued by NES Inspector for release of the equipment for preservation and shipping. Category A punch list items (safety-critical) must be resolved before FAT sign-off. Category B items shall be closed before shipment. Category C items before mechanical completion on site.</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5. DOCUMENTATION AND DATA REQUIREMENTS</w:t>
      </w:r>
    </w:p>
    <w:p>
      <w:pPr>
        <w:pStyle w:val="Heading2"/>
        <w:spacing w:after="120" w:before="240"/>
      </w:pPr>
      <w:r>
        <w:rPr>
          <w:rFonts w:ascii="Arial" w:cs="Arial" w:eastAsia="Arial" w:hAnsi="Arial"/>
          <w:b/>
          <w:bCs/>
          <w:color w:val="2E6DA4"/>
          <w:sz w:val="24"/>
          <w:szCs w:val="24"/>
        </w:rPr>
        <w:t xml:space="preserve">5.1 General Documentation Requirements</w:t>
      </w:r>
    </w:p>
    <w:p>
      <w:pPr>
        <w:spacing w:after="120"/>
      </w:pPr>
      <w:r>
        <w:rPr>
          <w:rFonts w:ascii="Arial" w:cs="Arial" w:eastAsia="Arial" w:hAnsi="Arial"/>
          <w:sz w:val="20"/>
          <w:szCs w:val="20"/>
        </w:rPr>
        <w:t xml:space="preserve">Vendor shall supply a complete Manufacturer's Data Record (MDR) package in electronic format (PDF, AutoCAD .DWG for all drawings, and MS Excel for data sheets and registers). All documents shall be in English. Document revision control per Vendor's Document Register (VDR) agreed with NES at kick-off meeting.</w:t>
      </w:r>
    </w:p>
    <w:p>
      <w:pPr>
        <w:spacing w:after="120"/>
      </w:pPr>
      <w:r>
        <w:rPr>
          <w:rFonts w:ascii="Arial" w:cs="Arial" w:eastAsia="Arial" w:hAnsi="Arial"/>
          <w:sz w:val="20"/>
          <w:szCs w:val="20"/>
        </w:rPr>
        <w:t xml:space="preserve">The table below lists the minimum required documents. Purpose codes: AFR = Approved for Review; AFC = Approved for Construction; AFI = Approved for Information (as-built).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1560"/>
        <w:gridCol w:w="1300"/>
      </w:tblGrid>
      <w:tr>
        <w:tc>
          <w:tcPr>
            <w:tcW w:type="dxa" w:w="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Description</w:t>
            </w:r>
          </w:p>
        </w:tc>
        <w:tc>
          <w:tcPr>
            <w:tcW w:type="dxa" w:w="1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15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13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Document Register (VDR)</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With order</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Quality Plan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HAZOP Study Action Response Plan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AFI</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Process Flow Diagram (PFD) with heat &amp; mass balance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&amp; Instrumentation Diagram (P&amp;ID) – Adsorber system</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P&amp;ID – Regeneration gas heater &amp; cooler system</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P&amp;ID – Inlet separator / coalescing filter</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General Arrangement Drawing (GA) – Overall skid layout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 Drawing – Adsorber Vessels (plan, elevation, sections)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 Drawing – Regeneration Heater</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11</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Equipment List (all items on skid)</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12</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Line List (all piping lines, P&amp;ID reference, class, tag)</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13</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Index (all instruments, tags, ranges, set-points)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14</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Cause &amp; Effect Diagram / Safety Functions Matrix</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Assessment Report (per IEC 61511)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Pressure Vessel Data Sheet &amp; Design Calculations (each vessel)</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17</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Fabrication Drawings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18</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Nozzle Load Summary (all vessels and major equipment)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19</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Stress Analysis Report (critical lines ≥ DN50 high temp)</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20</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Isometric Drawings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AFI</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21</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Data Sheets (all instruments)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22</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Valve Data Sheets (control, safety, switching valves)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Single Line Diagram (SLD)</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24</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Motor List &amp; Load List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25</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Area Classification Drawing (EX zoning)</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26</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 ESD Architecture Diagram and I/O List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27</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Logic Description (FDS) and Control Narrative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28</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Alarm &amp; Trip Setting List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29</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Inspection &amp; Test Plan (ITP)</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XLS+PDF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30</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WPS / PQR (Welding Procedure &amp; Qualification Records)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31</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NDE Procedures &amp; Extent (RT, UT, MT, PT, PWHT)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32</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Painting &amp; Coating Procedure (per project spec)</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33</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Insulation &amp; Heat Tracing Specification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34</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Weight Report (dry, operating, hydro test, transport)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AFI</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35</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Lifting &amp; Rigging Plan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36</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Transport &amp; Packaging Procedure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AFI</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37</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Procedure &amp; Test Reports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AFC/AFR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+24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38</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Preservation Procedure (short/long term)</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39</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Operations &amp; Maintenance Manual (O&amp;M)</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AFI</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+28 wks</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w:t>
            </w:r>
          </w:p>
        </w:tc>
      </w:tr>
      <w:tr>
        <w:tc>
          <w:tcPr>
            <w:tcW w:type="dxa" w:w="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40</w:t>
            </w:r>
          </w:p>
        </w:tc>
        <w:tc>
          <w:tcPr>
            <w:tcW w:type="dxa" w:w="4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As-Built Drawings and Documentation (MDR)</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AFI</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At shipment</w:t>
            </w:r>
          </w:p>
        </w:tc>
        <w:tc>
          <w:tcPr>
            <w:tcW w:type="dxa" w:w="13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PDF+DWG</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5.2 Drawing and Document Format Requirements</w:t>
      </w:r>
    </w:p>
    <w:p>
      <w:pPr>
        <w:pStyle w:val="ListParagraph"/>
        <w:numPr>
          <w:ilvl w:val="0"/>
          <w:numId w:val="2"/>
        </w:numPr>
        <w:spacing w:after="60"/>
      </w:pPr>
      <w:r>
        <w:rPr>
          <w:rFonts w:ascii="Arial" w:cs="Arial" w:eastAsia="Arial" w:hAnsi="Arial"/>
          <w:sz w:val="20"/>
          <w:szCs w:val="20"/>
        </w:rPr>
        <w:t xml:space="preserve">Drawing format: ISO A1 preferred for GAs; A3 acceptable for datasheets and P&amp;IDs. Title block to include: Document number, revision, date, discipline, project number, Vendor's name.</w:t>
      </w:r>
    </w:p>
    <w:p>
      <w:pPr>
        <w:pStyle w:val="ListParagraph"/>
        <w:numPr>
          <w:ilvl w:val="0"/>
          <w:numId w:val="2"/>
        </w:numPr>
        <w:spacing w:after="60"/>
      </w:pPr>
      <w:r>
        <w:rPr>
          <w:rFonts w:ascii="Arial" w:cs="Arial" w:eastAsia="Arial" w:hAnsi="Arial"/>
          <w:sz w:val="20"/>
          <w:szCs w:val="20"/>
        </w:rPr>
        <w:t xml:space="preserve">CAD files: AutoCAD 2020 or later (.DWG) for all engineering drawings. P&amp;IDs to also be provided in Visio (.VSDX) or equivalent.</w:t>
      </w:r>
    </w:p>
    <w:p>
      <w:pPr>
        <w:pStyle w:val="ListParagraph"/>
        <w:numPr>
          <w:ilvl w:val="0"/>
          <w:numId w:val="2"/>
        </w:numPr>
        <w:spacing w:after="60"/>
      </w:pPr>
      <w:r>
        <w:rPr>
          <w:rFonts w:ascii="Arial" w:cs="Arial" w:eastAsia="Arial" w:hAnsi="Arial"/>
          <w:sz w:val="20"/>
          <w:szCs w:val="20"/>
        </w:rPr>
        <w:t xml:space="preserve">Electronic format: All PDFs to be searchable (text-layer). Data sheets in editable Excel (.XLSX).</w:t>
      </w:r>
    </w:p>
    <w:p>
      <w:pPr>
        <w:pStyle w:val="ListParagraph"/>
        <w:numPr>
          <w:ilvl w:val="0"/>
          <w:numId w:val="2"/>
        </w:numPr>
        <w:spacing w:after="60"/>
      </w:pPr>
      <w:r>
        <w:rPr>
          <w:rFonts w:ascii="Arial" w:cs="Arial" w:eastAsia="Arial" w:hAnsi="Arial"/>
          <w:sz w:val="20"/>
          <w:szCs w:val="20"/>
        </w:rPr>
        <w:t xml:space="preserve">Drawing numbering: To follow NES numbering convention (to be provided at PO stage).</w:t>
      </w:r>
    </w:p>
    <w:p>
      <w:pPr>
        <w:pStyle w:val="ListParagraph"/>
        <w:numPr>
          <w:ilvl w:val="0"/>
          <w:numId w:val="2"/>
        </w:numPr>
        <w:spacing w:after="60"/>
      </w:pPr>
      <w:r>
        <w:rPr>
          <w:rFonts w:ascii="Arial" w:cs="Arial" w:eastAsia="Arial" w:hAnsi="Arial"/>
          <w:sz w:val="20"/>
          <w:szCs w:val="20"/>
        </w:rPr>
        <w:t xml:space="preserve">Language: All documents in English. Italian version of O&amp;M Manual may be provided in addition if available.</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6. DETAILED SCOPE OF SUPPLY</w:t>
      </w:r>
    </w:p>
    <w:p>
      <w:pPr>
        <w:spacing w:after="120"/>
      </w:pPr>
      <w:r>
        <w:rPr>
          <w:rFonts w:ascii="Arial" w:cs="Arial" w:eastAsia="Arial" w:hAnsi="Arial"/>
          <w:sz w:val="20"/>
          <w:szCs w:val="20"/>
        </w:rPr>
        <w:t xml:space="preserve">The following table defines the complete scope of supply included in or excluded from the Vendor's base offer. Vendor shall confirm each item with a clear YES / NO / ALTERNATIVE PROPOSED.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1650"/>
        <w:gridCol w:w="1650"/>
      </w:tblGrid>
      <w:tr>
        <w:tc>
          <w:tcPr>
            <w:tcW w:type="dxa" w:w="6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54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 Description</w:t>
            </w:r>
          </w:p>
        </w:tc>
        <w:tc>
          <w:tcPr>
            <w:tcW w:type="dxa" w:w="165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 Scope</w:t>
            </w:r>
          </w:p>
        </w:tc>
        <w:tc>
          <w:tcPr>
            <w:tcW w:type="dxa" w:w="165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INLET COALESCING FILTER / SEPARATOR</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2-phase, liquid level control, LG+LA</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MOLECULAR SIEVE ADSORBER VESSELS (2+1 or 3 vessel arrangement – Vendor to propose)</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VIII Div.1 or PED</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MOLECULAR SIEVE ADSORBENT (3A) – Initial Fill + 10% spare</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 be specified</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INLET / OUTLET GAS DISTRIBUTORS, SUPPORT SCREENS &amp; HOLD-DOWN SCREENS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 vendor std.</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REGENERATION GAS HEATER (Direct-fired or Indirect – Vendor to propose)</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With burner management &amp; flame supervision</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REGENERATION GAS COOLER (Air or Water-cooled – Vendor preference per site)</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 reach &lt;40°C before knockout drum</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REGENERATION GAS KNOCKOUT DRUM / WATER SEPARATOR</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With level control &amp; drain valve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INTERCONNECTING PIPING ON SKID (piping to ANSI/ASME B31.3)</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scope ends at skid BL flange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PROCESS VALVES, CONTROL VALVES, SWITCHING VALVES (motorized ball valves)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Full Bore, Class 900 minimum</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SAFETY / PRESSURE RELIEF VALVES – PSVs sized per API 520/521</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 SIL assessment if required</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INSTRUMENTATION: transmitters, indicators, flow meters, analyzers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1 rated minimum; HART protocol</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12</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PROCESS ANALYZER – MOISTURE ANALYZER at outlet</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Al₂O₃ capacitance type, with sample system</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13</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LOCAL CONTROL PANEL (LCP) WITH PLC AND HMI SCREEN</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Modbus TCP / PROFINET to plant DCS</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14</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JUNCTION BOXES, INSTRUMENT CABLING &amp; EARTHING WITHIN SKID</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Ex-e / Ex-d per ATEX Zone 1</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STRUCTURAL SKID FRAME (ASTM A36 or EN S275/S355), HOT-DIP GALVANIZED</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Lifting lugs, anchor bolt plan</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INSULATION (process vessels &amp; piping where T design ≥ 200°C or &lt; 0°C)</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Calcium silicate / mineral wool</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17</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PAINTING &amp; COATING PER PROJECT PAINTING SPEC (provided separately)</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Offshore-grade if applicable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18</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HEAT TRACING (electrical), TRACING ENGINEERING AND MATERIALS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Winterization for -10°C ambient</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19</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DOCUMENTATION PACKAGE (MDR) – see Doc. Requirements section</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per agreed IOM schedule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20</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FACTORY ACCEPTANCE TEST (FAT) – Functional &amp; Leak testing</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Witness by Client/EPC Inspector</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PERFORMANCE GUARANTEE TEST AT SITE (optional, TBD per contract)</w:t>
            </w:r>
          </w:p>
        </w:tc>
        <w:tc>
          <w:tcPr>
            <w:tcW w:type="dxa" w:w="165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TBD</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22</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COMMISSIONING SUPPORT (min. 5 days on-site – Lead Vendor Engineer)</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 be included in offer</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SPECIAL TOOLS, LIFTING FRAMES SPECIFIC TO EQUIPMENT</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One set per package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24</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LOOSE SUPPLY ITEMS: Specialty chemicals / initial charge consumables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3A mol. sieve initial charge only</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25</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TRAINING (Process &amp; Maintenance) – 2 days at vendor facility or on-site</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After FAT acceptance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26</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SPARES – Commissioning Spares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 be listed and priced separately</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27</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SPARES – 2-Year Operational Spares</w:t>
            </w:r>
          </w:p>
        </w:tc>
        <w:tc>
          <w:tcPr>
            <w:tcW w:type="dxa" w:w="1650"/>
            <w:gridSpan w:val="1"/>
            <w:tcBorders>
              <w:top w:val="single" w:color="C0CDD8" w:sz="1"/>
              <w:left w:val="single" w:color="C0CDD8" w:sz="1"/>
              <w:bottom w:val="single" w:color="C0CDD8" w:sz="1"/>
              <w:right w:val="single" w:color="C0CDD8"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YES</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Recommended list + pricing</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28</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CIVIL/FOUNDATION DESIGN BY VENDOR</w:t>
            </w:r>
          </w:p>
        </w:tc>
        <w:tc>
          <w:tcPr>
            <w:tcW w:type="dxa" w:w="165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NO</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supply loads</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29</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INSTALLATION (all), CIVIL WORKS, GROUTING</w:t>
            </w:r>
          </w:p>
        </w:tc>
        <w:tc>
          <w:tcPr>
            <w:tcW w:type="dxa" w:w="165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NO</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scope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30</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FIELD INSTRUMENTATION WIRING BEYOND SKID BL</w:t>
            </w:r>
          </w:p>
        </w:tc>
        <w:tc>
          <w:tcPr>
            <w:tcW w:type="dxa" w:w="1650"/>
            <w:gridSpan w:val="1"/>
            <w:tcBorders>
              <w:top w:val="single" w:color="C0CDD8" w:sz="1"/>
              <w:left w:val="single" w:color="C0CDD8" w:sz="1"/>
              <w:bottom w:val="single" w:color="C0CDD8" w:sz="1"/>
              <w:right w:val="single" w:color="C0CDD8" w:sz="1"/>
            </w:tcBorders>
            <w:shd w:fill="FFE5E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NO</w:t>
            </w:r>
          </w:p>
        </w:tc>
        <w:tc>
          <w:tcPr>
            <w:tcW w:type="dxa" w:w="165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EPC scope</w:t>
            </w:r>
          </w:p>
        </w:tc>
      </w:tr>
    </w:tbl>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7. APPLICABLE CODES AND STANDARDS</w:t>
      </w:r>
    </w:p>
    <w:p>
      <w:pPr>
        <w:spacing w:after="120"/>
      </w:pPr>
      <w:r>
        <w:rPr>
          <w:rFonts w:ascii="Arial" w:cs="Arial" w:eastAsia="Arial" w:hAnsi="Arial"/>
          <w:sz w:val="20"/>
          <w:szCs w:val="20"/>
        </w:rPr>
        <w:t xml:space="preserve">The following codes and standards form the minimum mandatory design basis. In the event of conflict between standards, the more stringent requirement shall apply. Vendor shall notify NES in writing of any conflict and propose a resolution for NES acceptance.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2700"/>
      </w:tblGrid>
      <w:tr>
        <w:tc>
          <w:tcPr>
            <w:tcW w:type="dxa" w:w="12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 Code</w:t>
            </w:r>
          </w:p>
        </w:tc>
        <w:tc>
          <w:tcPr>
            <w:tcW w:type="dxa" w:w="54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 Title</w:t>
            </w:r>
          </w:p>
        </w:tc>
        <w:tc>
          <w:tcPr>
            <w:tcW w:type="dxa" w:w="27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ASME VIII Div.1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Boiler &amp; Pressure Vessel Code – Design &amp; Fabrication of Pressure Vessels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pressure vessels, adsorber towers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ASME B31.3</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Process Piping Design Code</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in-skid process piping</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ASME B16.5 / B16.47</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Pipe Flanges and Flanged Fittings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flanged connections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12J</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Specification for Oil and Gas Separators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Inlet separator/coalescer design</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520 / 521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Sizing, Selection &amp; Installation of PSVs; Guide for Pressure-Relieving Systems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PSVs and relief system design</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526</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Flanged Steel Pressure Relief Valves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PSV specification</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6D / 608</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Pipeline Valves / Ball Valves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process ball valves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670</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Machinery Protection Systems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Vibration / temp monitoring on rotating equipment</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61511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Functional Safety – Safety Instrumented Systems (SIS) for Process Industry</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assessment and SIS design</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61508</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Functional Safety of E/E/PE Safety Systems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Component SIL rating</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60079 / ATEX Directive 2014/34/EU</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Explosive Atmospheres – Equipment Requirements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electrical equipment on skid</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61000 series</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Electromagnetic Compatibility</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instrumentation, drives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NACE MR0175 / ISO 15156</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Petroleum and natural gas industries – Materials for use in H₂S-containing environments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wetted metallic components (H₂S service)</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10204 Type 3.1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Metallic Products – Types of Inspection Documents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Material traceability for pressure parts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9001:2015</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Quality Management Systems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QMS requirement</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14001:2015</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Environmental Management Systems</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environmental compliance</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4126</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Safety Devices for Protection against Excessive Pressure</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PSV design (European alternative)</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13480</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Metallic Industrial Piping (EU alternative to B31.3)</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Acceptable piping alternative if justified</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OSHA 29 CFR 1910.119 / EU PED 2014/68/EU</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Process Safety Management / Pressure Equipment Directive</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Regulatory compliance</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60529</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Degrees of Protection provided by Enclosures (IP Code)</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 IP55 for outdoor instruments; IP65 for JBs</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IEEE C2</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National Electrical Safety Code (NESC)</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Earthing / bonding</w:t>
            </w:r>
          </w:p>
        </w:tc>
      </w:tr>
      <w:tr>
        <w:tc>
          <w:tcPr>
            <w:tcW w:type="dxa" w:w="1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EEMUA 191</w:t>
            </w:r>
          </w:p>
        </w:tc>
        <w:tc>
          <w:tcPr>
            <w:tcW w:type="dxa" w:w="54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Alarm Systems: A Guide to Design, Management and Procurement</w:t>
            </w:r>
          </w:p>
        </w:tc>
        <w:tc>
          <w:tcPr>
            <w:tcW w:type="dxa" w:w="27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Alarm management for LCP/HMI</w:t>
            </w:r>
          </w:p>
        </w:tc>
      </w:tr>
    </w:tbl>
    <w:p>
      <w:pPr>
        <w:spacing w:after="160"/>
      </w:pPr>
      <w:r>
        <w:t xml:space="preserve"/>
      </w:r>
    </w:p>
    <w:p>
      <w:pPr>
        <w:spacing w:after="120"/>
      </w:pPr>
      <w:r>
        <w:rPr>
          <w:rFonts w:ascii="Arial" w:cs="Arial" w:eastAsia="Arial" w:hAnsi="Arial"/>
          <w:sz w:val="20"/>
          <w:szCs w:val="20"/>
        </w:rPr>
        <w:t xml:space="preserve">Vendor shall maintain a Standards Register, listing all codes and standards applied in the design, including edition year. This register shall be submitted within 4 weeks of PO award and kept updated.</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8. COMMERCIAL TERMS AND CONDITIONS</w:t>
      </w:r>
    </w:p>
    <w:p>
      <w:pPr>
        <w:pStyle w:val="Heading2"/>
        <w:spacing w:after="120" w:before="240"/>
      </w:pPr>
      <w:r>
        <w:rPr>
          <w:rFonts w:ascii="Arial" w:cs="Arial" w:eastAsia="Arial" w:hAnsi="Arial"/>
          <w:b/>
          <w:bCs/>
          <w:color w:val="2E6DA4"/>
          <w:sz w:val="24"/>
          <w:szCs w:val="24"/>
        </w:rPr>
        <w:t xml:space="preserve">8.1 Commercial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Commercial Parameter</w:t>
            </w:r>
          </w:p>
        </w:tc>
        <w:tc>
          <w:tcPr>
            <w:tcW w:type="dxa" w:w="58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Currency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EUR (€). Multi-currency breakdown acceptable if significant off-shore procurement.</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Price Basis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Firm, Fixed-Lump Sum. Unit rates for variations must be provided.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Payment Terms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with Order; 30% on AFC Drawing Approval; 40% Progressive Fabrication Milestones (per agreed schedule); 15% FAT Completion; 5% Mechanical Completion on Site.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Delivery Terms (Incoterms 2020)</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DAP – Delivered at Place: [Site Address: Strada Provinciale 42, Ravenna, RA, Italy]. Vendor responsible for all transport, customs, escort if required.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Delivery Time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state delivery in weeks from Purchase Order (PO) date. Target: ≤ 52 weeks from PO to FAT completion. Accelerated delivery options to be priced.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Validity of Offer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120 calendar days from RFQ Closing Date.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Warranty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24 months from Mechanical Completion or 30 months from date of shipment, whichever is earlier. Process performance guarantee for the duration of warranty period.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Liquidated Damages – Delay</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0.5% of Contract Value per week of delay, capped at 10% of Contract Value.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Liquidated Damages – Performance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If outlet water content exceeds guaranteed value, LD rate per agreed formula. Vendor to propose.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Performance Bond</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of contract value, unconditional, valid until warranty end.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Advance Payment Guarantee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Equal to advance payment amount, valid until corresponding milestone achieved.</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Taxes &amp; Duties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prices to be stated as inclusive of all taxes, duties, and levies applicable in vendor's country. Italian VAT (IVA) applicable at site; EPC handles this.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Quality Hold Points (ITP)</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NES has the right to witness or review all HOLD points per ITP. 5 business days' notice required. No waiver without written approval from NES Inspector.</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QHSE Requirements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comply with NES QHSE Supplier Requirements (Doc. NES-QHSE-SUP-001, attached as Appendix E). Vendor must have ISO 9001:2015 certification.</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Bid Bond</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Not required for this RFQ. Reserved for PO award stage.</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Disputes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Italian law governs. ICC Arbitration, seat: Milan, Italy. Language: English.</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8.2 Required Bid Price Schedule</w:t>
      </w:r>
    </w:p>
    <w:p>
      <w:pPr>
        <w:spacing w:after="120"/>
      </w:pPr>
      <w:r>
        <w:rPr>
          <w:rFonts w:ascii="Arial" w:cs="Arial" w:eastAsia="Arial" w:hAnsi="Arial"/>
          <w:sz w:val="20"/>
          <w:szCs w:val="20"/>
        </w:rPr>
        <w:t xml:space="preserve">Vendors shall complete the following bid price schedule. All prices in EUR, exclusive of Italian VAT. Each line item shall be priced separately. Do NOT provide a single lump-sum figure without the itemized breakdown.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60"/>
        <w:gridCol w:w="1500"/>
        <w:gridCol w:w="1500"/>
      </w:tblGrid>
      <w:tr>
        <w:tc>
          <w:tcPr>
            <w:tcW w:type="dxa" w:w="6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w:t>
            </w:r>
          </w:p>
        </w:tc>
        <w:tc>
          <w:tcPr>
            <w:tcW w:type="dxa" w:w="42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5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1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(EUR)</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Gas Dehydration Package – Base Scope (Lump Sum, ex-works)</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 Inlet coalescing filter / separator (included in 1.0)</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Incl.</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 Molecular sieve adsorbers (included in 1.0)</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Incl.</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1.3</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 Regeneration gas heater + cooler + KO drum (incl. in 1.0)</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Incl.</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 Instrumentation &amp; controls / PLC/HMI panel (incl. in 1.0)</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Incl.</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1.5</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 Skid frame, painting, insulation, heat tracing (incl. in 1.0)</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Incl.</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Transport (ex-works to DAP Site, Ravenna, Italy)</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Factory Acceptance Test (FAT) – incl. 5-day test program</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Commissioning Support (on-site, min. 5 days Lead Engineer)</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Training (2 days, post-FAT, at vendor premises)</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Commissioning Spares (recommended list to be attached)</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2-Year Operational Spares (itemized list + unit prices)</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8.0</w:t>
            </w:r>
          </w:p>
        </w:tc>
        <w:tc>
          <w:tcPr>
            <w:tcW w:type="dxa" w:w="42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Special Tools &amp; Lifting Fixtures</w:t>
            </w:r>
          </w:p>
        </w:tc>
        <w:tc>
          <w:tcPr>
            <w:tcW w:type="dxa" w:w="15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OPT-A</w:t>
            </w:r>
          </w:p>
        </w:tc>
        <w:tc>
          <w:tcPr>
            <w:tcW w:type="dxa" w:w="4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OPTION: Third adsorber vessel (guard bed / standby)</w:t>
            </w:r>
          </w:p>
        </w:tc>
        <w:tc>
          <w:tcPr>
            <w:tcW w:type="dxa" w:w="156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OPT-B</w:t>
            </w:r>
          </w:p>
        </w:tc>
        <w:tc>
          <w:tcPr>
            <w:tcW w:type="dxa" w:w="4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OPTION: Online moisture analyser with automatic sample-conditioning</w:t>
            </w:r>
          </w:p>
        </w:tc>
        <w:tc>
          <w:tcPr>
            <w:tcW w:type="dxa" w:w="156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OPT-C</w:t>
            </w:r>
          </w:p>
        </w:tc>
        <w:tc>
          <w:tcPr>
            <w:tcW w:type="dxa" w:w="4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OPTION: Accelerated delivery (-8 weeks) – premium cost</w:t>
            </w:r>
          </w:p>
        </w:tc>
        <w:tc>
          <w:tcPr>
            <w:tcW w:type="dxa" w:w="156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OPT-D</w:t>
            </w:r>
          </w:p>
        </w:tc>
        <w:tc>
          <w:tcPr>
            <w:tcW w:type="dxa" w:w="42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OPTION: Site Performance Test (5 days, 2 engineers)</w:t>
            </w:r>
          </w:p>
        </w:tc>
        <w:tc>
          <w:tcPr>
            <w:tcW w:type="dxa" w:w="156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FFF9C4" w:val="clear"/>
            <w:tcMar>
              <w:top w:type="dxa" w:w="80"/>
              <w:left w:type="dxa" w:w="120"/>
              <w:bottom w:type="dxa" w:w="80"/>
              <w:right w:type="dxa" w:w="120"/>
            </w:tcMar>
            <w:vAlign w:val="center"/>
          </w:tcPr>
          <w:p>
            <w:pPr>
              <w:jc w:val="right"/>
            </w:pPr>
            <w:r>
              <w:rPr>
                <w:rFonts w:ascii="Arial" w:cs="Arial" w:eastAsia="Arial" w:hAnsi="Arial"/>
                <w:b w:val="false"/>
                <w:bCs w:val="false"/>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w:r>
          </w:p>
        </w:tc>
        <w:tc>
          <w:tcPr>
            <w:tcW w:type="dxa" w:w="4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BASE SCOPE (Items 1–8)</w:t>
            </w:r>
          </w:p>
        </w:tc>
        <w:tc>
          <w:tcPr>
            <w:tcW w:type="dxa" w:w="15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right"/>
            </w:pPr>
            <w:r>
              <w:rPr>
                <w:rFonts w:ascii="Arial" w:cs="Arial" w:eastAsia="Arial" w:hAnsi="Arial"/>
                <w:b/>
                <w:bCs/>
                <w:sz w:val="18"/>
                <w:szCs w:val="18"/>
              </w:rPr>
              <w:t xml:space="preserve"/>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w:r>
          </w:p>
        </w:tc>
        <w:tc>
          <w:tcPr>
            <w:tcW w:type="dxa" w:w="42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WITH ALL OPTIONS (Indicative)</w:t>
            </w:r>
          </w:p>
        </w:tc>
        <w:tc>
          <w:tcPr>
            <w:tcW w:type="dxa" w:w="15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LS</w:t>
            </w:r>
          </w:p>
        </w:tc>
        <w:tc>
          <w:tcPr>
            <w:tcW w:type="dxa" w:w="1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right"/>
            </w:pPr>
            <w:r>
              <w:rPr>
                <w:rFonts w:ascii="Arial" w:cs="Arial" w:eastAsia="Arial" w:hAnsi="Arial"/>
                <w:b/>
                <w:bCs/>
                <w:sz w:val="18"/>
                <w:szCs w:val="18"/>
              </w:rPr>
              <w:t xml:space="preserve"/>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8.3 Price Escalation</w:t>
      </w:r>
    </w:p>
    <w:p>
      <w:pPr>
        <w:spacing w:after="120"/>
      </w:pPr>
      <w:r>
        <w:rPr>
          <w:rFonts w:ascii="Arial" w:cs="Arial" w:eastAsia="Arial" w:hAnsi="Arial"/>
          <w:sz w:val="20"/>
          <w:szCs w:val="20"/>
        </w:rPr>
        <w:t xml:space="preserve">As a firm, fixed lump-sum offer is required, price escalation is NOT applicable. Vendor shall include all known and foreseeable cost escalations (materials, labor, energy) in the stated price. The only acceptable basis for price adjustment is a change in NES-issued scope (Change Order procedure).</w:t>
      </w:r>
    </w:p>
    <w:p>
      <w:pPr>
        <w:spacing w:after="160"/>
      </w:pPr>
      <w:r>
        <w:t xml:space="preserve"/>
      </w:r>
    </w:p>
    <w:p>
      <w:pPr>
        <w:pStyle w:val="Heading2"/>
        <w:spacing w:after="120" w:before="240"/>
      </w:pPr>
      <w:r>
        <w:rPr>
          <w:rFonts w:ascii="Arial" w:cs="Arial" w:eastAsia="Arial" w:hAnsi="Arial"/>
          <w:b/>
          <w:bCs/>
          <w:color w:val="2E6DA4"/>
          <w:sz w:val="24"/>
          <w:szCs w:val="24"/>
        </w:rPr>
        <w:t xml:space="preserve">8.4 Taxes and Withholding</w:t>
      </w:r>
    </w:p>
    <w:p>
      <w:pPr>
        <w:spacing w:after="120"/>
      </w:pPr>
      <w:r>
        <w:rPr>
          <w:rFonts w:ascii="Arial" w:cs="Arial" w:eastAsia="Arial" w:hAnsi="Arial"/>
          <w:sz w:val="20"/>
          <w:szCs w:val="20"/>
        </w:rPr>
        <w:t xml:space="preserve">Vendor is responsible for all taxes and duties applicable in Vendor's country of incorporation and country of fabrication. Italian VAT (currently 22%) will be applied by NES at invoicing stage and is not to be included in the quoted price. Any withholding tax obligations under the Italy-[Vendor's Country] double tax treaty are the responsibility of the Vendor to confirm and report.</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9. BID SUBMITTAL INSTRUCTIONS AND REQUIREMENTS</w:t>
      </w:r>
    </w:p>
    <w:p>
      <w:pPr>
        <w:pStyle w:val="Heading2"/>
        <w:spacing w:after="120" w:before="240"/>
      </w:pPr>
      <w:r>
        <w:rPr>
          <w:rFonts w:ascii="Arial" w:cs="Arial" w:eastAsia="Arial" w:hAnsi="Arial"/>
          <w:b/>
          <w:bCs/>
          <w:color w:val="2E6DA4"/>
          <w:sz w:val="24"/>
          <w:szCs w:val="24"/>
        </w:rPr>
        <w:t xml:space="preserve">9.1 Bid Structure</w:t>
      </w:r>
    </w:p>
    <w:p>
      <w:pPr>
        <w:spacing w:after="120"/>
      </w:pPr>
      <w:r>
        <w:rPr>
          <w:rFonts w:ascii="Arial" w:cs="Arial" w:eastAsia="Arial" w:hAnsi="Arial"/>
          <w:sz w:val="20"/>
          <w:szCs w:val="20"/>
        </w:rPr>
        <w:t xml:space="preserve">All bids shall be submitted in two separate sealed sections (electronic equivalent: two separate encrypted folders or PDF parts):</w:t>
      </w:r>
    </w:p>
    <w:p>
      <w:pPr>
        <w:pStyle w:val="ListParagraph"/>
        <w:numPr>
          <w:ilvl w:val="0"/>
          <w:numId w:val="2"/>
        </w:numPr>
        <w:spacing w:after="60"/>
      </w:pPr>
      <w:r>
        <w:rPr>
          <w:rFonts w:ascii="Arial" w:cs="Arial" w:eastAsia="Arial" w:hAnsi="Arial"/>
          <w:sz w:val="20"/>
          <w:szCs w:val="20"/>
        </w:rPr>
        <w:t xml:space="preserve">Volume 1 – Technical Offer: Complete technical response. Shall NOT contain any pricing information.</w:t>
      </w:r>
    </w:p>
    <w:p>
      <w:pPr>
        <w:pStyle w:val="ListParagraph"/>
        <w:numPr>
          <w:ilvl w:val="0"/>
          <w:numId w:val="2"/>
        </w:numPr>
        <w:spacing w:after="60"/>
      </w:pPr>
      <w:r>
        <w:rPr>
          <w:rFonts w:ascii="Arial" w:cs="Arial" w:eastAsia="Arial" w:hAnsi="Arial"/>
          <w:sz w:val="20"/>
          <w:szCs w:val="20"/>
        </w:rPr>
        <w:t xml:space="preserve">Volume 2 – Commercial Offer: Completed bid price schedule, commercial deviations, and financial documents. Shall NOT contain technical content that duplicates Volume 1.</w:t>
      </w:r>
    </w:p>
    <w:p>
      <w:pPr>
        <w:spacing w:after="160"/>
      </w:pPr>
      <w:r>
        <w:t xml:space="preserve"/>
      </w:r>
    </w:p>
    <w:p>
      <w:pPr>
        <w:pStyle w:val="Heading2"/>
        <w:spacing w:after="120" w:before="240"/>
      </w:pPr>
      <w:r>
        <w:rPr>
          <w:rFonts w:ascii="Arial" w:cs="Arial" w:eastAsia="Arial" w:hAnsi="Arial"/>
          <w:b/>
          <w:bCs/>
          <w:color w:val="2E6DA4"/>
          <w:sz w:val="24"/>
          <w:szCs w:val="24"/>
        </w:rPr>
        <w:t xml:space="preserve">9.2 Volume 1 – Technical Offer Contents</w:t>
      </w:r>
    </w:p>
    <w:p>
      <w:pPr>
        <w:pStyle w:val="ListParagraph"/>
        <w:numPr>
          <w:ilvl w:val="0"/>
          <w:numId w:val="3"/>
        </w:numPr>
        <w:spacing w:after="80"/>
      </w:pPr>
      <w:r>
        <w:rPr>
          <w:rFonts w:ascii="Arial" w:cs="Arial" w:eastAsia="Arial" w:hAnsi="Arial"/>
          <w:sz w:val="20"/>
          <w:szCs w:val="20"/>
        </w:rPr>
        <w:t xml:space="preserve">Transmittal letter on Vendor's letterhead, signed by authorized representative</w:t>
      </w:r>
    </w:p>
    <w:p>
      <w:pPr>
        <w:pStyle w:val="ListParagraph"/>
        <w:numPr>
          <w:ilvl w:val="0"/>
          <w:numId w:val="3"/>
        </w:numPr>
        <w:spacing w:after="80"/>
      </w:pPr>
      <w:r>
        <w:rPr>
          <w:rFonts w:ascii="Arial" w:cs="Arial" w:eastAsia="Arial" w:hAnsi="Arial"/>
          <w:sz w:val="20"/>
          <w:szCs w:val="20"/>
        </w:rPr>
        <w:t xml:space="preserve">Compliance matrix (row-by-row response to each section of this RFQ, each requirement marked: COMPLY / COMPLY WITH DEVIATION / NOT COMPLY)</w:t>
      </w:r>
    </w:p>
    <w:p>
      <w:pPr>
        <w:pStyle w:val="ListParagraph"/>
        <w:numPr>
          <w:ilvl w:val="0"/>
          <w:numId w:val="3"/>
        </w:numPr>
        <w:spacing w:after="80"/>
      </w:pPr>
      <w:r>
        <w:rPr>
          <w:rFonts w:ascii="Arial" w:cs="Arial" w:eastAsia="Arial" w:hAnsi="Arial"/>
          <w:sz w:val="20"/>
          <w:szCs w:val="20"/>
        </w:rPr>
        <w:t xml:space="preserve">Company profile and CV of key personnel (Process Lead, Project Manager, QC Manager)</w:t>
      </w:r>
    </w:p>
    <w:p>
      <w:pPr>
        <w:pStyle w:val="ListParagraph"/>
        <w:numPr>
          <w:ilvl w:val="0"/>
          <w:numId w:val="3"/>
        </w:numPr>
        <w:spacing w:after="80"/>
      </w:pPr>
      <w:r>
        <w:rPr>
          <w:rFonts w:ascii="Arial" w:cs="Arial" w:eastAsia="Arial" w:hAnsi="Arial"/>
          <w:sz w:val="20"/>
          <w:szCs w:val="20"/>
        </w:rPr>
        <w:t xml:space="preserve">List of at least 5 (five) references for similar Gas Dehydration Units (Molecular Sieve, ≥ 10 MMSCFD, oil &amp; gas industry, delivered in last 10 years). Include: client name, unit capacity, technology, delivery date, contact person.</w:t>
      </w:r>
    </w:p>
    <w:p>
      <w:pPr>
        <w:pStyle w:val="ListParagraph"/>
        <w:numPr>
          <w:ilvl w:val="0"/>
          <w:numId w:val="3"/>
        </w:numPr>
        <w:spacing w:after="80"/>
      </w:pPr>
      <w:r>
        <w:rPr>
          <w:rFonts w:ascii="Arial" w:cs="Arial" w:eastAsia="Arial" w:hAnsi="Arial"/>
          <w:sz w:val="20"/>
          <w:szCs w:val="20"/>
        </w:rPr>
        <w:t xml:space="preserve">Proposed process design description and technology justification (2+1 or 3-vessel arrangement, cycle design, adsorbent selection, regeneration system design philosophy)</w:t>
      </w:r>
    </w:p>
    <w:p>
      <w:pPr>
        <w:pStyle w:val="ListParagraph"/>
        <w:numPr>
          <w:ilvl w:val="0"/>
          <w:numId w:val="3"/>
        </w:numPr>
        <w:spacing w:after="80"/>
      </w:pPr>
      <w:r>
        <w:rPr>
          <w:rFonts w:ascii="Arial" w:cs="Arial" w:eastAsia="Arial" w:hAnsi="Arial"/>
          <w:sz w:val="20"/>
          <w:szCs w:val="20"/>
        </w:rPr>
        <w:t xml:space="preserve">Preliminary Process Flow Diagram (PFD) or Block Flow Diagram with estimated heat and material balance</w:t>
      </w:r>
    </w:p>
    <w:p>
      <w:pPr>
        <w:pStyle w:val="ListParagraph"/>
        <w:numPr>
          <w:ilvl w:val="0"/>
          <w:numId w:val="3"/>
        </w:numPr>
        <w:spacing w:after="80"/>
      </w:pPr>
      <w:r>
        <w:rPr>
          <w:rFonts w:ascii="Arial" w:cs="Arial" w:eastAsia="Arial" w:hAnsi="Arial"/>
          <w:sz w:val="20"/>
          <w:szCs w:val="20"/>
        </w:rPr>
        <w:t xml:space="preserve">Preliminary equipment list and preliminary specifications for major items (adsorbers, heater, cooler, KO drum, PLC)</w:t>
      </w:r>
    </w:p>
    <w:p>
      <w:pPr>
        <w:pStyle w:val="ListParagraph"/>
        <w:numPr>
          <w:ilvl w:val="0"/>
          <w:numId w:val="3"/>
        </w:numPr>
        <w:spacing w:after="80"/>
      </w:pPr>
      <w:r>
        <w:rPr>
          <w:rFonts w:ascii="Arial" w:cs="Arial" w:eastAsia="Arial" w:hAnsi="Arial"/>
          <w:sz w:val="20"/>
          <w:szCs w:val="20"/>
        </w:rPr>
        <w:t xml:space="preserve">Proposed vendor document list and delivery schedule (milestone-based Gantt chart from PO to FAT)</w:t>
      </w:r>
    </w:p>
    <w:p>
      <w:pPr>
        <w:pStyle w:val="ListParagraph"/>
        <w:numPr>
          <w:ilvl w:val="0"/>
          <w:numId w:val="3"/>
        </w:numPr>
        <w:spacing w:after="80"/>
      </w:pPr>
      <w:r>
        <w:rPr>
          <w:rFonts w:ascii="Arial" w:cs="Arial" w:eastAsia="Arial" w:hAnsi="Arial"/>
          <w:sz w:val="20"/>
          <w:szCs w:val="20"/>
        </w:rPr>
        <w:t xml:space="preserve">Deviations list from this RFQ (technical deviations must be clearly identified; number of deviations is an evaluation criterion – fewer is better)</w:t>
      </w:r>
    </w:p>
    <w:p>
      <w:pPr>
        <w:pStyle w:val="ListParagraph"/>
        <w:numPr>
          <w:ilvl w:val="0"/>
          <w:numId w:val="3"/>
        </w:numPr>
        <w:spacing w:after="80"/>
      </w:pPr>
      <w:r>
        <w:rPr>
          <w:rFonts w:ascii="Arial" w:cs="Arial" w:eastAsia="Arial" w:hAnsi="Arial"/>
          <w:sz w:val="20"/>
          <w:szCs w:val="20"/>
        </w:rPr>
        <w:t xml:space="preserve">ISO 9001:2015 certificate (current, valid)</w:t>
      </w:r>
    </w:p>
    <w:p>
      <w:pPr>
        <w:pStyle w:val="ListParagraph"/>
        <w:numPr>
          <w:ilvl w:val="0"/>
          <w:numId w:val="3"/>
        </w:numPr>
        <w:spacing w:after="80"/>
      </w:pPr>
      <w:r>
        <w:rPr>
          <w:rFonts w:ascii="Arial" w:cs="Arial" w:eastAsia="Arial" w:hAnsi="Arial"/>
          <w:sz w:val="20"/>
          <w:szCs w:val="20"/>
        </w:rPr>
        <w:t xml:space="preserve">ATEX/IECEx manufacturer authorization certificate (if in vendor scope)</w:t>
      </w:r>
    </w:p>
    <w:p>
      <w:pPr>
        <w:pStyle w:val="ListParagraph"/>
        <w:numPr>
          <w:ilvl w:val="0"/>
          <w:numId w:val="3"/>
        </w:numPr>
        <w:spacing w:after="80"/>
      </w:pPr>
      <w:r>
        <w:rPr>
          <w:rFonts w:ascii="Arial" w:cs="Arial" w:eastAsia="Arial" w:hAnsi="Arial"/>
          <w:sz w:val="20"/>
          <w:szCs w:val="20"/>
        </w:rPr>
        <w:t xml:space="preserve">HSE statistics: LTIR and TRIR for last 3 years; list of any major incidents related to fabrication activities</w:t>
      </w:r>
    </w:p>
    <w:p>
      <w:pPr>
        <w:pStyle w:val="ListParagraph"/>
        <w:numPr>
          <w:ilvl w:val="0"/>
          <w:numId w:val="3"/>
        </w:numPr>
        <w:spacing w:after="80"/>
      </w:pPr>
      <w:r>
        <w:rPr>
          <w:rFonts w:ascii="Arial" w:cs="Arial" w:eastAsia="Arial" w:hAnsi="Arial"/>
          <w:sz w:val="20"/>
          <w:szCs w:val="20"/>
        </w:rPr>
        <w:t xml:space="preserve">Proposed sub-vendor list for major items (subject to NES approval)</w:t>
      </w:r>
    </w:p>
    <w:p>
      <w:pPr>
        <w:pStyle w:val="ListParagraph"/>
        <w:numPr>
          <w:ilvl w:val="0"/>
          <w:numId w:val="3"/>
        </w:numPr>
        <w:spacing w:after="80"/>
      </w:pPr>
      <w:r>
        <w:rPr>
          <w:rFonts w:ascii="Arial" w:cs="Arial" w:eastAsia="Arial" w:hAnsi="Arial"/>
          <w:sz w:val="20"/>
          <w:szCs w:val="20"/>
        </w:rPr>
        <w:t xml:space="preserve">Confirmation of FAT location and fabrication shop location</w:t>
      </w:r>
    </w:p>
    <w:p>
      <w:pPr>
        <w:pStyle w:val="ListParagraph"/>
        <w:numPr>
          <w:ilvl w:val="0"/>
          <w:numId w:val="3"/>
        </w:numPr>
        <w:spacing w:after="80"/>
      </w:pPr>
      <w:r>
        <w:rPr>
          <w:rFonts w:ascii="Arial" w:cs="Arial" w:eastAsia="Arial" w:hAnsi="Arial"/>
          <w:sz w:val="20"/>
          <w:szCs w:val="20"/>
        </w:rPr>
        <w:t xml:space="preserve">Confirmation of proposed commissioning support scope and daily rate for additional days beyond included 5 days</w:t>
      </w:r>
    </w:p>
    <w:p>
      <w:pPr>
        <w:spacing w:after="160"/>
      </w:pPr>
      <w:r>
        <w:t xml:space="preserve"/>
      </w:r>
    </w:p>
    <w:p>
      <w:pPr>
        <w:pStyle w:val="Heading2"/>
        <w:spacing w:after="120" w:before="240"/>
      </w:pPr>
      <w:r>
        <w:rPr>
          <w:rFonts w:ascii="Arial" w:cs="Arial" w:eastAsia="Arial" w:hAnsi="Arial"/>
          <w:b/>
          <w:bCs/>
          <w:color w:val="2E6DA4"/>
          <w:sz w:val="24"/>
          <w:szCs w:val="24"/>
        </w:rPr>
        <w:t xml:space="preserve">9.3 Volume 2 – Commercial Offer Contents</w:t>
      </w:r>
    </w:p>
    <w:p>
      <w:pPr>
        <w:pStyle w:val="ListParagraph"/>
        <w:numPr>
          <w:ilvl w:val="0"/>
          <w:numId w:val="3"/>
        </w:numPr>
        <w:spacing w:after="80"/>
      </w:pPr>
      <w:r>
        <w:rPr>
          <w:rFonts w:ascii="Arial" w:cs="Arial" w:eastAsia="Arial" w:hAnsi="Arial"/>
          <w:sz w:val="20"/>
          <w:szCs w:val="20"/>
        </w:rPr>
        <w:t xml:space="preserve">Completed Bid Price Schedule (per Section 8.2 of this RFQ)</w:t>
      </w:r>
    </w:p>
    <w:p>
      <w:pPr>
        <w:pStyle w:val="ListParagraph"/>
        <w:numPr>
          <w:ilvl w:val="0"/>
          <w:numId w:val="3"/>
        </w:numPr>
        <w:spacing w:after="80"/>
      </w:pPr>
      <w:r>
        <w:rPr>
          <w:rFonts w:ascii="Arial" w:cs="Arial" w:eastAsia="Arial" w:hAnsi="Arial"/>
          <w:sz w:val="20"/>
          <w:szCs w:val="20"/>
        </w:rPr>
        <w:t xml:space="preserve">Confirmation of delivery period (weeks from PO to FAT completion; separately: weeks to ship ex-works; weeks from shipment to arrival at site)</w:t>
      </w:r>
    </w:p>
    <w:p>
      <w:pPr>
        <w:pStyle w:val="ListParagraph"/>
        <w:numPr>
          <w:ilvl w:val="0"/>
          <w:numId w:val="3"/>
        </w:numPr>
        <w:spacing w:after="80"/>
      </w:pPr>
      <w:r>
        <w:rPr>
          <w:rFonts w:ascii="Arial" w:cs="Arial" w:eastAsia="Arial" w:hAnsi="Arial"/>
          <w:sz w:val="20"/>
          <w:szCs w:val="20"/>
        </w:rPr>
        <w:t xml:space="preserve">Commissioning and 2-year spare parts list with unit pricing (separate from base offer)</w:t>
      </w:r>
    </w:p>
    <w:p>
      <w:pPr>
        <w:pStyle w:val="ListParagraph"/>
        <w:numPr>
          <w:ilvl w:val="0"/>
          <w:numId w:val="3"/>
        </w:numPr>
        <w:spacing w:after="80"/>
      </w:pPr>
      <w:r>
        <w:rPr>
          <w:rFonts w:ascii="Arial" w:cs="Arial" w:eastAsia="Arial" w:hAnsi="Arial"/>
          <w:sz w:val="20"/>
          <w:szCs w:val="20"/>
        </w:rPr>
        <w:t xml:space="preserve">List of any commercial deviations from Section 8 of this RFQ</w:t>
      </w:r>
    </w:p>
    <w:p>
      <w:pPr>
        <w:pStyle w:val="ListParagraph"/>
        <w:numPr>
          <w:ilvl w:val="0"/>
          <w:numId w:val="3"/>
        </w:numPr>
        <w:spacing w:after="80"/>
      </w:pPr>
      <w:r>
        <w:rPr>
          <w:rFonts w:ascii="Arial" w:cs="Arial" w:eastAsia="Arial" w:hAnsi="Arial"/>
          <w:sz w:val="20"/>
          <w:szCs w:val="20"/>
        </w:rPr>
        <w:t xml:space="preserve">Proposed Payment Milestone Schedule (consistent with deliverable milestones)</w:t>
      </w:r>
    </w:p>
    <w:p>
      <w:pPr>
        <w:pStyle w:val="ListParagraph"/>
        <w:numPr>
          <w:ilvl w:val="0"/>
          <w:numId w:val="3"/>
        </w:numPr>
        <w:spacing w:after="80"/>
      </w:pPr>
      <w:r>
        <w:rPr>
          <w:rFonts w:ascii="Arial" w:cs="Arial" w:eastAsia="Arial" w:hAnsi="Arial"/>
          <w:sz w:val="20"/>
          <w:szCs w:val="20"/>
        </w:rPr>
        <w:t xml:space="preserve">Confirmation of Warranty terms offered</w:t>
      </w:r>
    </w:p>
    <w:p>
      <w:pPr>
        <w:pStyle w:val="ListParagraph"/>
        <w:numPr>
          <w:ilvl w:val="0"/>
          <w:numId w:val="3"/>
        </w:numPr>
        <w:spacing w:after="80"/>
      </w:pPr>
      <w:r>
        <w:rPr>
          <w:rFonts w:ascii="Arial" w:cs="Arial" w:eastAsia="Arial" w:hAnsi="Arial"/>
          <w:sz w:val="20"/>
          <w:szCs w:val="20"/>
        </w:rPr>
        <w:t xml:space="preserve">Daily rate for additional on-site commissioning and supervision personnel</w:t>
      </w:r>
    </w:p>
    <w:p>
      <w:pPr>
        <w:pStyle w:val="ListParagraph"/>
        <w:numPr>
          <w:ilvl w:val="0"/>
          <w:numId w:val="3"/>
        </w:numPr>
        <w:spacing w:after="80"/>
      </w:pPr>
      <w:r>
        <w:rPr>
          <w:rFonts w:ascii="Arial" w:cs="Arial" w:eastAsia="Arial" w:hAnsi="Arial"/>
          <w:sz w:val="20"/>
          <w:szCs w:val="20"/>
        </w:rPr>
        <w:t xml:space="preserve">Unit rates for any potential change order work (engineering man-hours, fabrication per kg, piping per meter)</w:t>
      </w:r>
    </w:p>
    <w:p>
      <w:pPr>
        <w:spacing w:after="160"/>
      </w:pPr>
      <w:r>
        <w:t xml:space="preserve"/>
      </w:r>
    </w:p>
    <w:p>
      <w:pPr>
        <w:pStyle w:val="Heading2"/>
        <w:spacing w:after="120" w:before="240"/>
      </w:pPr>
      <w:r>
        <w:rPr>
          <w:rFonts w:ascii="Arial" w:cs="Arial" w:eastAsia="Arial" w:hAnsi="Arial"/>
          <w:b/>
          <w:bCs/>
          <w:color w:val="2E6DA4"/>
          <w:sz w:val="24"/>
          <w:szCs w:val="24"/>
        </w:rPr>
        <w:t xml:space="preserve">9.4 Bid Submission Deadline and Method</w:t>
      </w:r>
    </w:p>
    <w:p>
      <w:pPr>
        <w:spacing w:after="120"/>
      </w:pPr>
      <w:r>
        <w:rPr>
          <w:rFonts w:ascii="Arial" w:cs="Arial" w:eastAsia="Arial" w:hAnsi="Arial"/>
          <w:sz w:val="20"/>
          <w:szCs w:val="20"/>
        </w:rPr>
        <w:t xml:space="preserve">Bids must be received by NES no later than 15 April 2026, 17:00 CET. Late bids will NOT be considered under any circumstances.</w:t>
      </w:r>
    </w:p>
    <w:p>
      <w:pPr>
        <w:pStyle w:val="ListParagraph"/>
        <w:numPr>
          <w:ilvl w:val="0"/>
          <w:numId w:val="2"/>
        </w:numPr>
        <w:spacing w:after="60"/>
      </w:pPr>
      <w:r>
        <w:rPr>
          <w:rFonts w:ascii="Arial" w:cs="Arial" w:eastAsia="Arial" w:hAnsi="Arial"/>
          <w:sz w:val="20"/>
          <w:szCs w:val="20"/>
        </w:rPr>
        <w:t xml:space="preserve">Preferred Submission: Via NES encrypted tender portal at rfq.nexusenergyit.com/portal/RFQ-GAS-DRY-001 (login credentials provided separately to each invited vendor)</w:t>
      </w:r>
    </w:p>
    <w:p>
      <w:pPr>
        <w:pStyle w:val="ListParagraph"/>
        <w:numPr>
          <w:ilvl w:val="0"/>
          <w:numId w:val="2"/>
        </w:numPr>
        <w:spacing w:after="60"/>
      </w:pPr>
      <w:r>
        <w:rPr>
          <w:rFonts w:ascii="Arial" w:cs="Arial" w:eastAsia="Arial" w:hAnsi="Arial"/>
          <w:sz w:val="20"/>
          <w:szCs w:val="20"/>
        </w:rPr>
        <w:t xml:space="preserve">Alternative (hardcopy): One (1) original and two (2) copies of each volume, in sealed envelopes marked 'CONFIDENTIAL – RFQ NES-AGP-2026-007-RFQ-GAS-DRY-001 – DO NOT OPEN BEFORE 15 APRIL 2026'. Delivered to NES Procurement Department, Via Mecenate 90, 20138 Milan, Italy.</w:t>
      </w:r>
    </w:p>
    <w:p>
      <w:pPr>
        <w:pStyle w:val="ListParagraph"/>
        <w:numPr>
          <w:ilvl w:val="0"/>
          <w:numId w:val="2"/>
        </w:numPr>
        <w:spacing w:after="60"/>
      </w:pPr>
      <w:r>
        <w:rPr>
          <w:rFonts w:ascii="Arial" w:cs="Arial" w:eastAsia="Arial" w:hAnsi="Arial"/>
          <w:sz w:val="20"/>
          <w:szCs w:val="20"/>
        </w:rPr>
        <w:t xml:space="preserve">Technical queries: To be submitted in writing by email to g.ferretti@nexusenergyit.com and m.lombardi@nexusenergyit.com by 25 March 2026, 17:00 CET. NES will issue a collective clarification sheet to all bidders by 01 April 2026.</w:t>
      </w:r>
    </w:p>
    <w:p>
      <w:pPr>
        <w:pStyle w:val="ListParagraph"/>
        <w:numPr>
          <w:ilvl w:val="0"/>
          <w:numId w:val="2"/>
        </w:numPr>
        <w:spacing w:after="60"/>
      </w:pPr>
      <w:r>
        <w:rPr>
          <w:rFonts w:ascii="Arial" w:cs="Arial" w:eastAsia="Arial" w:hAnsi="Arial"/>
          <w:sz w:val="20"/>
          <w:szCs w:val="20"/>
        </w:rPr>
        <w:t xml:space="preserve">No oral clarifications will be binding. All clarifications must be in writing.</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10. BID EVALUATION CRITERIA</w:t>
      </w:r>
    </w:p>
    <w:p>
      <w:pPr>
        <w:spacing w:after="120"/>
      </w:pPr>
      <w:r>
        <w:rPr>
          <w:rFonts w:ascii="Arial" w:cs="Arial" w:eastAsia="Arial" w:hAnsi="Arial"/>
          <w:sz w:val="20"/>
          <w:szCs w:val="20"/>
        </w:rPr>
        <w:t xml:space="preserve">NES will evaluate bids on a techno-commercial basis using the following weighted criteria. Bids that are technically non-compliant on any mandatory requirement (marked SHALL in this RFQ) will be disqualified regardless of commercial score.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1500"/>
        <w:gridCol w:w="2000"/>
      </w:tblGrid>
      <w:tr>
        <w:tc>
          <w:tcPr>
            <w:tcW w:type="dxa" w:w="6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52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Evaluation Criterion</w:t>
            </w:r>
          </w:p>
        </w:tc>
        <w:tc>
          <w:tcPr>
            <w:tcW w:type="dxa" w:w="1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c>
          <w:tcPr>
            <w:tcW w:type="dxa" w:w="20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Commercial Price (Total lump sum DAP site)</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35%</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Lowest price normalization</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Technical Compliance (vs. this RFQ &amp; data sheet)</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25%</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Technical scoring matrix</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Delivery Schedule (weeks to FAT completion)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Shortest delivery = max score</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Experience &amp; References (similar projects last 10 yrs)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Reference list review</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Quality of Technical Offer (completeness, depth of documentation)</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Evaluation panel assessment</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After-Sales Support &amp; Spare Parts Availability</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Response time commitments</w:t>
            </w:r>
          </w:p>
        </w:tc>
      </w:tr>
      <w:tr>
        <w:tc>
          <w:tcPr>
            <w:tcW w:type="dxa" w:w="6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w:t>
            </w:r>
          </w:p>
        </w:tc>
        <w:tc>
          <w:tcPr>
            <w:tcW w:type="dxa" w:w="52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HSE Track Record &amp; QHSE Certifications</w:t>
            </w:r>
          </w:p>
        </w:tc>
        <w:tc>
          <w:tcPr>
            <w:tcW w:type="dxa" w:w="15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20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9001, OHSAS, incident rate</w:t>
            </w:r>
          </w:p>
        </w:tc>
      </w:tr>
      <w:tr>
        <w:tc>
          <w:tcPr>
            <w:tcW w:type="dxa" w:w="6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w:r>
          </w:p>
        </w:tc>
        <w:tc>
          <w:tcPr>
            <w:tcW w:type="dxa" w:w="52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w:t>
            </w:r>
          </w:p>
        </w:tc>
        <w:tc>
          <w:tcPr>
            <w:tcW w:type="dxa" w:w="1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100%</w:t>
            </w:r>
          </w:p>
        </w:tc>
        <w:tc>
          <w:tcPr>
            <w:tcW w:type="dxa" w:w="20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w:r>
          </w:p>
        </w:tc>
      </w:tr>
    </w:tbl>
    <w:p>
      <w:pPr>
        <w:spacing w:after="160"/>
      </w:pPr>
      <w:r>
        <w:t xml:space="preserve"/>
      </w:r>
    </w:p>
    <w:p>
      <w:pPr>
        <w:spacing w:after="120"/>
      </w:pPr>
      <w:r>
        <w:rPr>
          <w:rFonts w:ascii="Arial" w:cs="Arial" w:eastAsia="Arial" w:hAnsi="Arial"/>
          <w:sz w:val="20"/>
          <w:szCs w:val="20"/>
        </w:rPr>
        <w:t xml:space="preserve">NES reserves the right to request bid clarifications, conduct plant visits to Vendor's fabrication facilities, and request best and final offers (BAFO) from shortlisted vendors prior to award decision. NES is not obligated to award to the lowest-priced bidder and reserves the right to reject all bids.</w:t>
      </w:r>
    </w:p>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11. CONTACT INFORMATION AND BID SCHEDULE</w:t>
      </w:r>
    </w:p>
    <w:p>
      <w:pPr>
        <w:pStyle w:val="Heading2"/>
        <w:spacing w:after="120" w:before="240"/>
      </w:pPr>
      <w:r>
        <w:rPr>
          <w:rFonts w:ascii="Arial" w:cs="Arial" w:eastAsia="Arial" w:hAnsi="Arial"/>
          <w:b/>
          <w:bCs/>
          <w:color w:val="2E6DA4"/>
          <w:sz w:val="24"/>
          <w:szCs w:val="24"/>
        </w:rPr>
        <w:t xml:space="preserve">11.1 NES Key Contacts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58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Technical Lead – Process Engineering</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Ing. Giulia Ferretti | g.ferretti@nexusenergyit.com | +39 02 8547 3310</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Lead Procurement Engineer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Dr. Marco Lombardi | m.lombardi@nexusenergyit.com | +39 02 8547 3301</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 Manager</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Ing. Marco Rossi | m.rossi@nexusenergyit.com | +39 02 8547 3300</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Technical Queries Deadline</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 March 2026 – 17:00 CET (all questions via email only, Subject: RFQ-GAS-DRY-001-QUERY-[Vendor]-[Question No.])</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Clarification Answers Issued</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01 April 2026 (to all bidders simultaneously via email)</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Bid Submission Address</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Nexus Energy Solutions S.p.A., Via Mecenate 90, 20138 Milan (MI), Italy</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Electronic Submission (preferred)</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Encrypted submission portal: rfq.nexusenergyit.com/portal/RFQ-GAS-DRY-001 (access code provided separately)</w:t>
            </w:r>
          </w:p>
        </w:tc>
      </w:tr>
      <w:tr>
        <w:tc>
          <w:tcPr>
            <w:tcW w:type="dxa" w:w="350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Pre-bid Meeting (optional)</w:t>
            </w:r>
          </w:p>
        </w:tc>
        <w:tc>
          <w:tcPr>
            <w:tcW w:type="dxa" w:w="586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19 March 2026 – 10:00 CET | Nexus Milan Office (Teams link available on request)</w:t>
            </w:r>
          </w:p>
        </w:tc>
      </w:tr>
    </w:tbl>
    <w:p>
      <w:pPr>
        <w:spacing w:after="160"/>
      </w:pPr>
      <w:r>
        <w:t xml:space="preserve"/>
      </w:r>
    </w:p>
    <w:p>
      <w:pPr>
        <w:pStyle w:val="Heading2"/>
        <w:spacing w:after="120" w:before="240"/>
      </w:pPr>
      <w:r>
        <w:rPr>
          <w:rFonts w:ascii="Arial" w:cs="Arial" w:eastAsia="Arial" w:hAnsi="Arial"/>
          <w:b/>
          <w:bCs/>
          <w:color w:val="2E6DA4"/>
          <w:sz w:val="24"/>
          <w:szCs w:val="24"/>
        </w:rPr>
        <w:t xml:space="preserve">11.2 Bid Schedule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Milestone</w:t>
            </w:r>
          </w:p>
        </w:tc>
        <w:tc>
          <w:tcPr>
            <w:tcW w:type="dxa" w:w="390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RFQ Issued to Qualified Vendors</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12 March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Pre-Bid Conference (optional, Teams / on-site)</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19 March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Deadline for Technical Queries from Vendors</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25 March 2026 – 17:00 CET</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NES Issues Addendum / Clarification Sheet</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01 April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RFQ Closing Date – Bid Submission Deadline</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 April 2026 – 17:00 CET</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Technical Evaluation Completion (estimated)</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30 April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Commercial Evaluation Completion (estimated)</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07 May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Clarification / BAFO Round (if required)</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14 May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Anticipated Purchase Order Award</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28 May 2026</w:t>
            </w:r>
          </w:p>
        </w:tc>
      </w:tr>
      <w:tr>
        <w:tc>
          <w:tcPr>
            <w:tcW w:type="dxa" w:w="5460"/>
            <w:gridSpan w:val="1"/>
            <w:tcBorders>
              <w:top w:val="single" w:color="C0CDD8" w:sz="1"/>
              <w:left w:val="single" w:color="C0CDD8" w:sz="1"/>
              <w:bottom w:val="single" w:color="C0CDD8" w:sz="1"/>
              <w:right w:val="single" w:color="C0CDD8" w:sz="1"/>
            </w:tcBorders>
            <w:shd w:fill="E8EEF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Anticipated Kick-Off Meeting (KOM)</w:t>
            </w:r>
          </w:p>
        </w:tc>
        <w:tc>
          <w:tcPr>
            <w:tcW w:type="dxa" w:w="3900"/>
            <w:gridSpan w:val="1"/>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11 June 2026</w:t>
            </w:r>
          </w:p>
        </w:tc>
      </w:tr>
    </w:tbl>
    <w:p>
      <w:pPr>
        <w:spacing w:after="160"/>
      </w:pPr>
      <w:r>
        <w:t xml:space="preserve"/>
      </w:r>
    </w:p>
    <w:p>
      <w:r>
        <w:br w:type="page"/>
      </w:r>
    </w:p>
    <w:p>
      <w:pPr>
        <w:pStyle w:val="Heading1"/>
        <w:pBdr>
          <w:bottom w:val="single" w:color="2E6DA4" w:sz="8" w:space="4"/>
        </w:pBdr>
        <w:spacing w:after="180" w:before="360"/>
      </w:pPr>
      <w:r>
        <w:rPr>
          <w:rFonts w:ascii="Arial" w:cs="Arial" w:eastAsia="Arial" w:hAnsi="Arial"/>
          <w:b/>
          <w:bCs/>
          <w:color w:val="1B3A5C"/>
          <w:sz w:val="28"/>
          <w:szCs w:val="28"/>
        </w:rPr>
        <w:t xml:space="preserve">12. GENERAL TERMS AND DISCLAIMERS</w:t>
      </w:r>
    </w:p>
    <w:p>
      <w:pPr>
        <w:pStyle w:val="Heading2"/>
        <w:spacing w:after="120" w:before="240"/>
      </w:pPr>
      <w:r>
        <w:rPr>
          <w:rFonts w:ascii="Arial" w:cs="Arial" w:eastAsia="Arial" w:hAnsi="Arial"/>
          <w:b/>
          <w:bCs/>
          <w:color w:val="2E6DA4"/>
          <w:sz w:val="24"/>
          <w:szCs w:val="24"/>
        </w:rPr>
        <w:t xml:space="preserve">12.1 RFQ Conditions</w:t>
      </w:r>
    </w:p>
    <w:p>
      <w:pPr>
        <w:pStyle w:val="ListParagraph"/>
        <w:numPr>
          <w:ilvl w:val="0"/>
          <w:numId w:val="2"/>
        </w:numPr>
        <w:spacing w:after="60"/>
      </w:pPr>
      <w:r>
        <w:rPr>
          <w:rFonts w:ascii="Arial" w:cs="Arial" w:eastAsia="Arial" w:hAnsi="Arial"/>
          <w:sz w:val="20"/>
          <w:szCs w:val="20"/>
        </w:rPr>
        <w:t xml:space="preserve">This RFQ does not constitute a contract, commitment, or obligation on the part of NES to place a purchase order. NES reserves the right to cancel or modify this RFQ at any time without incurring any liability to any bidder.</w:t>
      </w:r>
    </w:p>
    <w:p>
      <w:pPr>
        <w:pStyle w:val="ListParagraph"/>
        <w:numPr>
          <w:ilvl w:val="0"/>
          <w:numId w:val="2"/>
        </w:numPr>
        <w:spacing w:after="60"/>
      </w:pPr>
      <w:r>
        <w:rPr>
          <w:rFonts w:ascii="Arial" w:cs="Arial" w:eastAsia="Arial" w:hAnsi="Arial"/>
          <w:sz w:val="20"/>
          <w:szCs w:val="20"/>
        </w:rPr>
        <w:t xml:space="preserve">Bidders shall bear all costs associated with preparation and submission of their offer. NES will not reimburse any bid preparation costs.</w:t>
      </w:r>
    </w:p>
    <w:p>
      <w:pPr>
        <w:pStyle w:val="ListParagraph"/>
        <w:numPr>
          <w:ilvl w:val="0"/>
          <w:numId w:val="2"/>
        </w:numPr>
        <w:spacing w:after="60"/>
      </w:pPr>
      <w:r>
        <w:rPr>
          <w:rFonts w:ascii="Arial" w:cs="Arial" w:eastAsia="Arial" w:hAnsi="Arial"/>
          <w:sz w:val="20"/>
          <w:szCs w:val="20"/>
        </w:rPr>
        <w:t xml:space="preserve">All information provided in this RFQ and any addenda thereto is proprietary to NES and/or Client. Vendors shall sign NES Non-Disclosure Agreement (NDA) before receiving this RFQ. Bid submission implies acceptance of NDA obligations.</w:t>
      </w:r>
    </w:p>
    <w:p>
      <w:pPr>
        <w:pStyle w:val="ListParagraph"/>
        <w:numPr>
          <w:ilvl w:val="0"/>
          <w:numId w:val="2"/>
        </w:numPr>
        <w:spacing w:after="60"/>
      </w:pPr>
      <w:r>
        <w:rPr>
          <w:rFonts w:ascii="Arial" w:cs="Arial" w:eastAsia="Arial" w:hAnsi="Arial"/>
          <w:sz w:val="20"/>
          <w:szCs w:val="20"/>
        </w:rPr>
        <w:t xml:space="preserve">Any clarification sought by a vendor via the portal or email will be answered and distributed anonymously to all bidders.</w:t>
      </w:r>
    </w:p>
    <w:p>
      <w:pPr>
        <w:pStyle w:val="ListParagraph"/>
        <w:numPr>
          <w:ilvl w:val="0"/>
          <w:numId w:val="2"/>
        </w:numPr>
        <w:spacing w:after="60"/>
      </w:pPr>
      <w:r>
        <w:rPr>
          <w:rFonts w:ascii="Arial" w:cs="Arial" w:eastAsia="Arial" w:hAnsi="Arial"/>
          <w:sz w:val="20"/>
          <w:szCs w:val="20"/>
        </w:rPr>
        <w:t xml:space="preserve">In submitting a bid, the vendor confirms that they have read, understood, and accepted all requirements of this RFQ, unless a formal deviation is listed in the compliance matrix.</w:t>
      </w:r>
    </w:p>
    <w:p>
      <w:pPr>
        <w:pStyle w:val="ListParagraph"/>
        <w:numPr>
          <w:ilvl w:val="0"/>
          <w:numId w:val="2"/>
        </w:numPr>
        <w:spacing w:after="60"/>
      </w:pPr>
      <w:r>
        <w:rPr>
          <w:rFonts w:ascii="Arial" w:cs="Arial" w:eastAsia="Arial" w:hAnsi="Arial"/>
          <w:sz w:val="20"/>
          <w:szCs w:val="20"/>
        </w:rPr>
        <w:t xml:space="preserve">NES will not be responsible for any discrepancies, omissions, or errors in this document. Vendors must notify NES of any apparent error before the query deadline.</w:t>
      </w:r>
    </w:p>
    <w:p>
      <w:pPr>
        <w:spacing w:after="160"/>
      </w:pPr>
      <w:r>
        <w:t xml:space="preserve"/>
      </w:r>
    </w:p>
    <w:p>
      <w:pPr>
        <w:pStyle w:val="Heading2"/>
        <w:spacing w:after="120" w:before="240"/>
      </w:pPr>
      <w:r>
        <w:rPr>
          <w:rFonts w:ascii="Arial" w:cs="Arial" w:eastAsia="Arial" w:hAnsi="Arial"/>
          <w:b/>
          <w:bCs/>
          <w:color w:val="2E6DA4"/>
          <w:sz w:val="24"/>
          <w:szCs w:val="24"/>
        </w:rPr>
        <w:t xml:space="preserve">12.2 List of Appendices Attached to This RFQ</w:t>
      </w:r>
    </w:p>
    <w:p>
      <w:pPr>
        <w:pStyle w:val="ListParagraph"/>
        <w:numPr>
          <w:ilvl w:val="0"/>
          <w:numId w:val="2"/>
        </w:numPr>
        <w:spacing w:after="60"/>
      </w:pPr>
      <w:r>
        <w:rPr>
          <w:rFonts w:ascii="Arial" w:cs="Arial" w:eastAsia="Arial" w:hAnsi="Arial"/>
          <w:sz w:val="20"/>
          <w:szCs w:val="20"/>
        </w:rPr>
        <w:t xml:space="preserve">Appendix A: Preliminary Process Flow Diagram (NES-AGP-2026-PFD-GDU-001, Rev.0)</w:t>
      </w:r>
    </w:p>
    <w:p>
      <w:pPr>
        <w:pStyle w:val="ListParagraph"/>
        <w:numPr>
          <w:ilvl w:val="0"/>
          <w:numId w:val="2"/>
        </w:numPr>
        <w:spacing w:after="60"/>
      </w:pPr>
      <w:r>
        <w:rPr>
          <w:rFonts w:ascii="Arial" w:cs="Arial" w:eastAsia="Arial" w:hAnsi="Arial"/>
          <w:sz w:val="20"/>
          <w:szCs w:val="20"/>
        </w:rPr>
        <w:t xml:space="preserve">Appendix B: Preliminary P&amp;ID (NES-AGP-2026-PID-GDU-001, Rev.0)</w:t>
      </w:r>
    </w:p>
    <w:p>
      <w:pPr>
        <w:pStyle w:val="ListParagraph"/>
        <w:numPr>
          <w:ilvl w:val="0"/>
          <w:numId w:val="2"/>
        </w:numPr>
        <w:spacing w:after="60"/>
      </w:pPr>
      <w:r>
        <w:rPr>
          <w:rFonts w:ascii="Arial" w:cs="Arial" w:eastAsia="Arial" w:hAnsi="Arial"/>
          <w:sz w:val="20"/>
          <w:szCs w:val="20"/>
        </w:rPr>
        <w:t xml:space="preserve">Appendix C: Site Plot Plan and Battery Limit Drawing</w:t>
      </w:r>
    </w:p>
    <w:p>
      <w:pPr>
        <w:pStyle w:val="ListParagraph"/>
        <w:numPr>
          <w:ilvl w:val="0"/>
          <w:numId w:val="2"/>
        </w:numPr>
        <w:spacing w:after="60"/>
      </w:pPr>
      <w:r>
        <w:rPr>
          <w:rFonts w:ascii="Arial" w:cs="Arial" w:eastAsia="Arial" w:hAnsi="Arial"/>
          <w:sz w:val="20"/>
          <w:szCs w:val="20"/>
        </w:rPr>
        <w:t xml:space="preserve">Appendix D: Project Painting and Coating Specification (NES-AGP-2026-PAINT-001)</w:t>
      </w:r>
    </w:p>
    <w:p>
      <w:pPr>
        <w:pStyle w:val="ListParagraph"/>
        <w:numPr>
          <w:ilvl w:val="0"/>
          <w:numId w:val="2"/>
        </w:numPr>
        <w:spacing w:after="60"/>
      </w:pPr>
      <w:r>
        <w:rPr>
          <w:rFonts w:ascii="Arial" w:cs="Arial" w:eastAsia="Arial" w:hAnsi="Arial"/>
          <w:sz w:val="20"/>
          <w:szCs w:val="20"/>
        </w:rPr>
        <w:t xml:space="preserve">Appendix E: NES Vendor QHSE Requirements (NES-QHSE-SUP-001)</w:t>
      </w:r>
    </w:p>
    <w:p>
      <w:pPr>
        <w:pStyle w:val="ListParagraph"/>
        <w:numPr>
          <w:ilvl w:val="0"/>
          <w:numId w:val="2"/>
        </w:numPr>
        <w:spacing w:after="60"/>
      </w:pPr>
      <w:r>
        <w:rPr>
          <w:rFonts w:ascii="Arial" w:cs="Arial" w:eastAsia="Arial" w:hAnsi="Arial"/>
          <w:sz w:val="20"/>
          <w:szCs w:val="20"/>
        </w:rPr>
        <w:t xml:space="preserve">Appendix F: Instrument Philosophy Document (NES-AGP-2026-INSTR-001)</w:t>
      </w:r>
    </w:p>
    <w:p>
      <w:pPr>
        <w:pStyle w:val="ListParagraph"/>
        <w:numPr>
          <w:ilvl w:val="0"/>
          <w:numId w:val="2"/>
        </w:numPr>
        <w:spacing w:after="60"/>
      </w:pPr>
      <w:r>
        <w:rPr>
          <w:rFonts w:ascii="Arial" w:cs="Arial" w:eastAsia="Arial" w:hAnsi="Arial"/>
          <w:sz w:val="20"/>
          <w:szCs w:val="20"/>
        </w:rPr>
        <w:t xml:space="preserve">Appendix G: Electrical Area Classification Drawing (NES-AGP-2026-EAC-001)</w:t>
      </w:r>
    </w:p>
    <w:p>
      <w:pPr>
        <w:pStyle w:val="ListParagraph"/>
        <w:numPr>
          <w:ilvl w:val="0"/>
          <w:numId w:val="2"/>
        </w:numPr>
        <w:spacing w:after="60"/>
      </w:pPr>
      <w:r>
        <w:rPr>
          <w:rFonts w:ascii="Arial" w:cs="Arial" w:eastAsia="Arial" w:hAnsi="Arial"/>
          <w:sz w:val="20"/>
          <w:szCs w:val="20"/>
        </w:rPr>
        <w:t xml:space="preserve">Appendix H: NES General Terms and Conditions for Purchase Orders</w:t>
      </w:r>
    </w:p>
    <w:p>
      <w:pPr>
        <w:pStyle w:val="ListParagraph"/>
        <w:numPr>
          <w:ilvl w:val="0"/>
          <w:numId w:val="2"/>
        </w:numPr>
        <w:spacing w:after="60"/>
      </w:pPr>
      <w:r>
        <w:rPr>
          <w:rFonts w:ascii="Arial" w:cs="Arial" w:eastAsia="Arial" w:hAnsi="Arial"/>
          <w:sz w:val="20"/>
          <w:szCs w:val="20"/>
        </w:rPr>
        <w:t xml:space="preserve">Appendix I: Compliance Matrix Template (Excel – to be completed and returned by Vendor)</w:t>
      </w:r>
    </w:p>
    <w:p>
      <w:pPr>
        <w:pStyle w:val="ListParagraph"/>
        <w:numPr>
          <w:ilvl w:val="0"/>
          <w:numId w:val="2"/>
        </w:numPr>
        <w:spacing w:after="60"/>
      </w:pPr>
      <w:r>
        <w:rPr>
          <w:rFonts w:ascii="Arial" w:cs="Arial" w:eastAsia="Arial" w:hAnsi="Arial"/>
          <w:sz w:val="20"/>
          <w:szCs w:val="20"/>
        </w:rPr>
        <w:t xml:space="preserve">Appendix J: Bid Price Schedule Template (Excel – to be completed and returned by Vendor)</w:t>
      </w:r>
    </w:p>
    <w:p>
      <w:pPr>
        <w:pStyle w:val="ListParagraph"/>
        <w:numPr>
          <w:ilvl w:val="0"/>
          <w:numId w:val="2"/>
        </w:numPr>
        <w:spacing w:after="60"/>
      </w:pPr>
      <w:r>
        <w:rPr>
          <w:rFonts w:ascii="Arial" w:cs="Arial" w:eastAsia="Arial" w:hAnsi="Arial"/>
          <w:sz w:val="20"/>
          <w:szCs w:val="20"/>
        </w:rPr>
        <w:t xml:space="preserve">Appendix K: Vendor Pre-Qualification Questionnaire (if not already on NES AVL)</w:t>
      </w:r>
    </w:p>
    <w:p>
      <w:pPr>
        <w:spacing w:after="160"/>
      </w:pPr>
      <w:r>
        <w:t xml:space="preserve"/>
      </w:r>
    </w:p>
    <w:p>
      <w:pPr>
        <w:pStyle w:val="Heading2"/>
        <w:spacing w:after="120" w:before="240"/>
      </w:pPr>
      <w:r>
        <w:rPr>
          <w:rFonts w:ascii="Arial" w:cs="Arial" w:eastAsia="Arial" w:hAnsi="Arial"/>
          <w:b/>
          <w:bCs/>
          <w:color w:val="2E6DA4"/>
          <w:sz w:val="24"/>
          <w:szCs w:val="24"/>
        </w:rPr>
        <w:t xml:space="preserve">12.3 Authorized Signatures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Prepared by</w:t>
            </w:r>
          </w:p>
        </w:tc>
        <w:tc>
          <w:tcPr>
            <w:tcW w:type="dxa" w:w="4680"/>
            <w:gridSpan w:val="1"/>
            <w:tcBorders>
              <w:top w:val="single" w:color="C0CDD8" w:sz="1"/>
              <w:left w:val="single" w:color="C0CDD8" w:sz="1"/>
              <w:bottom w:val="single" w:color="C0CDD8" w:sz="1"/>
              <w:right w:val="single" w:color="C0CDD8"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Approved by</w:t>
            </w:r>
          </w:p>
        </w:tc>
      </w:tr>
      <w:tr>
        <w:tc>
          <w:tcPr>
            <w:tcW w:type="dxa" w:w="4680"/>
            <w:tcBorders>
              <w:top w:val="single" w:color="C0CDD8" w:sz="1"/>
              <w:left w:val="single" w:color="C0CDD8" w:sz="1"/>
              <w:bottom w:val="single" w:color="C0CDD8" w:sz="1"/>
              <w:right w:val="single" w:color="C0CDD8" w:sz="1"/>
            </w:tcBorders>
            <w:tcMar>
              <w:top w:type="dxa" w:w="200"/>
              <w:left w:type="dxa" w:w="120"/>
              <w:bottom w:type="dxa" w:w="800"/>
              <w:right w:type="dxa" w:w="120"/>
            </w:tcMar>
          </w:tcPr>
          <w:p>
            <w:pPr>
              <w:spacing w:after="120"/>
            </w:pPr>
            <w:r>
              <w:rPr>
                <w:rFonts w:ascii="Arial" w:cs="Arial" w:eastAsia="Arial" w:hAnsi="Arial"/>
                <w:b/>
                <w:bCs/>
                <w:sz w:val="20"/>
                <w:szCs w:val="20"/>
              </w:rPr>
              <w:t xml:space="preserve">Ing. Giulia Ferretti</w:t>
            </w:r>
          </w:p>
          <w:p>
            <w:pPr>
              <w:spacing w:after="120"/>
            </w:pPr>
            <w:r>
              <w:rPr>
                <w:rFonts w:ascii="Arial" w:cs="Arial" w:eastAsia="Arial" w:hAnsi="Arial"/>
                <w:sz w:val="20"/>
                <w:szCs w:val="20"/>
              </w:rPr>
              <w:t xml:space="preserve">Lead Process Engineer – Procurement</w:t>
            </w:r>
          </w:p>
          <w:p>
            <w:pPr>
              <w:spacing w:after="120"/>
            </w:pPr>
            <w:r>
              <w:rPr>
                <w:rFonts w:ascii="Arial" w:cs="Arial" w:eastAsia="Arial" w:hAnsi="Arial"/>
                <w:sz w:val="20"/>
                <w:szCs w:val="20"/>
              </w:rPr>
              <w:t xml:space="preserve">Nexus Energy Solutions S.p.A.</w:t>
            </w:r>
          </w:p>
          <w:p>
            <w:pPr>
              <w:spacing w:after="120"/>
            </w:pPr>
            <w:r>
              <w:rPr>
                <w:rFonts w:ascii="Arial" w:cs="Arial" w:eastAsia="Arial" w:hAnsi="Arial"/>
                <w:sz w:val="20"/>
                <w:szCs w:val="20"/>
              </w:rPr>
              <w:t xml:space="preserve">g.ferretti@nexusenergyit.com</w:t>
            </w:r>
          </w:p>
          <w:p>
            <w:pPr>
              <w:spacing w:after="160"/>
            </w:pPr>
            <w:r>
              <w:t xml:space="preserve"/>
            </w:r>
          </w:p>
          <w:p>
            <w:pPr>
              <w:spacing w:after="120"/>
            </w:pPr>
            <w:r>
              <w:rPr>
                <w:rFonts w:ascii="Arial" w:cs="Arial" w:eastAsia="Arial" w:hAnsi="Arial"/>
                <w:sz w:val="20"/>
                <w:szCs w:val="20"/>
              </w:rPr>
              <w:t xml:space="preserve">Signature: ________________________</w:t>
            </w:r>
          </w:p>
          <w:p>
            <w:pPr>
              <w:spacing w:after="120"/>
            </w:pPr>
            <w:r>
              <w:rPr>
                <w:rFonts w:ascii="Arial" w:cs="Arial" w:eastAsia="Arial" w:hAnsi="Arial"/>
                <w:sz w:val="20"/>
                <w:szCs w:val="20"/>
              </w:rPr>
              <w:t xml:space="preserve">Date: _____________________________</w:t>
            </w:r>
          </w:p>
        </w:tc>
        <w:tc>
          <w:tcPr>
            <w:tcW w:type="dxa" w:w="4680"/>
            <w:tcBorders>
              <w:top w:val="single" w:color="C0CDD8" w:sz="1"/>
              <w:left w:val="single" w:color="C0CDD8" w:sz="1"/>
              <w:bottom w:val="single" w:color="C0CDD8" w:sz="1"/>
              <w:right w:val="single" w:color="C0CDD8" w:sz="1"/>
            </w:tcBorders>
            <w:tcMar>
              <w:top w:type="dxa" w:w="200"/>
              <w:left w:type="dxa" w:w="120"/>
              <w:bottom w:type="dxa" w:w="800"/>
              <w:right w:type="dxa" w:w="120"/>
            </w:tcMar>
          </w:tcPr>
          <w:p>
            <w:pPr>
              <w:spacing w:after="120"/>
            </w:pPr>
            <w:r>
              <w:rPr>
                <w:rFonts w:ascii="Arial" w:cs="Arial" w:eastAsia="Arial" w:hAnsi="Arial"/>
                <w:b/>
                <w:bCs/>
                <w:sz w:val="20"/>
                <w:szCs w:val="20"/>
              </w:rPr>
              <w:t xml:space="preserve">Ing. Marco Rossi</w:t>
            </w:r>
          </w:p>
          <w:p>
            <w:pPr>
              <w:spacing w:after="120"/>
            </w:pPr>
            <w:r>
              <w:rPr>
                <w:rFonts w:ascii="Arial" w:cs="Arial" w:eastAsia="Arial" w:hAnsi="Arial"/>
                <w:sz w:val="20"/>
                <w:szCs w:val="20"/>
              </w:rPr>
              <w:t xml:space="preserve">Project Manager – Adriatic GAS Phase II</w:t>
            </w:r>
          </w:p>
          <w:p>
            <w:pPr>
              <w:spacing w:after="120"/>
            </w:pPr>
            <w:r>
              <w:rPr>
                <w:rFonts w:ascii="Arial" w:cs="Arial" w:eastAsia="Arial" w:hAnsi="Arial"/>
                <w:sz w:val="20"/>
                <w:szCs w:val="20"/>
              </w:rPr>
              <w:t xml:space="preserve">Nexus Energy Solutions S.p.A.</w:t>
            </w:r>
          </w:p>
          <w:p>
            <w:pPr>
              <w:spacing w:after="120"/>
            </w:pPr>
            <w:r>
              <w:rPr>
                <w:rFonts w:ascii="Arial" w:cs="Arial" w:eastAsia="Arial" w:hAnsi="Arial"/>
                <w:sz w:val="20"/>
                <w:szCs w:val="20"/>
              </w:rPr>
              <w:t xml:space="preserve">m.rossi@nexusenergyit.com</w:t>
            </w:r>
          </w:p>
          <w:p>
            <w:pPr>
              <w:spacing w:after="160"/>
            </w:pPr>
            <w:r>
              <w:t xml:space="preserve"/>
            </w:r>
          </w:p>
          <w:p>
            <w:pPr>
              <w:spacing w:after="120"/>
            </w:pPr>
            <w:r>
              <w:rPr>
                <w:rFonts w:ascii="Arial" w:cs="Arial" w:eastAsia="Arial" w:hAnsi="Arial"/>
                <w:sz w:val="20"/>
                <w:szCs w:val="20"/>
              </w:rPr>
              <w:t xml:space="preserve">Signature: ________________________</w:t>
            </w:r>
          </w:p>
          <w:p>
            <w:pPr>
              <w:spacing w:after="120"/>
            </w:pPr>
            <w:r>
              <w:rPr>
                <w:rFonts w:ascii="Arial" w:cs="Arial" w:eastAsia="Arial" w:hAnsi="Arial"/>
                <w:sz w:val="20"/>
                <w:szCs w:val="20"/>
              </w:rPr>
              <w:t xml:space="preserve">Date: _____________________________</w:t>
            </w:r>
          </w:p>
        </w:tc>
      </w:tr>
    </w:tbl>
    <w:p>
      <w:pPr>
        <w:spacing w:after="160"/>
      </w:pPr>
      <w:r>
        <w:t xml:space="preserve"/>
      </w:r>
    </w:p>
    <w:p>
      <w:pPr>
        <w:pBdr>
          <w:top w:val="single" w:color="1B3A5C" w:sz="6" w:space="4"/>
        </w:pBdr>
        <w:spacing w:after="120" w:before="400"/>
        <w:jc w:val="center"/>
      </w:pPr>
      <w:r>
        <w:rPr>
          <w:rFonts w:ascii="Arial" w:cs="Arial" w:eastAsia="Arial" w:hAnsi="Arial"/>
          <w:b/>
          <w:bCs/>
          <w:color w:val="1B3A5C"/>
          <w:sz w:val="22"/>
          <w:szCs w:val="22"/>
        </w:rPr>
        <w:t xml:space="preserve">END OF REQUEST FOR QUOTATION DOCUMENT</w:t>
      </w:r>
    </w:p>
    <w:p>
      <w:pPr>
        <w:jc w:val="center"/>
      </w:pPr>
      <w:r>
        <w:rPr>
          <w:rFonts w:ascii="Arial" w:cs="Arial" w:eastAsia="Arial" w:hAnsi="Arial"/>
          <w:i/>
          <w:iCs/>
          <w:color w:val="888888"/>
          <w:sz w:val="16"/>
          <w:szCs w:val="16"/>
        </w:rPr>
        <w:t xml:space="preserve">NES-AGP-2026-007-RFQ-GAS-DRY-001  |  Rev. A  |  12 March 2026  |  COMPANY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tabs>
        <w:tab w:val="right" w:pos="9000"/>
      </w:tabs>
    </w:pPr>
    <w:r>
      <w:rPr>
        <w:rFonts w:ascii="Arial" w:cs="Arial" w:eastAsia="Arial" w:hAnsi="Arial"/>
        <w:color w:val="777777"/>
        <w:sz w:val="16"/>
        <w:szCs w:val="16"/>
      </w:rPr>
      <w:t xml:space="preserve">COMPANY CONFIDENTIAL – NEXUS ENERGY SOLUTIONS S.p.A.    	    Page </w:t>
    </w:r>
    <w:fldSimple w:instr="PAGE"/>
    <w:r>
      <w:rPr>
        <w:rFonts w:ascii="Arial" w:cs="Arial" w:eastAsia="Arial" w:hAnsi="Arial"/>
        <w:color w:val="777777"/>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b/>
        <w:bCs/>
        <w:color w:val="1B3A5C"/>
        <w:sz w:val="18"/>
        <w:szCs w:val="18"/>
      </w:rPr>
      <w:t xml:space="preserve">NEXUS ENERGY SOLUTIONS S.p.A.    |    </w:t>
    </w:r>
    <w:r>
      <w:rPr>
        <w:rFonts w:ascii="Arial" w:cs="Arial" w:eastAsia="Arial" w:hAnsi="Arial"/>
        <w:color w:val="555555"/>
        <w:sz w:val="16"/>
        <w:szCs w:val="16"/>
      </w:rPr>
      <w:t xml:space="preserve">RFQ No.: NES-AGP-2026-007-RFQ-GAS-DRY-001    |    </w:t>
    </w:r>
    <w:r>
      <w:rPr>
        <w:rFonts w:ascii="Arial" w:cs="Arial" w:eastAsia="Arial" w:hAnsi="Arial"/>
        <w:color w:val="555555"/>
        <w:sz w:val="16"/>
        <w:szCs w:val="16"/>
      </w:rPr>
      <w:t xml:space="preserve">Rev. A  |  12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2026-03-12T11:02:36.067Z</dcterms:created>
  <dcterms:modified xsi:type="dcterms:W3CDTF">2026-03-12T11:02:36.067Z</dcterms:modified>
</cp:coreProperties>
</file>

<file path=docProps/custom.xml><?xml version="1.0" encoding="utf-8"?>
<Properties xmlns="http://schemas.openxmlformats.org/officeDocument/2006/custom-properties" xmlns:vt="http://schemas.openxmlformats.org/officeDocument/2006/docPropsVTypes"/>
</file>