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0A2240"/>
          <w:sz w:val="56"/>
          <w:szCs w:val="56"/>
        </w:rPr>
        <w:t xml:space="preserve">MENA PROCESS ENGINEERING LLC</w:t>
      </w:r>
    </w:p>
    <w:p>
      <w:pPr>
        <w:spacing w:after="240" w:before="60"/>
        <w:jc w:val="center"/>
      </w:pPr>
      <w:r>
        <w:rPr>
          <w:rFonts w:ascii="Arial" w:cs="Arial" w:eastAsia="Arial" w:hAnsi="Arial"/>
          <w:color w:val="555555"/>
          <w:sz w:val="24"/>
          <w:szCs w:val="24"/>
        </w:rPr>
        <w:t xml:space="preserve">Abu Dhabi, United Arab Emirates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240" w:val="clear"/>
            <w:tcMar>
              <w:top w:type="dxa" w:w="400"/>
              <w:left w:type="dxa" w:w="400"/>
              <w:bottom w:type="dxa" w:w="400"/>
              <w:right w:type="dxa" w:w="400"/>
            </w:tcMar>
          </w:tcPr>
          <w:p>
            <w:pPr>
              <w:spacing w:after="80" w:before="0"/>
              <w:jc w:val="center"/>
            </w:pPr>
            <w:r>
              <w:rPr>
                <w:rFonts w:ascii="Arial" w:cs="Arial" w:eastAsia="Arial" w:hAnsi="Arial"/>
                <w:b/>
                <w:bCs/>
                <w:color w:val="FFFFFF"/>
                <w:sz w:val="48"/>
                <w:szCs w:val="48"/>
              </w:rPr>
              <w:t xml:space="preserve">REQUEST FOR QUOTATION</w:t>
            </w:r>
          </w:p>
          <w:p>
            <w:pPr>
              <w:spacing w:after="160" w:before="0"/>
              <w:jc w:val="center"/>
            </w:pPr>
            <w:r>
              <w:rPr>
                <w:rFonts w:ascii="Arial" w:cs="Arial" w:eastAsia="Arial" w:hAnsi="Arial"/>
                <w:b/>
                <w:bCs/>
                <w:color w:val="7FD4FF"/>
                <w:sz w:val="36"/>
                <w:szCs w:val="36"/>
              </w:rPr>
              <w:t xml:space="preserve">Hydrogen Purification &amp; Drying Unit (HPDU) Package</w:t>
            </w:r>
          </w:p>
          <w:p>
            <w:pPr>
              <w:spacing w:after="80" w:before="0"/>
              <w:jc w:val="center"/>
            </w:pPr>
            <w:r>
              <w:rPr>
                <w:rFonts w:ascii="Arial" w:cs="Arial" w:eastAsia="Arial" w:hAnsi="Arial"/>
                <w:color w:val="E6EFF5"/>
                <w:sz w:val="28"/>
                <w:szCs w:val="28"/>
              </w:rPr>
              <w:t xml:space="preserve">Al Dhafra Green Hydrogen Production Facility – Phase I</w:t>
            </w:r>
          </w:p>
          <w:p>
            <w:pPr>
              <w:spacing w:after="0" w:before="0"/>
              <w:jc w:val="center"/>
            </w:pPr>
            <w:r>
              <w:rPr>
                <w:rFonts w:ascii="Arial" w:cs="Arial" w:eastAsia="Arial" w:hAnsi="Arial"/>
                <w:color w:val="B0BEC5"/>
                <w:sz w:val="24"/>
                <w:szCs w:val="24"/>
              </w:rPr>
              <w:t xml:space="preserve">Owner: Masdar Green Hydrogen Co. LLC, Abu Dhabi, UAE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Document Number</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MPE-AGHP-2026-003-RFQ-HPDU-001</w:t>
            </w:r>
          </w:p>
        </w:tc>
      </w:tr>
      <w:tr>
        <w:tc>
          <w:tcPr>
            <w:tcW w:type="dxa" w:w="3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Revision</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 – Issued for Quotation (IFQ)</w:t>
            </w:r>
          </w:p>
        </w:tc>
      </w:tr>
      <w:tr>
        <w:tc>
          <w:tcPr>
            <w:tcW w:type="dxa" w:w="3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Date of Issue</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12 March 2026</w:t>
            </w:r>
          </w:p>
        </w:tc>
      </w:tr>
      <w:tr>
        <w:tc>
          <w:tcPr>
            <w:tcW w:type="dxa" w:w="3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Project</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 Dhafra Green Hydrogen Production Facility – Phase I</w:t>
            </w:r>
          </w:p>
        </w:tc>
      </w:tr>
      <w:tr>
        <w:tc>
          <w:tcPr>
            <w:tcW w:type="dxa" w:w="3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Project Number</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MPE-AGHP-2026-003</w:t>
            </w:r>
          </w:p>
        </w:tc>
      </w:tr>
      <w:tr>
        <w:tc>
          <w:tcPr>
            <w:tcW w:type="dxa" w:w="3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Client / Owner</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Masdar Green Hydrogen Co. LLC, Abu Dhabi, UAE</w:t>
            </w:r>
          </w:p>
        </w:tc>
      </w:tr>
      <w:tr>
        <w:tc>
          <w:tcPr>
            <w:tcW w:type="dxa" w:w="3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EPC Contractor</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MENA Process Engineering LLC (MPE), Abu Dhabi, UAE</w:t>
            </w:r>
          </w:p>
        </w:tc>
      </w:tr>
      <w:tr>
        <w:tc>
          <w:tcPr>
            <w:tcW w:type="dxa" w:w="3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Package Title</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Hydrogen Purification and Drying Unit (HPDU) – Including Deoxo Reactor, Water Separators, and TSA Dryer System</w:t>
            </w:r>
          </w:p>
        </w:tc>
      </w:tr>
      <w:tr>
        <w:tc>
          <w:tcPr>
            <w:tcW w:type="dxa" w:w="3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RFQ Closing Date</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22 April 2026, 17:00 GST (Gulf Standard Time, UTC+4)</w:t>
            </w:r>
          </w:p>
        </w:tc>
      </w:tr>
      <w:tr>
        <w:tc>
          <w:tcPr>
            <w:tcW w:type="dxa" w:w="3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Quotation Validity Required</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120 calendar days from RFQ closing date</w:t>
            </w:r>
          </w:p>
        </w:tc>
      </w:tr>
      <w:tr>
        <w:tc>
          <w:tcPr>
            <w:tcW w:type="dxa" w:w="3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Technical Contact</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Dr. Fatima Al-Rashidi, Process Engineering Lead – f.alrashidi@mpeabudhabi.ae</w:t>
            </w:r>
          </w:p>
        </w:tc>
      </w:tr>
      <w:tr>
        <w:tc>
          <w:tcPr>
            <w:tcW w:type="dxa" w:w="3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Procurement Contact</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Mr. Khalid Nasser, Senior Procurement Manager – k.nasser@mpeabudhabi.ae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E5E5" w:val="clear"/>
            <w:tcMar>
              <w:top w:type="dxa" w:w="100"/>
              <w:left w:type="dxa" w:w="200"/>
              <w:bottom w:type="dxa" w:w="100"/>
              <w:right w:type="dxa" w:w="200"/>
            </w:tcMar>
          </w:tcPr>
          <w:p>
            <w:r>
              <w:rPr>
                <w:rFonts w:ascii="Arial" w:cs="Arial" w:eastAsia="Arial" w:hAnsi="Arial"/>
                <w:b/>
                <w:bCs/>
                <w:color w:val="8B0000"/>
                <w:sz w:val="19"/>
                <w:szCs w:val="19"/>
              </w:rPr>
              <w:t xml:space="preserve">⛔ SAFETY WARNING: </w:t>
            </w:r>
            <w:r>
              <w:rPr>
                <w:rFonts w:ascii="Arial" w:cs="Arial" w:eastAsia="Arial" w:hAnsi="Arial"/>
                <w:color w:val="8B0000"/>
                <w:sz w:val="18"/>
                <w:szCs w:val="18"/>
              </w:rPr>
              <w:t xml:space="preserve">HYDROGEN SERVICE — ALL EQUIPMENT SUPPLIED UNDER THIS RFQ IS IN HIGH-PRESSURE HYDROGEN SERVICE (IEC 60079 GROUP IIC). MATERIALS, DESIGN, ATEX CERTIFICATION, SEALING, AND TESTING REQUIREMENTS ARE MORE STRINGENT THAN HYDROCARBON GAS SERVICE. VENDORS WITHOUT PROVEN EXPERIENCE IN HYDROGEN SERVICE EQUIPMENT SHOULD NOT SUBMIT A BID.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0A2240" w:val="clear"/>
            <w:tcMar>
              <w:top w:type="dxa" w:w="200"/>
              <w:left w:type="dxa" w:w="300"/>
              <w:bottom w:type="dxa" w:w="200"/>
              <w:right w:type="dxa" w:w="300"/>
            </w:tcMar>
          </w:tcPr>
          <w:p>
            <w:pPr>
              <w:spacing w:after="60"/>
              <w:jc w:val="center"/>
            </w:pPr>
            <w:r>
              <w:rPr>
                <w:rFonts w:ascii="Arial" w:cs="Arial" w:eastAsia="Arial" w:hAnsi="Arial"/>
                <w:b/>
                <w:bCs/>
                <w:color w:val="7FD4FF"/>
                <w:sz w:val="32"/>
                <w:szCs w:val="32"/>
              </w:rPr>
              <w:t xml:space="preserve">Al Dhafra Green Hydrogen Production Facility – Phase I</w:t>
            </w:r>
          </w:p>
          <w:p>
            <w:pPr>
              <w:spacing w:after="0"/>
              <w:jc w:val="center"/>
            </w:pPr>
            <w:r>
              <w:rPr>
                <w:rFonts w:ascii="Arial" w:cs="Arial" w:eastAsia="Arial" w:hAnsi="Arial"/>
                <w:b/>
                <w:bCs/>
                <w:color w:val="FFFFFF"/>
                <w:sz w:val="26"/>
                <w:szCs w:val="26"/>
              </w:rPr>
              <w:t xml:space="preserve">REQUEST FOR QUOTATION — HYDROGEN PURIFICATION &amp; DRYING UNIT (HPDU)</w:t>
            </w:r>
          </w:p>
          <w:p>
            <w:pPr>
              <w:spacing w:after="0" w:before="60"/>
              <w:jc w:val="center"/>
            </w:pPr>
            <w:r>
              <w:rPr>
                <w:rFonts w:ascii="Arial" w:cs="Arial" w:eastAsia="Arial" w:hAnsi="Arial"/>
                <w:color w:val="E6EFF5"/>
                <w:sz w:val="20"/>
                <w:szCs w:val="20"/>
              </w:rPr>
              <w:t xml:space="preserve">Doc. MPE-AGHP-2026-003-RFQ-HPDU-001  |  Rev. A  |  12 March 2026</w:t>
            </w:r>
          </w:p>
        </w:tc>
      </w:tr>
    </w:tbl>
    <w:p>
      <w:pPr>
        <w:spacing w:after="60" w:before="60"/>
      </w:pPr>
      <w:r>
        <w:t xml:space="preserve"/>
      </w:r>
    </w:p>
    <w:p>
      <w:pPr>
        <w:pStyle w:val="Heading1"/>
        <w:pBdr>
          <w:bottom w:val="single" w:color="007A7C" w:sz="10" w:space="4"/>
        </w:pBdr>
        <w:spacing w:after="180" w:before="360"/>
      </w:pPr>
      <w:r>
        <w:rPr>
          <w:rFonts w:ascii="Arial" w:cs="Arial" w:eastAsia="Arial" w:hAnsi="Arial"/>
          <w:b/>
          <w:bCs/>
          <w:color w:val="0A2240"/>
          <w:sz w:val="28"/>
          <w:szCs w:val="28"/>
        </w:rPr>
        <w:t xml:space="preserve">0. GENERAL INFORMATION AND INTRODUCTION</w:t>
      </w:r>
    </w:p>
    <w:p>
      <w:pPr>
        <w:pStyle w:val="Heading2"/>
        <w:spacing w:after="120" w:before="240"/>
      </w:pPr>
      <w:r>
        <w:rPr>
          <w:rFonts w:ascii="Arial" w:cs="Arial" w:eastAsia="Arial" w:hAnsi="Arial"/>
          <w:b/>
          <w:bCs/>
          <w:color w:val="0070B8"/>
          <w:sz w:val="24"/>
          <w:szCs w:val="24"/>
        </w:rPr>
        <w:t xml:space="preserve">0.1 Project Background</w:t>
      </w:r>
    </w:p>
    <w:p>
      <w:pPr>
        <w:spacing w:after="80" w:before="80"/>
      </w:pPr>
      <w:r>
        <w:rPr>
          <w:rFonts w:ascii="Arial" w:cs="Arial" w:eastAsia="Arial" w:hAnsi="Arial"/>
          <w:sz w:val="20"/>
          <w:szCs w:val="20"/>
        </w:rPr>
        <w:t xml:space="preserve">MENA Process Engineering LLC (MPE) has been appointed as Engineering, Procurement, and Construction (EPC) Contractor by Masdar Green Hydrogen Co. LLC for the Al Dhafra Green Hydrogen Production Facility – Phase I, located in the Al Dhafra region, Abu Dhabi Emirate, UAE. The facility will produce green hydrogen using large-scale Proton Exchange Membrane (PEM) electrolysis powered by renewable energy (solar and grid). The total installed electrolysis capacity for Phase I is 100 MW (nominal), generating approximately 10,000 Nm³/h of raw hydrogen gas under design conditions.</w:t>
      </w:r>
    </w:p>
    <w:p>
      <w:pPr>
        <w:spacing w:after="80" w:before="80"/>
      </w:pPr>
      <w:r>
        <w:rPr>
          <w:rFonts w:ascii="Arial" w:cs="Arial" w:eastAsia="Arial" w:hAnsi="Arial"/>
          <w:sz w:val="20"/>
          <w:szCs w:val="20"/>
        </w:rPr>
        <w:t xml:space="preserve">The raw hydrogen gas produced by the PEM electrolysis stacks contains elevated levels of oxygen (O₂ crossover through the PEM membrane), water vapour (process steam), and trace impurities including nitrogen, ammonia, and other species. Before the hydrogen can be delivered to the downstream product compression and storage system, it must be purified to at minimum ISO 14687:2019 Grade 4.0 quality (≥ 99.99 mol% H₂, O₂ ≤ 5 ppm, H₂O ≤ 5 ppm).</w:t>
      </w:r>
    </w:p>
    <w:p>
      <w:pPr>
        <w:spacing w:after="60" w:before="60"/>
      </w:pPr>
      <w:r>
        <w:t xml:space="preserve"/>
      </w:r>
    </w:p>
    <w:p>
      <w:pPr>
        <w:pStyle w:val="Heading2"/>
        <w:spacing w:after="120" w:before="240"/>
      </w:pPr>
      <w:r>
        <w:rPr>
          <w:rFonts w:ascii="Arial" w:cs="Arial" w:eastAsia="Arial" w:hAnsi="Arial"/>
          <w:b/>
          <w:bCs/>
          <w:color w:val="0070B8"/>
          <w:sz w:val="24"/>
          <w:szCs w:val="24"/>
        </w:rPr>
        <w:t xml:space="preserve">0.2 Purpose of this RFQ</w:t>
      </w:r>
    </w:p>
    <w:p>
      <w:pPr>
        <w:spacing w:after="80" w:before="80"/>
      </w:pPr>
      <w:r>
        <w:rPr>
          <w:rFonts w:ascii="Arial" w:cs="Arial" w:eastAsia="Arial" w:hAnsi="Arial"/>
          <w:sz w:val="20"/>
          <w:szCs w:val="20"/>
        </w:rPr>
        <w:t xml:space="preserve">MPE hereby invites qualified Vendors to submit a firm lump sum quotation for the complete engineering, procurement, fabrication, testing, and supply of the Hydrogen Purification and Drying Unit (HPDU) Package as described herein. The HPDU is a critical safety and quality package. The sequence of treatment within the HPDU is mandated as follows:</w:t>
      </w:r>
    </w:p>
    <w:p>
      <w:pPr>
        <w:pStyle w:val="ListParagraph"/>
        <w:numPr>
          <w:ilvl w:val="0"/>
          <w:numId w:val="2"/>
        </w:numPr>
        <w:spacing w:after="60" w:before="60"/>
      </w:pPr>
      <w:r>
        <w:rPr>
          <w:rFonts w:ascii="Arial" w:cs="Arial" w:eastAsia="Arial" w:hAnsi="Arial"/>
          <w:sz w:val="18"/>
          <w:szCs w:val="18"/>
        </w:rPr>
        <w:t xml:space="preserve">STEP 1 — Primary Gas-Liquid Separation: Remove bulk liquid water and any entrained electrolyte (KOH traces if AEL backup is ever used) from the raw electrolysis gas before the catalytic deoxo stage.</w:t>
      </w:r>
    </w:p>
    <w:p>
      <w:pPr>
        <w:pStyle w:val="ListParagraph"/>
        <w:numPr>
          <w:ilvl w:val="0"/>
          <w:numId w:val="2"/>
        </w:numPr>
        <w:spacing w:after="60" w:before="60"/>
      </w:pPr>
      <w:r>
        <w:rPr>
          <w:rFonts w:ascii="Arial" w:cs="Arial" w:eastAsia="Arial" w:hAnsi="Arial"/>
          <w:sz w:val="18"/>
          <w:szCs w:val="18"/>
        </w:rPr>
        <w:t xml:space="preserve">STEP 2 — Inlet Gas Filtration / Coalescing: Remove sub-micron aerosols, compressor oil mist, and any catalyst-poisoning species before the deoxo reactor.</w:t>
      </w:r>
    </w:p>
    <w:p>
      <w:pPr>
        <w:pStyle w:val="ListParagraph"/>
        <w:numPr>
          <w:ilvl w:val="0"/>
          <w:numId w:val="2"/>
        </w:numPr>
        <w:spacing w:after="60" w:before="60"/>
      </w:pPr>
      <w:r>
        <w:rPr>
          <w:rFonts w:ascii="Arial" w:cs="Arial" w:eastAsia="Arial" w:hAnsi="Arial"/>
          <w:sz w:val="18"/>
          <w:szCs w:val="18"/>
        </w:rPr>
        <w:t xml:space="preserve">STEP 3 — Deoxo Feed Preheating: Raise the gas temperature to the catalyst activation temperature (150–180°C) using an electric heater (no combustion permitted in H₂ Zone 1 environment – no gas-fired heaters in this package).</w:t>
      </w:r>
    </w:p>
    <w:p>
      <w:pPr>
        <w:pStyle w:val="ListParagraph"/>
        <w:numPr>
          <w:ilvl w:val="0"/>
          <w:numId w:val="2"/>
        </w:numPr>
        <w:spacing w:after="60" w:before="60"/>
      </w:pPr>
      <w:r>
        <w:rPr>
          <w:rFonts w:ascii="Arial" w:cs="Arial" w:eastAsia="Arial" w:hAnsi="Arial"/>
          <w:sz w:val="18"/>
          <w:szCs w:val="18"/>
        </w:rPr>
        <w:t xml:space="preserve">STEP 4 — Catalytic Deoxo Reactor: Remove O₂ to ≤ 5 ppm (target ≤ 1 ppm) via catalytic recombination: 2H₂ + O₂ → 2H₂O. The reaction is highly exothermic; at the design maximum O₂ of 2.0 vol%, adiabatic temperature rise can reach 260°C. All materials must withstand this temperature.</w:t>
      </w:r>
    </w:p>
    <w:p>
      <w:pPr>
        <w:pStyle w:val="ListParagraph"/>
        <w:numPr>
          <w:ilvl w:val="0"/>
          <w:numId w:val="2"/>
        </w:numPr>
        <w:spacing w:after="60" w:before="60"/>
      </w:pPr>
      <w:r>
        <w:rPr>
          <w:rFonts w:ascii="Arial" w:cs="Arial" w:eastAsia="Arial" w:hAnsi="Arial"/>
          <w:sz w:val="18"/>
          <w:szCs w:val="18"/>
        </w:rPr>
        <w:t xml:space="preserve">STEP 5 — Deoxo Aftercooling: Cool the hot gas (up to 260°C) back to ≤ 45°C using an air-cooled heat exchanger.</w:t>
      </w:r>
    </w:p>
    <w:p>
      <w:pPr>
        <w:pStyle w:val="ListParagraph"/>
        <w:numPr>
          <w:ilvl w:val="0"/>
          <w:numId w:val="2"/>
        </w:numPr>
        <w:spacing w:after="60" w:before="60"/>
      </w:pPr>
      <w:r>
        <w:rPr>
          <w:rFonts w:ascii="Arial" w:cs="Arial" w:eastAsia="Arial" w:hAnsi="Arial"/>
          <w:sz w:val="18"/>
          <w:szCs w:val="18"/>
        </w:rPr>
        <w:t xml:space="preserve">STEP 6 — Post-Deoxo Water Separation: Remove the water produced by the deoxo reaction before the TSA dryer beds. This is critical — failure to remove this water will prematurely saturate the molecular sieve beds.</w:t>
      </w:r>
    </w:p>
    <w:p>
      <w:pPr>
        <w:pStyle w:val="ListParagraph"/>
        <w:numPr>
          <w:ilvl w:val="0"/>
          <w:numId w:val="2"/>
        </w:numPr>
        <w:spacing w:after="60" w:before="60"/>
      </w:pPr>
      <w:r>
        <w:rPr>
          <w:rFonts w:ascii="Arial" w:cs="Arial" w:eastAsia="Arial" w:hAnsi="Arial"/>
          <w:sz w:val="18"/>
          <w:szCs w:val="18"/>
        </w:rPr>
        <w:t xml:space="preserve">STEP 7 — TSA Drying (2+1 arrangement): Adsorb residual moisture to ≤ 5 ppm (design ≤ 2 ppm) using temperature swing adsorption with molecular sieve 3A beds. Regeneration uses a heated dry H₂ slip-stream (no air, no nitrogen — H₂ purity must be maintained at all times during regeneration).</w:t>
      </w:r>
    </w:p>
    <w:p>
      <w:pPr>
        <w:pStyle w:val="ListParagraph"/>
        <w:numPr>
          <w:ilvl w:val="0"/>
          <w:numId w:val="2"/>
        </w:numPr>
        <w:spacing w:after="60" w:before="60"/>
      </w:pPr>
      <w:r>
        <w:rPr>
          <w:rFonts w:ascii="Arial" w:cs="Arial" w:eastAsia="Arial" w:hAnsi="Arial"/>
          <w:sz w:val="18"/>
          <w:szCs w:val="18"/>
        </w:rPr>
        <w:t xml:space="preserve">STEP 8 — Outlet Filtration: Remove any molecular sieve fines or catalyst dust particles before delivery to downstream compression.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E5E5" w:val="clear"/>
            <w:tcMar>
              <w:top w:type="dxa" w:w="100"/>
              <w:left w:type="dxa" w:w="200"/>
              <w:bottom w:type="dxa" w:w="100"/>
              <w:right w:type="dxa" w:w="200"/>
            </w:tcMar>
          </w:tcPr>
          <w:p>
            <w:r>
              <w:rPr>
                <w:rFonts w:ascii="Arial" w:cs="Arial" w:eastAsia="Arial" w:hAnsi="Arial"/>
                <w:b/>
                <w:bCs/>
                <w:color w:val="8B0000"/>
                <w:sz w:val="19"/>
                <w:szCs w:val="19"/>
              </w:rPr>
              <w:t xml:space="preserve">⛔ SAFETY WARNING: </w:t>
            </w:r>
            <w:r>
              <w:rPr>
                <w:rFonts w:ascii="Arial" w:cs="Arial" w:eastAsia="Arial" w:hAnsi="Arial"/>
                <w:color w:val="8B0000"/>
                <w:sz w:val="18"/>
                <w:szCs w:val="18"/>
              </w:rPr>
              <w:t xml:space="preserve">HYDROGEN SERVICE CRITICAL NOTICE: H₂ is classified as Group IIC under IEC 60079 (most severe explosion group, alongside acetylene and carbon disulfide). The minimum ignition energy of hydrogen is 0.017 mJ — approximately 14× lower than methane. All equipment, seals, gaskets, instruments, and electrical components must be specifically rated for Group IIC T3 service. H₂ also causes hydrogen embrittlement in high-strength carbon steel and can cause hydride formation in titanium. ASME B31.12 piping code applies (not B31.3). Carbon steel is NOT ACCEPTABLE for any wetted parts. All wetted components must be austenitic stainless steel (316L minimum) or approved equivalent.</w:t>
            </w:r>
          </w:p>
        </w:tc>
      </w:tr>
    </w:tbl>
    <w:p>
      <w:pPr>
        <w:spacing w:after="60" w:before="60"/>
      </w:pPr>
      <w:r>
        <w:t xml:space="preserve"/>
      </w:r>
    </w:p>
    <w:p>
      <w:pPr>
        <w:pStyle w:val="Heading2"/>
        <w:spacing w:after="120" w:before="240"/>
      </w:pPr>
      <w:r>
        <w:rPr>
          <w:rFonts w:ascii="Arial" w:cs="Arial" w:eastAsia="Arial" w:hAnsi="Arial"/>
          <w:b/>
          <w:bCs/>
          <w:color w:val="0070B8"/>
          <w:sz w:val="24"/>
          <w:szCs w:val="24"/>
        </w:rPr>
        <w:t xml:space="preserve">0.3 Bid Submission Requirements</w:t>
      </w:r>
    </w:p>
    <w:p>
      <w:pPr>
        <w:pStyle w:val="ListParagraph"/>
        <w:numPr>
          <w:ilvl w:val="0"/>
          <w:numId w:val="2"/>
        </w:numPr>
        <w:spacing w:after="60" w:before="60"/>
      </w:pPr>
      <w:r>
        <w:rPr>
          <w:rFonts w:ascii="Arial" w:cs="Arial" w:eastAsia="Arial" w:hAnsi="Arial"/>
          <w:sz w:val="18"/>
          <w:szCs w:val="18"/>
        </w:rPr>
        <w:t xml:space="preserve">Bids must be submitted electronically via MPE Tender Portal (credentials provided separately) by 22 April 2026, 17:00 GST.</w:t>
      </w:r>
    </w:p>
    <w:p>
      <w:pPr>
        <w:pStyle w:val="ListParagraph"/>
        <w:numPr>
          <w:ilvl w:val="0"/>
          <w:numId w:val="2"/>
        </w:numPr>
        <w:spacing w:after="60" w:before="60"/>
      </w:pPr>
      <w:r>
        <w:rPr>
          <w:rFonts w:ascii="Arial" w:cs="Arial" w:eastAsia="Arial" w:hAnsi="Arial"/>
          <w:sz w:val="18"/>
          <w:szCs w:val="18"/>
        </w:rPr>
        <w:t xml:space="preserve">Late bids will not be accepted. No extensions will be granted.</w:t>
      </w:r>
    </w:p>
    <w:p>
      <w:pPr>
        <w:pStyle w:val="ListParagraph"/>
        <w:numPr>
          <w:ilvl w:val="0"/>
          <w:numId w:val="2"/>
        </w:numPr>
        <w:spacing w:after="60" w:before="60"/>
      </w:pPr>
      <w:r>
        <w:rPr>
          <w:rFonts w:ascii="Arial" w:cs="Arial" w:eastAsia="Arial" w:hAnsi="Arial"/>
          <w:sz w:val="18"/>
          <w:szCs w:val="18"/>
        </w:rPr>
        <w:t xml:space="preserve">Bids must include: (a) completed Technical Compliance Schedule (TCS) addressing every technical clause of this RFQ and the accompanying PSR; (b) completed Bid Price Schedule (Section 8); (c) preliminary process design summary (one-page process description with key equipment sizing basis); (d) company H₂ service experience list (minimum 3 references for hydrogen purification systems, including deoxo and TSA drying in H₂ service); (e) ISO 9001:2015 certificate; (f) ATEX IIC quality documentation.</w:t>
      </w:r>
    </w:p>
    <w:p>
      <w:pPr>
        <w:pStyle w:val="ListParagraph"/>
        <w:numPr>
          <w:ilvl w:val="0"/>
          <w:numId w:val="2"/>
        </w:numPr>
        <w:spacing w:after="60" w:before="60"/>
      </w:pPr>
      <w:r>
        <w:rPr>
          <w:rFonts w:ascii="Arial" w:cs="Arial" w:eastAsia="Arial" w:hAnsi="Arial"/>
          <w:sz w:val="18"/>
          <w:szCs w:val="18"/>
        </w:rPr>
        <w:t xml:space="preserve">Any Technical Deviations must be listed in a separate 'Technical Deviation Register' — blanket compliance statements are not acceptable.</w:t>
      </w:r>
    </w:p>
    <w:p>
      <w:pPr>
        <w:pStyle w:val="ListParagraph"/>
        <w:numPr>
          <w:ilvl w:val="0"/>
          <w:numId w:val="2"/>
        </w:numPr>
        <w:spacing w:after="60" w:before="60"/>
      </w:pPr>
      <w:r>
        <w:rPr>
          <w:rFonts w:ascii="Arial" w:cs="Arial" w:eastAsia="Arial" w:hAnsi="Arial"/>
          <w:sz w:val="18"/>
          <w:szCs w:val="18"/>
        </w:rPr>
        <w:t xml:space="preserve">Requests for Information (RFI) must be submitted no later than 01 April 2026 via the tender portal. Late RFIs will not be answered.</w:t>
      </w:r>
    </w:p>
    <w:p>
      <w:pPr>
        <w:spacing w:after="60" w:before="60"/>
      </w:pPr>
      <w:r>
        <w:t xml:space="preserve"/>
      </w:r>
    </w:p>
    <w:p>
      <w:r>
        <w:br w:type="page"/>
      </w:r>
    </w:p>
    <w:p>
      <w:pPr>
        <w:pStyle w:val="Heading1"/>
        <w:pBdr>
          <w:bottom w:val="single" w:color="007A7C" w:sz="10" w:space="4"/>
        </w:pBdr>
        <w:spacing w:after="180" w:before="360"/>
      </w:pPr>
      <w:r>
        <w:rPr>
          <w:rFonts w:ascii="Arial" w:cs="Arial" w:eastAsia="Arial" w:hAnsi="Arial"/>
          <w:b/>
          <w:bCs/>
          <w:color w:val="0A2240"/>
          <w:sz w:val="28"/>
          <w:szCs w:val="28"/>
        </w:rPr>
        <w:t xml:space="preserve">1. INQUIRY CONDITIONS, COMMERCIAL TERMS AND BID SCHEDULE</w:t>
      </w:r>
    </w:p>
    <w:p>
      <w:pPr>
        <w:pStyle w:val="Heading2"/>
        <w:spacing w:after="120" w:before="240"/>
      </w:pPr>
      <w:r>
        <w:rPr>
          <w:rFonts w:ascii="Arial" w:cs="Arial" w:eastAsia="Arial" w:hAnsi="Arial"/>
          <w:b/>
          <w:bCs/>
          <w:color w:val="0070B8"/>
          <w:sz w:val="24"/>
          <w:szCs w:val="24"/>
        </w:rPr>
        <w:t xml:space="preserve">1.1 Commercial Terms</w:t>
      </w:r>
    </w:p>
    <w:p>
      <w:pPr>
        <w:pStyle w:val="ListParagraph"/>
        <w:numPr>
          <w:ilvl w:val="0"/>
          <w:numId w:val="2"/>
        </w:numPr>
        <w:spacing w:after="60" w:before="60"/>
      </w:pPr>
      <w:r>
        <w:rPr>
          <w:rFonts w:ascii="Arial" w:cs="Arial" w:eastAsia="Arial" w:hAnsi="Arial"/>
          <w:sz w:val="18"/>
          <w:szCs w:val="18"/>
        </w:rPr>
        <w:t xml:space="preserve">Contract Type: Lump Sum Fixed Price (LSFP) – all engineering, procurement, fabrication, testing, delivery, and documentation included.</w:t>
      </w:r>
    </w:p>
    <w:p>
      <w:pPr>
        <w:pStyle w:val="ListParagraph"/>
        <w:numPr>
          <w:ilvl w:val="0"/>
          <w:numId w:val="2"/>
        </w:numPr>
        <w:spacing w:after="60" w:before="60"/>
      </w:pPr>
      <w:r>
        <w:rPr>
          <w:rFonts w:ascii="Arial" w:cs="Arial" w:eastAsia="Arial" w:hAnsi="Arial"/>
          <w:sz w:val="18"/>
          <w:szCs w:val="18"/>
        </w:rPr>
        <w:t xml:space="preserve">Currency: United States Dollars (USD). All prices in USD. No price escalation clauses accepted.</w:t>
      </w:r>
    </w:p>
    <w:p>
      <w:pPr>
        <w:pStyle w:val="ListParagraph"/>
        <w:numPr>
          <w:ilvl w:val="0"/>
          <w:numId w:val="2"/>
        </w:numPr>
        <w:spacing w:after="60" w:before="60"/>
      </w:pPr>
      <w:r>
        <w:rPr>
          <w:rFonts w:ascii="Arial" w:cs="Arial" w:eastAsia="Arial" w:hAnsi="Arial"/>
          <w:sz w:val="18"/>
          <w:szCs w:val="18"/>
        </w:rPr>
        <w:t xml:space="preserve">Incoterms: DAP (Delivered At Place) – Al Dhafra Site, Abu Dhabi, UAE. Vendor responsible for all freight, customs clearance, insurance, and delivery to site.</w:t>
      </w:r>
    </w:p>
    <w:p>
      <w:pPr>
        <w:pStyle w:val="ListParagraph"/>
        <w:numPr>
          <w:ilvl w:val="0"/>
          <w:numId w:val="2"/>
        </w:numPr>
        <w:spacing w:after="60" w:before="60"/>
      </w:pPr>
      <w:r>
        <w:rPr>
          <w:rFonts w:ascii="Arial" w:cs="Arial" w:eastAsia="Arial" w:hAnsi="Arial"/>
          <w:sz w:val="18"/>
          <w:szCs w:val="18"/>
        </w:rPr>
        <w:t xml:space="preserve">Payment Terms: 10% Advance with PO (against Advance Payment Bond); 30% at commencement of fabrication (against certificate); 40% at FAT completion; 15% at DAP delivery and MDR submission; 5% at Mechanical Completion (MC) sign-off.</w:t>
      </w:r>
    </w:p>
    <w:p>
      <w:pPr>
        <w:pStyle w:val="ListParagraph"/>
        <w:numPr>
          <w:ilvl w:val="0"/>
          <w:numId w:val="2"/>
        </w:numPr>
        <w:spacing w:after="60" w:before="60"/>
      </w:pPr>
      <w:r>
        <w:rPr>
          <w:rFonts w:ascii="Arial" w:cs="Arial" w:eastAsia="Arial" w:hAnsi="Arial"/>
          <w:sz w:val="18"/>
          <w:szCs w:val="18"/>
        </w:rPr>
        <w:t xml:space="preserve">Liquidated Damages (Schedule): 0.5% of contract value per week of delay to FAT, capped at 10% of contract value.</w:t>
      </w:r>
    </w:p>
    <w:p>
      <w:pPr>
        <w:pStyle w:val="ListParagraph"/>
        <w:numPr>
          <w:ilvl w:val="0"/>
          <w:numId w:val="2"/>
        </w:numPr>
        <w:spacing w:after="60" w:before="60"/>
      </w:pPr>
      <w:r>
        <w:rPr>
          <w:rFonts w:ascii="Arial" w:cs="Arial" w:eastAsia="Arial" w:hAnsi="Arial"/>
          <w:sz w:val="18"/>
          <w:szCs w:val="18"/>
        </w:rPr>
        <w:t xml:space="preserve">Performance Liquidated Damages: As defined in the PSR (Document MPE-AGHP-2026-003-PSR-HPDU-001).</w:t>
      </w:r>
    </w:p>
    <w:p>
      <w:pPr>
        <w:pStyle w:val="ListParagraph"/>
        <w:numPr>
          <w:ilvl w:val="0"/>
          <w:numId w:val="2"/>
        </w:numPr>
        <w:spacing w:after="60" w:before="60"/>
      </w:pPr>
      <w:r>
        <w:rPr>
          <w:rFonts w:ascii="Arial" w:cs="Arial" w:eastAsia="Arial" w:hAnsi="Arial"/>
          <w:sz w:val="18"/>
          <w:szCs w:val="18"/>
        </w:rPr>
        <w:t xml:space="preserve">Warranty Period: 24 months from Mechanical Completion or 30 months from DAP delivery, whichever is earlier. Catalyst warranty: minimum 2 years on deoxo catalyst activity; minimum 3 years on TSA molecular sieve.</w:t>
      </w:r>
    </w:p>
    <w:p>
      <w:pPr>
        <w:pStyle w:val="ListParagraph"/>
        <w:numPr>
          <w:ilvl w:val="0"/>
          <w:numId w:val="2"/>
        </w:numPr>
        <w:spacing w:after="60" w:before="60"/>
      </w:pPr>
      <w:r>
        <w:rPr>
          <w:rFonts w:ascii="Arial" w:cs="Arial" w:eastAsia="Arial" w:hAnsi="Arial"/>
          <w:sz w:val="18"/>
          <w:szCs w:val="18"/>
        </w:rPr>
        <w:t xml:space="preserve">Performance Bond: 10% of contract value, valid until MC + 6 months.</w:t>
      </w:r>
    </w:p>
    <w:p>
      <w:pPr>
        <w:pStyle w:val="ListParagraph"/>
        <w:numPr>
          <w:ilvl w:val="0"/>
          <w:numId w:val="2"/>
        </w:numPr>
        <w:spacing w:after="60" w:before="60"/>
      </w:pPr>
      <w:r>
        <w:rPr>
          <w:rFonts w:ascii="Arial" w:cs="Arial" w:eastAsia="Arial" w:hAnsi="Arial"/>
          <w:sz w:val="18"/>
          <w:szCs w:val="18"/>
        </w:rPr>
        <w:t xml:space="preserve">Quotation Validity: 120 calendar days from RFQ closing.</w:t>
      </w:r>
    </w:p>
    <w:p>
      <w:pPr>
        <w:pStyle w:val="ListParagraph"/>
        <w:numPr>
          <w:ilvl w:val="0"/>
          <w:numId w:val="2"/>
        </w:numPr>
        <w:spacing w:after="60" w:before="60"/>
      </w:pPr>
      <w:r>
        <w:rPr>
          <w:rFonts w:ascii="Arial" w:cs="Arial" w:eastAsia="Arial" w:hAnsi="Arial"/>
          <w:sz w:val="18"/>
          <w:szCs w:val="18"/>
        </w:rPr>
        <w:t xml:space="preserve">Governing Law: Abu Dhabi, UAE / English language. ADGM courts as jurisdiction.</w:t>
      </w:r>
    </w:p>
    <w:p>
      <w:pPr>
        <w:spacing w:after="60" w:before="60"/>
      </w:pPr>
      <w:r>
        <w:t xml:space="preserve"/>
      </w:r>
    </w:p>
    <w:p>
      <w:pPr>
        <w:pStyle w:val="Heading2"/>
        <w:spacing w:after="120" w:before="240"/>
      </w:pPr>
      <w:r>
        <w:rPr>
          <w:rFonts w:ascii="Arial" w:cs="Arial" w:eastAsia="Arial" w:hAnsi="Arial"/>
          <w:b/>
          <w:bCs/>
          <w:color w:val="0070B8"/>
          <w:sz w:val="24"/>
          <w:szCs w:val="24"/>
        </w:rPr>
        <w:t xml:space="preserve">1.2 Bid 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900"/>
        <w:gridCol w:w="1900"/>
      </w:tblGrid>
      <w:tr>
        <w:tc>
          <w:tcPr>
            <w:tcW w:type="dxa" w:w="556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Evaluation Criterion</w:t>
            </w:r>
          </w:p>
        </w:tc>
        <w:tc>
          <w:tcPr>
            <w:tcW w:type="dxa" w:w="190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Weight (%)</w:t>
            </w:r>
          </w:p>
        </w:tc>
        <w:tc>
          <w:tcPr>
            <w:tcW w:type="dxa" w:w="190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Remarks</w:t>
            </w:r>
          </w:p>
        </w:tc>
      </w:tr>
      <w:tr>
        <w:tc>
          <w:tcPr>
            <w:tcW w:type="dxa" w:w="55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Lump sum price (technical and commercial)</w:t>
            </w:r>
          </w:p>
        </w:tc>
        <w:tc>
          <w:tcPr>
            <w:tcW w:type="dxa" w:w="19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30%</w:t>
            </w:r>
          </w:p>
        </w:tc>
        <w:tc>
          <w:tcPr>
            <w:tcW w:type="dxa" w:w="19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Best-evaluated price</w:t>
            </w:r>
          </w:p>
        </w:tc>
      </w:tr>
      <w:tr>
        <w:tc>
          <w:tcPr>
            <w:tcW w:type="dxa" w:w="55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Technical compliance and proposed design quality</w:t>
            </w:r>
          </w:p>
        </w:tc>
        <w:tc>
          <w:tcPr>
            <w:tcW w:type="dxa" w:w="19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30%</w:t>
            </w:r>
          </w:p>
        </w:tc>
        <w:tc>
          <w:tcPr>
            <w:tcW w:type="dxa" w:w="19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TCS + design summary review</w:t>
            </w:r>
          </w:p>
        </w:tc>
      </w:tr>
      <w:tr>
        <w:tc>
          <w:tcPr>
            <w:tcW w:type="dxa" w:w="55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H₂ service references and relevant experience</w:t>
            </w:r>
          </w:p>
        </w:tc>
        <w:tc>
          <w:tcPr>
            <w:tcW w:type="dxa" w:w="19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15%</w:t>
            </w:r>
          </w:p>
        </w:tc>
        <w:tc>
          <w:tcPr>
            <w:tcW w:type="dxa" w:w="19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Minimum 3 verified H₂ references required</w:t>
            </w:r>
          </w:p>
        </w:tc>
      </w:tr>
      <w:tr>
        <w:tc>
          <w:tcPr>
            <w:tcW w:type="dxa" w:w="55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Delivery schedule to FAT (earlier = better)</w:t>
            </w:r>
          </w:p>
        </w:tc>
        <w:tc>
          <w:tcPr>
            <w:tcW w:type="dxa" w:w="19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12%</w:t>
            </w:r>
          </w:p>
        </w:tc>
        <w:tc>
          <w:tcPr>
            <w:tcW w:type="dxa" w:w="19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Baseline: 52 weeks to FAT</w:t>
            </w:r>
          </w:p>
        </w:tc>
      </w:tr>
      <w:tr>
        <w:tc>
          <w:tcPr>
            <w:tcW w:type="dxa" w:w="55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Quality management system (ISO 9001, ATEX IIC cert.)</w:t>
            </w:r>
          </w:p>
        </w:tc>
        <w:tc>
          <w:tcPr>
            <w:tcW w:type="dxa" w:w="19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6%</w:t>
            </w:r>
          </w:p>
        </w:tc>
        <w:tc>
          <w:tcPr>
            <w:tcW w:type="dxa" w:w="19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Certificates reviewed</w:t>
            </w:r>
          </w:p>
        </w:tc>
      </w:tr>
      <w:tr>
        <w:tc>
          <w:tcPr>
            <w:tcW w:type="dxa" w:w="55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After-sales support (service, spare parts, training quality)</w:t>
            </w:r>
          </w:p>
        </w:tc>
        <w:tc>
          <w:tcPr>
            <w:tcW w:type="dxa" w:w="19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4%</w:t>
            </w:r>
          </w:p>
        </w:tc>
        <w:tc>
          <w:tcPr>
            <w:tcW w:type="dxa" w:w="19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Evaluated from offer</w:t>
            </w:r>
          </w:p>
        </w:tc>
      </w:tr>
      <w:tr>
        <w:tc>
          <w:tcPr>
            <w:tcW w:type="dxa" w:w="55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HSE compliance and H₂ safety record</w:t>
            </w:r>
          </w:p>
        </w:tc>
        <w:tc>
          <w:tcPr>
            <w:tcW w:type="dxa" w:w="19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w:t>
            </w:r>
          </w:p>
        </w:tc>
        <w:tc>
          <w:tcPr>
            <w:tcW w:type="dxa" w:w="19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Reviewed from HSE documentation</w:t>
            </w:r>
          </w:p>
        </w:tc>
      </w:tr>
    </w:tbl>
    <w:p>
      <w:pPr>
        <w:spacing w:after="60" w:before="60"/>
      </w:pPr>
      <w:r>
        <w:t xml:space="preserve"/>
      </w:r>
    </w:p>
    <w:p>
      <w:pPr>
        <w:pStyle w:val="Heading2"/>
        <w:spacing w:after="120" w:before="240"/>
      </w:pPr>
      <w:r>
        <w:rPr>
          <w:rFonts w:ascii="Arial" w:cs="Arial" w:eastAsia="Arial" w:hAnsi="Arial"/>
          <w:b/>
          <w:bCs/>
          <w:color w:val="0070B8"/>
          <w:sz w:val="24"/>
          <w:szCs w:val="24"/>
        </w:rPr>
        <w:t xml:space="preserve">1.3 Bid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c>
          <w:tcPr>
            <w:tcW w:type="dxa" w:w="436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Milestone</w:t>
            </w:r>
          </w:p>
        </w:tc>
        <w:tc>
          <w:tcPr>
            <w:tcW w:type="dxa" w:w="250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250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 Party</w:t>
            </w:r>
          </w:p>
        </w:tc>
      </w:tr>
      <w:tr>
        <w:tc>
          <w:tcPr>
            <w:tcW w:type="dxa" w:w="4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RFQ Issued to Vendors</w:t>
            </w:r>
          </w:p>
        </w:tc>
        <w:tc>
          <w:tcPr>
            <w:tcW w:type="dxa" w:w="2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12 March 2026</w:t>
            </w:r>
          </w:p>
        </w:tc>
        <w:tc>
          <w:tcPr>
            <w:tcW w:type="dxa" w:w="25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MPE</w:t>
            </w:r>
          </w:p>
        </w:tc>
      </w:tr>
      <w:tr>
        <w:tc>
          <w:tcPr>
            <w:tcW w:type="dxa" w:w="4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Pre-bid Clarification Meeting (video conference)</w:t>
            </w:r>
          </w:p>
        </w:tc>
        <w:tc>
          <w:tcPr>
            <w:tcW w:type="dxa" w:w="2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24 March 2026, 10:00 GST</w:t>
            </w:r>
          </w:p>
        </w:tc>
        <w:tc>
          <w:tcPr>
            <w:tcW w:type="dxa" w:w="25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MPE + All Vendors</w:t>
            </w:r>
          </w:p>
        </w:tc>
      </w:tr>
      <w:tr>
        <w:tc>
          <w:tcPr>
            <w:tcW w:type="dxa" w:w="4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Last date for Vendor RFI Submissions</w:t>
            </w:r>
          </w:p>
        </w:tc>
        <w:tc>
          <w:tcPr>
            <w:tcW w:type="dxa" w:w="2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01 April 2026, 17:00 GST</w:t>
            </w:r>
          </w:p>
        </w:tc>
        <w:tc>
          <w:tcPr>
            <w:tcW w:type="dxa" w:w="25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Vendors</w:t>
            </w:r>
          </w:p>
        </w:tc>
      </w:tr>
      <w:tr>
        <w:tc>
          <w:tcPr>
            <w:tcW w:type="dxa" w:w="4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MPE Responses to RFIs (clarification addendum)</w:t>
            </w:r>
          </w:p>
        </w:tc>
        <w:tc>
          <w:tcPr>
            <w:tcW w:type="dxa" w:w="2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08 April 2026</w:t>
            </w:r>
          </w:p>
        </w:tc>
        <w:tc>
          <w:tcPr>
            <w:tcW w:type="dxa" w:w="25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MPE</w:t>
            </w:r>
          </w:p>
        </w:tc>
      </w:tr>
      <w:tr>
        <w:tc>
          <w:tcPr>
            <w:tcW w:type="dxa" w:w="4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RFQ Closing – Bid Submission Deadline</w:t>
            </w:r>
          </w:p>
        </w:tc>
        <w:tc>
          <w:tcPr>
            <w:tcW w:type="dxa" w:w="2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22 April 2026, 17:00 GST</w:t>
            </w:r>
          </w:p>
        </w:tc>
        <w:tc>
          <w:tcPr>
            <w:tcW w:type="dxa" w:w="25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Vendors</w:t>
            </w:r>
          </w:p>
        </w:tc>
      </w:tr>
      <w:tr>
        <w:tc>
          <w:tcPr>
            <w:tcW w:type="dxa" w:w="4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Technical Evaluation Completion</w:t>
            </w:r>
          </w:p>
        </w:tc>
        <w:tc>
          <w:tcPr>
            <w:tcW w:type="dxa" w:w="2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09 May 2026</w:t>
            </w:r>
          </w:p>
        </w:tc>
        <w:tc>
          <w:tcPr>
            <w:tcW w:type="dxa" w:w="25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MPE</w:t>
            </w:r>
          </w:p>
        </w:tc>
      </w:tr>
      <w:tr>
        <w:tc>
          <w:tcPr>
            <w:tcW w:type="dxa" w:w="4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Commercial Negotiation / BAFO (if required)</w:t>
            </w:r>
          </w:p>
        </w:tc>
        <w:tc>
          <w:tcPr>
            <w:tcW w:type="dxa" w:w="2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16–20 May 2026</w:t>
            </w:r>
          </w:p>
        </w:tc>
        <w:tc>
          <w:tcPr>
            <w:tcW w:type="dxa" w:w="25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MPE + Shortlisted</w:t>
            </w:r>
          </w:p>
        </w:tc>
      </w:tr>
      <w:tr>
        <w:tc>
          <w:tcPr>
            <w:tcW w:type="dxa" w:w="4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PO Award Target</w:t>
            </w:r>
          </w:p>
        </w:tc>
        <w:tc>
          <w:tcPr>
            <w:tcW w:type="dxa" w:w="2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27 May 2026</w:t>
            </w:r>
          </w:p>
        </w:tc>
        <w:tc>
          <w:tcPr>
            <w:tcW w:type="dxa" w:w="25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MPE</w:t>
            </w:r>
          </w:p>
        </w:tc>
      </w:tr>
      <w:tr>
        <w:tc>
          <w:tcPr>
            <w:tcW w:type="dxa" w:w="4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PO Kick-Off Meeting</w:t>
            </w:r>
          </w:p>
        </w:tc>
        <w:tc>
          <w:tcPr>
            <w:tcW w:type="dxa" w:w="2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10 June 2026</w:t>
            </w:r>
          </w:p>
        </w:tc>
        <w:tc>
          <w:tcPr>
            <w:tcW w:type="dxa" w:w="25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MPE + Awarded Vendor</w:t>
            </w:r>
          </w:p>
        </w:tc>
      </w:tr>
      <w:tr>
        <w:tc>
          <w:tcPr>
            <w:tcW w:type="dxa" w:w="4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FAT Target (52 weeks from PO)</w:t>
            </w:r>
          </w:p>
        </w:tc>
        <w:tc>
          <w:tcPr>
            <w:tcW w:type="dxa" w:w="2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03 June 2027</w:t>
            </w:r>
          </w:p>
        </w:tc>
        <w:tc>
          <w:tcPr>
            <w:tcW w:type="dxa" w:w="25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Vendor + MPE Witness</w:t>
            </w:r>
          </w:p>
        </w:tc>
      </w:tr>
      <w:tr>
        <w:tc>
          <w:tcPr>
            <w:tcW w:type="dxa" w:w="4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Mechanical Completion (MC) Target</w:t>
            </w:r>
          </w:p>
        </w:tc>
        <w:tc>
          <w:tcPr>
            <w:tcW w:type="dxa" w:w="2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Q4 2027</w:t>
            </w:r>
          </w:p>
        </w:tc>
        <w:tc>
          <w:tcPr>
            <w:tcW w:type="dxa" w:w="25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All parties</w:t>
            </w:r>
          </w:p>
        </w:tc>
      </w:tr>
    </w:tbl>
    <w:p>
      <w:pPr>
        <w:spacing w:after="60" w:before="60"/>
      </w:pPr>
      <w:r>
        <w:t xml:space="preserve"/>
      </w:r>
    </w:p>
    <w:p>
      <w:r>
        <w:br w:type="page"/>
      </w:r>
    </w:p>
    <w:p>
      <w:pPr>
        <w:pStyle w:val="Heading1"/>
        <w:pBdr>
          <w:bottom w:val="single" w:color="007A7C" w:sz="10" w:space="4"/>
        </w:pBdr>
        <w:spacing w:after="180" w:before="360"/>
      </w:pPr>
      <w:r>
        <w:rPr>
          <w:rFonts w:ascii="Arial" w:cs="Arial" w:eastAsia="Arial" w:hAnsi="Arial"/>
          <w:b/>
          <w:bCs/>
          <w:color w:val="0A2240"/>
          <w:sz w:val="28"/>
          <w:szCs w:val="28"/>
        </w:rPr>
        <w:t xml:space="preserve">2. PROCESS DESIGN BASIS AND OPERATING CONDITIONS</w:t>
      </w:r>
    </w:p>
    <w:p>
      <w:pPr>
        <w:pStyle w:val="Heading2"/>
        <w:spacing w:after="120" w:before="240"/>
      </w:pPr>
      <w:r>
        <w:rPr>
          <w:rFonts w:ascii="Arial" w:cs="Arial" w:eastAsia="Arial" w:hAnsi="Arial"/>
          <w:b/>
          <w:bCs/>
          <w:color w:val="0070B8"/>
          <w:sz w:val="24"/>
          <w:szCs w:val="24"/>
        </w:rPr>
        <w:t xml:space="preserve">2.1 Inlet Gas Conditions and Gas Composition</w:t>
      </w:r>
    </w:p>
    <w:p>
      <w:pPr>
        <w:spacing w:after="80" w:before="80"/>
      </w:pPr>
      <w:r>
        <w:rPr>
          <w:rFonts w:ascii="Arial" w:cs="Arial" w:eastAsia="Arial" w:hAnsi="Arial"/>
          <w:sz w:val="20"/>
          <w:szCs w:val="20"/>
        </w:rPr>
        <w:t xml:space="preserve">The HPDU receives raw hydrogen gas directly from the PEM electrolysis stack gas separation system (anode/cathode gas separators). The gas stream contains saturated moisture and oxygen (from cross-membrane O₂ crossover). The following table defines the process design basis for all HPDU equipment. All equipment shall be designed for the full range of inlet conditions stated below. Vendor shall design for the worst-case combination of parameters (e.g., maximum O₂ at maximum flow — maximum adiabatic temperature rise scenario in deoxo reactor).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800"/>
        <w:gridCol w:w="1800"/>
        <w:gridCol w:w="1160"/>
      </w:tblGrid>
      <w:tr>
        <w:tc>
          <w:tcPr>
            <w:tcW w:type="dxa" w:w="4600"/>
            <w:gridSpan w:val="1"/>
            <w:tcBorders>
              <w:top w:val="single" w:color="B0BEC5" w:sz="1"/>
              <w:left w:val="single" w:color="B0BEC5" w:sz="1"/>
              <w:bottom w:val="single" w:color="B0BEC5" w:sz="1"/>
              <w:right w:val="single" w:color="B0BEC5" w:sz="1"/>
            </w:tcBorders>
            <w:shd w:fill="0A224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800"/>
            <w:gridSpan w:val="1"/>
            <w:tcBorders>
              <w:top w:val="single" w:color="B0BEC5" w:sz="1"/>
              <w:left w:val="single" w:color="B0BEC5" w:sz="1"/>
              <w:bottom w:val="single" w:color="B0BEC5" w:sz="1"/>
              <w:right w:val="single" w:color="B0BEC5" w:sz="1"/>
            </w:tcBorders>
            <w:shd w:fill="0A224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Inlet (Design)</w:t>
            </w:r>
          </w:p>
        </w:tc>
        <w:tc>
          <w:tcPr>
            <w:tcW w:type="dxa" w:w="1800"/>
            <w:gridSpan w:val="1"/>
            <w:tcBorders>
              <w:top w:val="single" w:color="B0BEC5" w:sz="1"/>
              <w:left w:val="single" w:color="B0BEC5" w:sz="1"/>
              <w:bottom w:val="single" w:color="B0BEC5" w:sz="1"/>
              <w:right w:val="single" w:color="B0BEC5" w:sz="1"/>
            </w:tcBorders>
            <w:shd w:fill="0A224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Outlet Spec (Max)</w:t>
            </w:r>
          </w:p>
        </w:tc>
        <w:tc>
          <w:tcPr>
            <w:tcW w:type="dxa" w:w="1160"/>
            <w:gridSpan w:val="1"/>
            <w:tcBorders>
              <w:top w:val="single" w:color="B0BEC5" w:sz="1"/>
              <w:left w:val="single" w:color="B0BEC5" w:sz="1"/>
              <w:bottom w:val="single" w:color="B0BEC5" w:sz="1"/>
              <w:right w:val="single" w:color="B0BEC5" w:sz="1"/>
            </w:tcBorders>
            <w:shd w:fill="0A224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w:t>
            </w:r>
          </w:p>
        </w:tc>
      </w:tr>
      <w:tr>
        <w:tc>
          <w:tcPr>
            <w:gridSpan w:val="4"/>
            <w:tcBorders>
              <w:top w:val="single" w:color="B0BEC5" w:sz="1"/>
              <w:left w:val="single" w:color="B0BEC5" w:sz="1"/>
              <w:bottom w:val="single" w:color="B0BEC5" w:sz="1"/>
              <w:right w:val="single" w:color="B0BEC5" w:sz="1"/>
            </w:tcBorders>
            <w:shd w:fill="007A7C" w:val="clear"/>
            <w:tcMar>
              <w:top w:type="dxa" w:w="50"/>
              <w:left w:type="dxa" w:w="120"/>
              <w:bottom w:type="dxa" w:w="50"/>
              <w:right w:type="dxa" w:w="120"/>
            </w:tcMar>
          </w:tcPr>
          <w:p>
            <w:r>
              <w:rPr>
                <w:rFonts w:ascii="Arial" w:cs="Arial" w:eastAsia="Arial" w:hAnsi="Arial"/>
                <w:b/>
                <w:bCs/>
                <w:color w:val="FFFFFF"/>
                <w:sz w:val="18"/>
                <w:szCs w:val="18"/>
              </w:rPr>
              <w:t xml:space="preserve">FLOW AND PRESSURE CONDITIONS</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Hydrogen Flow Rate – Normal</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10,000</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Nm³/h</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Hydrogen Flow Rate – Minimum</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5,000</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Nm³/h</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Hydrogen Flow Rate – Maximum</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12,000</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Nm³/h</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Mass Flow Rate (at normal flow)</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~901</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kg/h</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Operating Pressure (at HPDU inlet)</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30</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28.5 (min at max flow)</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barg</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Design Pressure (HPDU package)</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40</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40</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barg</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Max Allowable Package ΔP (inlet to outlet)</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1.5 barg at design flow</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barg</w:t>
            </w:r>
          </w:p>
        </w:tc>
      </w:tr>
      <w:tr>
        <w:tc>
          <w:tcPr>
            <w:gridSpan w:val="4"/>
            <w:tcBorders>
              <w:top w:val="single" w:color="B0BEC5" w:sz="1"/>
              <w:left w:val="single" w:color="B0BEC5" w:sz="1"/>
              <w:bottom w:val="single" w:color="B0BEC5" w:sz="1"/>
              <w:right w:val="single" w:color="B0BEC5" w:sz="1"/>
            </w:tcBorders>
            <w:shd w:fill="007A7C" w:val="clear"/>
            <w:tcMar>
              <w:top w:type="dxa" w:w="50"/>
              <w:left w:type="dxa" w:w="120"/>
              <w:bottom w:type="dxa" w:w="50"/>
              <w:right w:type="dxa" w:w="120"/>
            </w:tcMar>
          </w:tcPr>
          <w:p>
            <w:r>
              <w:rPr>
                <w:rFonts w:ascii="Arial" w:cs="Arial" w:eastAsia="Arial" w:hAnsi="Arial"/>
                <w:b/>
                <w:bCs/>
                <w:color w:val="FFFFFF"/>
                <w:sz w:val="18"/>
                <w:szCs w:val="18"/>
              </w:rPr>
              <w:t xml:space="preserve">TEMPERATURE CONDITIONS</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Inlet Gas Temperature (from electrolysis + cooling)</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60°C (design) / 40–80°C (range)</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Deoxo Reactor Inlet Temperature (preheated)</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150–180°C (vendor to confirm activation T)</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Deoxo Reactor Outlet Temperature (adiabatic, at max O₂)</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Up to 260°C (at 2.0 vol% O₂ inlet)</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Post-deoxo Aftercooler Outlet Temperature (target)</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45°C</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TSA Dryer Outlet Temperature (to downstream storage/compression)</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45°C</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TSA Regeneration Heating Temperature (at bed inlet)</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200–250°C (vendor to confirm per sieve type)</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Design Temperature (all vessels, min / max)</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-20 / +300°C</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w:t>
            </w:r>
          </w:p>
        </w:tc>
      </w:tr>
      <w:tr>
        <w:tc>
          <w:tcPr>
            <w:gridSpan w:val="4"/>
            <w:tcBorders>
              <w:top w:val="single" w:color="B0BEC5" w:sz="1"/>
              <w:left w:val="single" w:color="B0BEC5" w:sz="1"/>
              <w:bottom w:val="single" w:color="B0BEC5" w:sz="1"/>
              <w:right w:val="single" w:color="B0BEC5" w:sz="1"/>
            </w:tcBorders>
            <w:shd w:fill="007A7C" w:val="clear"/>
            <w:tcMar>
              <w:top w:type="dxa" w:w="50"/>
              <w:left w:type="dxa" w:w="120"/>
              <w:bottom w:type="dxa" w:w="50"/>
              <w:right w:type="dxa" w:w="120"/>
            </w:tcMar>
          </w:tcPr>
          <w:p>
            <w:r>
              <w:rPr>
                <w:rFonts w:ascii="Arial" w:cs="Arial" w:eastAsia="Arial" w:hAnsi="Arial"/>
                <w:b/>
                <w:bCs/>
                <w:color w:val="FFFFFF"/>
                <w:sz w:val="18"/>
                <w:szCs w:val="18"/>
              </w:rPr>
              <w:t xml:space="preserve">INLET GAS COMPOSITION (FROM PEM ELECTROLYSIS, BEFORE HPDU)</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H₂ Purity (dry basis, before purification)</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97.8 mol% (balance O₂, N₂, trace moisture)</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99.99 mol% (Grade 4.0)</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mol%</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O₂ Content (PEM electro-osmotic crossover)</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Up to 2.0 vol% max (normal: 0.2–0.5 vol%)</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5 ppm vol (ISO 14687:2019)</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vol%  /  ppm</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Water / Moisture Content (inlet – saturated at inlet T &amp; P)</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Saturated at 30 barg / 60°C ≈ 3,800 ppm vol</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5 ppm vol (ISO 14687:2019)</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ppm vol</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N₂ Content (AEL only / air ingress possible)</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100 ppm vol (PEM; 0.5–2% AEL)</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100 ppm vol (ISO 14687:2019)</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ppm vol</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 Content (SMR/trace only – PEM should be negligible)</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0.1 ppm vol (PEM baseline)</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0.2 ppm vol (ISO 14687:2019)</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ppm vol</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CO₂ Content</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1 ppm vol</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2 ppm vol (ISO 14687:2019)</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ppm vol</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Total Hydrocarbons (except CH₄)</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0.5 ppm vol</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2 ppm vol (ISO 14687:2019)</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ppm vol</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H₂S / Total Sulfur</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0.01 ppm vol (no upstream sulfur source)</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0.004 ppm vol (ISO 14687:2019)</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ppm vol</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NH₃ (possible from AEL KOH electrolyte carry-over)</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0.1 ppm vol (PEM); up to 1 ppm (AEL)</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0.1 ppm vol (ISO 14687:2019)</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ppm vol</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HCHO / Formic Acid / Particulates</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Trace – vendor to confirm removal method</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0.01 ppm (HCHO); ≤ 1 mg/kg particulates</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ppm / mg/kg</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Molecular Weight of Gas (approx.)</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2.05 g/mol (H₂ dominated)</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g/mol</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Gas Phase Fraction at HPDU Inlet</w:t>
            </w:r>
          </w:p>
        </w:tc>
        <w:tc>
          <w:tcPr>
            <w:tcW w:type="dxa" w:w="1800"/>
            <w:gridSpan w:val="3"/>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Predominantly gas – may contain entrained liquid water droplets / mist</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gridSpan w:val="4"/>
            <w:tcBorders>
              <w:top w:val="single" w:color="B0BEC5" w:sz="1"/>
              <w:left w:val="single" w:color="B0BEC5" w:sz="1"/>
              <w:bottom w:val="single" w:color="B0BEC5" w:sz="1"/>
              <w:right w:val="single" w:color="B0BEC5" w:sz="1"/>
            </w:tcBorders>
            <w:shd w:fill="007A7C" w:val="clear"/>
            <w:tcMar>
              <w:top w:type="dxa" w:w="50"/>
              <w:left w:type="dxa" w:w="120"/>
              <w:bottom w:type="dxa" w:w="50"/>
              <w:right w:type="dxa" w:w="120"/>
            </w:tcMar>
          </w:tcPr>
          <w:p>
            <w:r>
              <w:rPr>
                <w:rFonts w:ascii="Arial" w:cs="Arial" w:eastAsia="Arial" w:hAnsi="Arial"/>
                <w:b/>
                <w:bCs/>
                <w:color w:val="FFFFFF"/>
                <w:sz w:val="18"/>
                <w:szCs w:val="18"/>
              </w:rPr>
              <w:t xml:space="preserve">SITE CONDITIONS — AL DHAFRA, ABU DHABI, UAE</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Site Ambient Temperature Range (min / normal / max)</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-5 / +35 / +50°C</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Design Ambient Temperature (for air-cooled equipment sizing)</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+55°C (includes solar radiation effect)</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Relative Humidity</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10–95% (desert environment, max during shamal events)</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Wind Speed (design)</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40 m/s (design basis)</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m/s</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Solar Radiation (max)</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900 W/m²</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W/m²</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Sand / Dust</w:t>
            </w:r>
          </w:p>
        </w:tc>
        <w:tc>
          <w:tcPr>
            <w:tcW w:type="dxa" w:w="1800"/>
            <w:gridSpan w:val="3"/>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Heavy (IP66 minimum for all outdoor equipment and electrical enclosures)</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Site Elevation</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~30 m a.s.l. (inland desert site)</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Seismic Zone</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UAE SBC-301 Zone A (PGA 0.05g – low seismic risk)</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ATEX Hazardous Area Classification</w:t>
            </w:r>
          </w:p>
        </w:tc>
        <w:tc>
          <w:tcPr>
            <w:tcW w:type="dxa" w:w="1800"/>
            <w:gridSpan w:val="3"/>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Zone 1 / IIC / T3 (Hydrogen: Group IIC – most severe; autoignition 500°C → T3 conservative)</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4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Site Corrosivity Category</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C3 – Medium (inland desert; no coastal saltwater)</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ISO 12944</w:t>
            </w:r>
          </w:p>
        </w:tc>
      </w:tr>
    </w:tbl>
    <w:p>
      <w:pPr>
        <w:spacing w:after="60" w:before="60"/>
      </w:pPr>
      <w:r>
        <w:t xml:space="preserve"/>
      </w:r>
    </w:p>
    <w:p>
      <w:pPr>
        <w:pStyle w:val="Heading2"/>
        <w:spacing w:after="120" w:before="240"/>
      </w:pPr>
      <w:r>
        <w:rPr>
          <w:rFonts w:ascii="Arial" w:cs="Arial" w:eastAsia="Arial" w:hAnsi="Arial"/>
          <w:b/>
          <w:bCs/>
          <w:color w:val="0070B8"/>
          <w:sz w:val="24"/>
          <w:szCs w:val="24"/>
        </w:rPr>
        <w:t xml:space="preserve">2.2 Outlet Gas Quality Specification (Contractual)</w:t>
      </w:r>
    </w:p>
    <w:p>
      <w:pPr>
        <w:spacing w:after="80" w:before="80"/>
      </w:pPr>
      <w:r>
        <w:rPr>
          <w:rFonts w:ascii="Arial" w:cs="Arial" w:eastAsia="Arial" w:hAnsi="Arial"/>
          <w:sz w:val="20"/>
          <w:szCs w:val="20"/>
        </w:rPr>
        <w:t xml:space="preserve">The HPDU shall deliver hydrogen gas at its outlet battery limit flange meeting all quality parameters listed in the following table. The minimum acceptable purity grade is ISO 14687:2019 Grade 4.0. Vendor shall confirm compliance with every row. Where the project specification is more stringent than ISO 14687 (e.g., moisture ≤ 2 ppm design target), the project specification governs.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500"/>
        <w:gridCol w:w="1200"/>
        <w:gridCol w:w="1400"/>
        <w:gridCol w:w="1460"/>
      </w:tblGrid>
      <w:tr>
        <w:tc>
          <w:tcPr>
            <w:tcW w:type="dxa" w:w="280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100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Unit</w:t>
            </w:r>
          </w:p>
        </w:tc>
        <w:tc>
          <w:tcPr>
            <w:tcW w:type="dxa" w:w="150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ISO 14687:2019
Grade 4.0 Limit</w:t>
            </w:r>
          </w:p>
        </w:tc>
        <w:tc>
          <w:tcPr>
            <w:tcW w:type="dxa" w:w="120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Project Spec (Contractual)</w:t>
            </w:r>
          </w:p>
        </w:tc>
        <w:tc>
          <w:tcPr>
            <w:tcW w:type="dxa" w:w="140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Removal Stage</w:t>
            </w:r>
          </w:p>
        </w:tc>
        <w:tc>
          <w:tcPr>
            <w:tcW w:type="dxa" w:w="146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Measurement Method</w:t>
            </w:r>
          </w:p>
        </w:tc>
      </w:tr>
      <w:tr>
        <w:tc>
          <w:tcPr>
            <w:gridSpan w:val="6"/>
            <w:tcBorders>
              <w:top w:val="single" w:color="B0BEC5" w:sz="1"/>
              <w:left w:val="single" w:color="B0BEC5" w:sz="1"/>
              <w:bottom w:val="single" w:color="B0BEC5" w:sz="1"/>
              <w:right w:val="single" w:color="B0BEC5" w:sz="1"/>
            </w:tcBorders>
            <w:shd w:fill="0A2240" w:val="clear"/>
            <w:tcMar>
              <w:top w:type="dxa" w:w="50"/>
              <w:left w:type="dxa" w:w="120"/>
              <w:bottom w:type="dxa" w:w="50"/>
              <w:right w:type="dxa" w:w="120"/>
            </w:tcMar>
          </w:tcPr>
          <w:p>
            <w:r>
              <w:rPr>
                <w:rFonts w:ascii="Arial" w:cs="Arial" w:eastAsia="Arial" w:hAnsi="Arial"/>
                <w:b/>
                <w:bCs/>
                <w:color w:val="FFFFFF"/>
                <w:sz w:val="18"/>
                <w:szCs w:val="18"/>
              </w:rPr>
              <w:t xml:space="preserve">PRIMARY QUALITY PARAMETERS</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H₂ Purity (minimum)</w:t>
            </w:r>
          </w:p>
        </w:tc>
        <w:tc>
          <w:tcPr>
            <w:tcW w:type="dxa" w:w="1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mol%</w:t>
            </w:r>
          </w:p>
        </w:tc>
        <w:tc>
          <w:tcPr>
            <w:tcW w:type="dxa" w:w="15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 99.990%</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99.995%</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HPDU full train</w:t>
            </w:r>
          </w:p>
        </w:tc>
        <w:tc>
          <w:tcPr>
            <w:tcW w:type="dxa" w:w="14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GC (gas chromatography) per ISO 14687 Annex A</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Oxygen (O₂) – primary deoxo target</w:t>
            </w:r>
          </w:p>
        </w:tc>
        <w:tc>
          <w:tcPr>
            <w:tcW w:type="dxa" w:w="1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ppm vol</w:t>
            </w:r>
          </w:p>
        </w:tc>
        <w:tc>
          <w:tcPr>
            <w:tcW w:type="dxa" w:w="15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 5 ppm</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5 ppm (design: ≤ 1 ppm)</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Deoxo reactor</w:t>
            </w:r>
          </w:p>
        </w:tc>
        <w:tc>
          <w:tcPr>
            <w:tcW w:type="dxa" w:w="14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Online electrochemical O₂ analyser + periodic GC verification</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Water / Moisture (H₂O) – primary drying target</w:t>
            </w:r>
          </w:p>
        </w:tc>
        <w:tc>
          <w:tcPr>
            <w:tcW w:type="dxa" w:w="1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ppm vol</w:t>
            </w:r>
          </w:p>
        </w:tc>
        <w:tc>
          <w:tcPr>
            <w:tcW w:type="dxa" w:w="15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 5 ppm</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5 ppm (design: ≤ 2 ppm)</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TSA dryers</w:t>
            </w:r>
          </w:p>
        </w:tc>
        <w:tc>
          <w:tcPr>
            <w:tcW w:type="dxa" w:w="14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Online Al₂O₃ or QCM moisture analyser at HPDU outlet</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Water Dewpoint at 30 barg</w:t>
            </w:r>
          </w:p>
        </w:tc>
        <w:tc>
          <w:tcPr>
            <w:tcW w:type="dxa" w:w="1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w:t>
            </w:r>
          </w:p>
        </w:tc>
        <w:tc>
          <w:tcPr>
            <w:tcW w:type="dxa" w:w="15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 -65°C</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-65°C (design: -70°C)</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TSA dryers</w:t>
            </w:r>
          </w:p>
        </w:tc>
        <w:tc>
          <w:tcPr>
            <w:tcW w:type="dxa" w:w="14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Calculated from moisture content via ISO 23874</w:t>
            </w:r>
          </w:p>
        </w:tc>
      </w:tr>
      <w:tr>
        <w:tc>
          <w:tcPr>
            <w:gridSpan w:val="6"/>
            <w:tcBorders>
              <w:top w:val="single" w:color="B0BEC5" w:sz="1"/>
              <w:left w:val="single" w:color="B0BEC5" w:sz="1"/>
              <w:bottom w:val="single" w:color="B0BEC5" w:sz="1"/>
              <w:right w:val="single" w:color="B0BEC5" w:sz="1"/>
            </w:tcBorders>
            <w:shd w:fill="0A2240" w:val="clear"/>
            <w:tcMar>
              <w:top w:type="dxa" w:w="50"/>
              <w:left w:type="dxa" w:w="120"/>
              <w:bottom w:type="dxa" w:w="50"/>
              <w:right w:type="dxa" w:w="120"/>
            </w:tcMar>
          </w:tcPr>
          <w:p>
            <w:r>
              <w:rPr>
                <w:rFonts w:ascii="Arial" w:cs="Arial" w:eastAsia="Arial" w:hAnsi="Arial"/>
                <w:b/>
                <w:bCs/>
                <w:color w:val="FFFFFF"/>
                <w:sz w:val="18"/>
                <w:szCs w:val="18"/>
              </w:rPr>
              <w:t xml:space="preserve">TRACE IMPURITY LIMITS (ISO 14687:2019 TABLE 1)</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Nitrogen (N₂) + Argon (Ar) – inerts</w:t>
            </w:r>
          </w:p>
        </w:tc>
        <w:tc>
          <w:tcPr>
            <w:tcW w:type="dxa" w:w="1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ppm vol</w:t>
            </w:r>
          </w:p>
        </w:tc>
        <w:tc>
          <w:tcPr>
            <w:tcW w:type="dxa" w:w="1500"/>
            <w:gridSpan w:val="1"/>
            <w:tcBorders>
              <w:top w:val="single" w:color="B0BEC5" w:sz="1"/>
              <w:left w:val="single" w:color="B0BEC5" w:sz="1"/>
              <w:bottom w:val="single" w:color="B0BEC5" w:sz="1"/>
              <w:right w:val="single" w:color="B0BEC5"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100 ppm</w:t>
            </w:r>
          </w:p>
        </w:tc>
        <w:tc>
          <w:tcPr>
            <w:tcW w:type="dxa" w:w="1200"/>
            <w:gridSpan w:val="1"/>
            <w:tcBorders>
              <w:top w:val="single" w:color="B0BEC5" w:sz="1"/>
              <w:left w:val="single" w:color="B0BEC5" w:sz="1"/>
              <w:bottom w:val="single" w:color="B0BEC5" w:sz="1"/>
              <w:right w:val="single" w:color="B0BEC5"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100 ppm (pass-through – confirm vendor)</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Not removed by HPDU – confirm N₂ at inlet</w:t>
            </w:r>
          </w:p>
        </w:tc>
        <w:tc>
          <w:tcPr>
            <w:tcW w:type="dxa" w:w="14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GC</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Carbon Dioxide (CO₂)</w:t>
            </w:r>
          </w:p>
        </w:tc>
        <w:tc>
          <w:tcPr>
            <w:tcW w:type="dxa" w:w="1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ppm vol</w:t>
            </w:r>
          </w:p>
        </w:tc>
        <w:tc>
          <w:tcPr>
            <w:tcW w:type="dxa" w:w="15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2 ppm</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2 ppm (mol sieve 13X layer removes CO₂)</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TSA dryers (if 13X layer included)</w:t>
            </w:r>
          </w:p>
        </w:tc>
        <w:tc>
          <w:tcPr>
            <w:tcW w:type="dxa" w:w="14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GC</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Carbon Monoxide (CO)</w:t>
            </w:r>
          </w:p>
        </w:tc>
        <w:tc>
          <w:tcPr>
            <w:tcW w:type="dxa" w:w="1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ppm vol</w:t>
            </w:r>
          </w:p>
        </w:tc>
        <w:tc>
          <w:tcPr>
            <w:tcW w:type="dxa" w:w="1500"/>
            <w:gridSpan w:val="1"/>
            <w:tcBorders>
              <w:top w:val="single" w:color="B0BEC5" w:sz="1"/>
              <w:left w:val="single" w:color="B0BEC5" w:sz="1"/>
              <w:bottom w:val="single" w:color="B0BEC5" w:sz="1"/>
              <w:right w:val="single" w:color="B0BEC5"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0.2 ppm</w:t>
            </w:r>
          </w:p>
        </w:tc>
        <w:tc>
          <w:tcPr>
            <w:tcW w:type="dxa" w:w="1200"/>
            <w:gridSpan w:val="1"/>
            <w:tcBorders>
              <w:top w:val="single" w:color="B0BEC5" w:sz="1"/>
              <w:left w:val="single" w:color="B0BEC5" w:sz="1"/>
              <w:bottom w:val="single" w:color="B0BEC5" w:sz="1"/>
              <w:right w:val="single" w:color="B0BEC5"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0.2 ppm – vendor to confirm removal</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TSA or additional scavenger layer</w:t>
            </w:r>
          </w:p>
        </w:tc>
        <w:tc>
          <w:tcPr>
            <w:tcW w:type="dxa" w:w="14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GC</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Total Hydrocarbons (except CH₄)</w:t>
            </w:r>
          </w:p>
        </w:tc>
        <w:tc>
          <w:tcPr>
            <w:tcW w:type="dxa" w:w="1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ppm vol</w:t>
            </w:r>
          </w:p>
        </w:tc>
        <w:tc>
          <w:tcPr>
            <w:tcW w:type="dxa" w:w="1500"/>
            <w:gridSpan w:val="1"/>
            <w:tcBorders>
              <w:top w:val="single" w:color="B0BEC5" w:sz="1"/>
              <w:left w:val="single" w:color="B0BEC5" w:sz="1"/>
              <w:bottom w:val="single" w:color="B0BEC5" w:sz="1"/>
              <w:right w:val="single" w:color="B0BEC5"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2 ppm</w:t>
            </w:r>
          </w:p>
        </w:tc>
        <w:tc>
          <w:tcPr>
            <w:tcW w:type="dxa" w:w="1200"/>
            <w:gridSpan w:val="1"/>
            <w:tcBorders>
              <w:top w:val="single" w:color="B0BEC5" w:sz="1"/>
              <w:left w:val="single" w:color="B0BEC5" w:sz="1"/>
              <w:bottom w:val="single" w:color="B0BEC5" w:sz="1"/>
              <w:right w:val="single" w:color="B0BEC5"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2 ppm – confirm no HC from deoxo catalyst binder</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TSA dryers (adsorbed)</w:t>
            </w:r>
          </w:p>
        </w:tc>
        <w:tc>
          <w:tcPr>
            <w:tcW w:type="dxa" w:w="14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GC-FID</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H₂S and Total Sulfur</w:t>
            </w:r>
          </w:p>
        </w:tc>
        <w:tc>
          <w:tcPr>
            <w:tcW w:type="dxa" w:w="1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ppm vol</w:t>
            </w:r>
          </w:p>
        </w:tc>
        <w:tc>
          <w:tcPr>
            <w:tcW w:type="dxa" w:w="15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0.004 ppm</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0.004 ppm – confirm inlet sulfur level</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TSA (13X layer or scavenger)</w:t>
            </w:r>
          </w:p>
        </w:tc>
        <w:tc>
          <w:tcPr>
            <w:tcW w:type="dxa" w:w="14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GC-SCD or equivalent</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Ammonia (NH₃)</w:t>
            </w:r>
          </w:p>
        </w:tc>
        <w:tc>
          <w:tcPr>
            <w:tcW w:type="dxa" w:w="1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ppm vol</w:t>
            </w:r>
          </w:p>
        </w:tc>
        <w:tc>
          <w:tcPr>
            <w:tcW w:type="dxa" w:w="15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0.1 ppm</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0.1 ppm – 3A/4A sieve and activated alumina layer</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TSA activated alumina guard layer</w:t>
            </w:r>
          </w:p>
        </w:tc>
        <w:tc>
          <w:tcPr>
            <w:tcW w:type="dxa" w:w="14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Ion chromatography or GC-NPD</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Formaldehyde (HCHO)</w:t>
            </w:r>
          </w:p>
        </w:tc>
        <w:tc>
          <w:tcPr>
            <w:tcW w:type="dxa" w:w="1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ppm vol</w:t>
            </w:r>
          </w:p>
        </w:tc>
        <w:tc>
          <w:tcPr>
            <w:tcW w:type="dxa" w:w="15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0.01 ppm</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0.01 ppm</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Activated alumina layer</w:t>
            </w:r>
          </w:p>
        </w:tc>
        <w:tc>
          <w:tcPr>
            <w:tcW w:type="dxa" w:w="14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HPLC or GC-MS</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Total Particulates</w:t>
            </w:r>
          </w:p>
        </w:tc>
        <w:tc>
          <w:tcPr>
            <w:tcW w:type="dxa" w:w="1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mg/kg</w:t>
            </w:r>
          </w:p>
        </w:tc>
        <w:tc>
          <w:tcPr>
            <w:tcW w:type="dxa" w:w="15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1 mg/kg</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1 mg/kg – outlet filter mandatory</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Outlet fines filter (0.3 μm)</w:t>
            </w:r>
          </w:p>
        </w:tc>
        <w:tc>
          <w:tcPr>
            <w:tcW w:type="dxa" w:w="14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Gravimetric / isokinetic sampling</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Lube oil / organic oil mist</w:t>
            </w:r>
          </w:p>
        </w:tc>
        <w:tc>
          <w:tcPr>
            <w:tcW w:type="dxa" w:w="1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ppm vol</w:t>
            </w:r>
          </w:p>
        </w:tc>
        <w:tc>
          <w:tcPr>
            <w:tcW w:type="dxa" w:w="15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0.1 ppm</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0.1 ppm – oil-free compressor MANDATORY upstream</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Coalescing filter upstream of HPDU</w:t>
            </w:r>
          </w:p>
        </w:tc>
        <w:tc>
          <w:tcPr>
            <w:tcW w:type="dxa" w:w="14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GC-FID</w:t>
            </w:r>
          </w:p>
        </w:tc>
      </w:tr>
      <w:tr>
        <w:tc>
          <w:tcPr>
            <w:gridSpan w:val="6"/>
            <w:tcBorders>
              <w:top w:val="single" w:color="B0BEC5" w:sz="1"/>
              <w:left w:val="single" w:color="B0BEC5" w:sz="1"/>
              <w:bottom w:val="single" w:color="B0BEC5" w:sz="1"/>
              <w:right w:val="single" w:color="B0BEC5" w:sz="1"/>
            </w:tcBorders>
            <w:shd w:fill="0A2240" w:val="clear"/>
            <w:tcMar>
              <w:top w:type="dxa" w:w="50"/>
              <w:left w:type="dxa" w:w="120"/>
              <w:bottom w:type="dxa" w:w="50"/>
              <w:right w:type="dxa" w:w="120"/>
            </w:tcMar>
          </w:tcPr>
          <w:p>
            <w:r>
              <w:rPr>
                <w:rFonts w:ascii="Arial" w:cs="Arial" w:eastAsia="Arial" w:hAnsi="Arial"/>
                <w:b/>
                <w:bCs/>
                <w:color w:val="FFFFFF"/>
                <w:sz w:val="18"/>
                <w:szCs w:val="18"/>
              </w:rPr>
              <w:t xml:space="preserve">PHYSICAL DELIVERY CONDITIONS AT OUTLET BATTERY LIMIT</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Pressure at HPDU outlet BL flange (min)</w:t>
            </w:r>
          </w:p>
        </w:tc>
        <w:tc>
          <w:tcPr>
            <w:tcW w:type="dxa" w:w="1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barg</w:t>
            </w:r>
          </w:p>
        </w:tc>
        <w:tc>
          <w:tcPr>
            <w:tcW w:type="dxa" w:w="15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28.5 barg (after max ΔP 1.5 barg)</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HPDU hydraulic balance</w:t>
            </w:r>
          </w:p>
        </w:tc>
        <w:tc>
          <w:tcPr>
            <w:tcW w:type="dxa" w:w="14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PT at outlet BL</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Temperature at HPDU outlet BL flange</w:t>
            </w:r>
          </w:p>
        </w:tc>
        <w:tc>
          <w:tcPr>
            <w:tcW w:type="dxa" w:w="1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w:t>
            </w:r>
          </w:p>
        </w:tc>
        <w:tc>
          <w:tcPr>
            <w:tcW w:type="dxa" w:w="15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45°C</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Post-dryer cooling</w:t>
            </w:r>
          </w:p>
        </w:tc>
        <w:tc>
          <w:tcPr>
            <w:tcW w:type="dxa" w:w="14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TT at outlet BL</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Phase at HPDU outlet (gas only – no liquid carry-over)</w:t>
            </w:r>
          </w:p>
        </w:tc>
        <w:tc>
          <w:tcPr>
            <w:tcW w:type="dxa" w:w="10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5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100% dry gas – zero liquid carry-over permitted</w:t>
            </w:r>
          </w:p>
        </w:tc>
        <w:tc>
          <w:tcPr>
            <w:tcW w:type="dxa" w:w="14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Outlet filter / separator</w:t>
            </w:r>
          </w:p>
        </w:tc>
        <w:tc>
          <w:tcPr>
            <w:tcW w:type="dxa" w:w="14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Visual / density measurement</w:t>
            </w:r>
          </w:p>
        </w:tc>
      </w:tr>
      <w:tr>
        <w:tc>
          <w:tcPr>
            <w:gridSpan w:val="6"/>
            <w:tcBorders>
              <w:top w:val="single" w:color="B0BEC5" w:sz="1"/>
              <w:left w:val="single" w:color="B0BEC5" w:sz="1"/>
              <w:bottom w:val="single" w:color="B0BEC5" w:sz="1"/>
              <w:right w:val="single" w:color="B0BEC5" w:sz="1"/>
            </w:tcBorders>
            <w:shd w:fill="F5F5F5" w:val="clear"/>
            <w:tcMar>
              <w:top w:type="dxa" w:w="60"/>
              <w:left w:type="dxa" w:w="120"/>
              <w:bottom w:type="dxa" w:w="60"/>
              <w:right w:type="dxa" w:w="120"/>
            </w:tcMar>
          </w:tcPr>
          <w:p>
            <w:r>
              <w:rPr>
                <w:rFonts w:ascii="Arial" w:cs="Arial" w:eastAsia="Arial" w:hAnsi="Arial"/>
                <w:b/>
                <w:bCs/>
                <w:sz w:val="17"/>
                <w:szCs w:val="17"/>
              </w:rPr>
              <w:t xml:space="preserve">LEGEND:  </w:t>
            </w:r>
            <w:r>
              <w:rPr>
                <w:rFonts w:ascii="Arial" w:cs="Arial" w:eastAsia="Arial" w:hAnsi="Arial"/>
                <w:sz w:val="17"/>
                <w:szCs w:val="17"/>
              </w:rPr>
              <w:t xml:space="preserve">GREEN = HPDU actively removes/controls this impurity (vendor guarantees)     </w:t>
            </w:r>
            <w:r>
              <w:rPr>
                <w:rFonts w:ascii="Arial" w:cs="Arial" w:eastAsia="Arial" w:hAnsi="Arial"/>
                <w:i/>
                <w:iCs/>
                <w:sz w:val="17"/>
                <w:szCs w:val="17"/>
              </w:rPr>
              <w:t xml:space="preserve">YELLOW = Pass-through impurity (HPDU may not remove – vendor must confirm or propose treatment layer)</w:t>
            </w:r>
          </w:p>
        </w:tc>
      </w:tr>
    </w:tbl>
    <w:p>
      <w:pPr>
        <w:spacing w:after="60" w:before="60"/>
      </w:pPr>
      <w:r>
        <w:t xml:space="preserve"/>
      </w:r>
    </w:p>
    <w:p>
      <w:pPr>
        <w:spacing w:after="80" w:before="80"/>
      </w:pPr>
      <w:r>
        <w:rPr>
          <w:rFonts w:ascii="Arial" w:cs="Arial" w:eastAsia="Arial" w:hAnsi="Arial"/>
          <w:sz w:val="20"/>
          <w:szCs w:val="20"/>
        </w:rPr>
        <w:t xml:space="preserve">Vendor shall include a completed 'Outlet Gas Quality Guarantee Sheet' in the offer, confirming guaranteed values for all green-highlighted parameters and confirming or flagging pass-through status for yellow-highlighted parameters. Omission of this sheet constitutes a technically incomplete bid.</w:t>
      </w:r>
    </w:p>
    <w:p>
      <w:pPr>
        <w:spacing w:after="60" w:before="60"/>
      </w:pPr>
      <w:r>
        <w:t xml:space="preserve"/>
      </w:r>
    </w:p>
    <w:p>
      <w:pPr>
        <w:pStyle w:val="Heading2"/>
        <w:spacing w:after="120" w:before="240"/>
      </w:pPr>
      <w:r>
        <w:rPr>
          <w:rFonts w:ascii="Arial" w:cs="Arial" w:eastAsia="Arial" w:hAnsi="Arial"/>
          <w:b/>
          <w:bCs/>
          <w:color w:val="0070B8"/>
          <w:sz w:val="24"/>
          <w:szCs w:val="24"/>
        </w:rPr>
        <w:t xml:space="preserve">2.3 Key Design Constraints and Process Notes</w:t>
      </w:r>
    </w:p>
    <w:p>
      <w:pPr>
        <w:pStyle w:val="ListParagraph"/>
        <w:numPr>
          <w:ilvl w:val="0"/>
          <w:numId w:val="2"/>
        </w:numPr>
        <w:spacing w:after="60" w:before="60"/>
      </w:pPr>
      <w:r>
        <w:rPr>
          <w:rFonts w:ascii="Arial" w:cs="Arial" w:eastAsia="Arial" w:hAnsi="Arial"/>
          <w:sz w:val="18"/>
          <w:szCs w:val="18"/>
        </w:rPr>
        <w:t xml:space="preserve">No combustion equipment (gas burners, fired heaters) is permitted within the HPDU package or within 15 m of it. All heating must be by electric resistance heaters only, rated ATEX IIC.</w:t>
      </w:r>
    </w:p>
    <w:p>
      <w:pPr>
        <w:pStyle w:val="ListParagraph"/>
        <w:numPr>
          <w:ilvl w:val="0"/>
          <w:numId w:val="2"/>
        </w:numPr>
        <w:spacing w:after="60" w:before="60"/>
      </w:pPr>
      <w:r>
        <w:rPr>
          <w:rFonts w:ascii="Arial" w:cs="Arial" w:eastAsia="Arial" w:hAnsi="Arial"/>
          <w:sz w:val="18"/>
          <w:szCs w:val="18"/>
        </w:rPr>
        <w:t xml:space="preserve">No nitrogen purging or regeneration is permitted in the TSA section during normal operation. TSA regeneration must use the HPDU's own dry H₂ product gas as the regeneration medium (closed loop). This is mandatory to maintain H₂ purity and avoid nitrogen contamination of the product.</w:t>
      </w:r>
    </w:p>
    <w:p>
      <w:pPr>
        <w:pStyle w:val="ListParagraph"/>
        <w:numPr>
          <w:ilvl w:val="0"/>
          <w:numId w:val="2"/>
        </w:numPr>
        <w:spacing w:after="60" w:before="60"/>
      </w:pPr>
      <w:r>
        <w:rPr>
          <w:rFonts w:ascii="Arial" w:cs="Arial" w:eastAsia="Arial" w:hAnsi="Arial"/>
          <w:sz w:val="18"/>
          <w:szCs w:val="18"/>
        </w:rPr>
        <w:t xml:space="preserve">O₂ content must be continuously monitored at the deoxo reactor outlet (post-catalyst) AND at the HPDU outlet (post-dryers). If O₂ exceeds 10 ppm at either point, an automatic HIGH alarm shall activate. If O₂ exceeds 25 ppm at the HPDU outlet, an automatic ESD shutdown shall isolate the HPDU output.</w:t>
      </w:r>
    </w:p>
    <w:p>
      <w:pPr>
        <w:pStyle w:val="ListParagraph"/>
        <w:numPr>
          <w:ilvl w:val="0"/>
          <w:numId w:val="2"/>
        </w:numPr>
        <w:spacing w:after="60" w:before="60"/>
      </w:pPr>
      <w:r>
        <w:rPr>
          <w:rFonts w:ascii="Arial" w:cs="Arial" w:eastAsia="Arial" w:hAnsi="Arial"/>
          <w:sz w:val="18"/>
          <w:szCs w:val="18"/>
        </w:rPr>
        <w:t xml:space="preserve">Vendor shall perform an adiabatic temperature rise calculation for the deoxo reactor at the maximum O₂ inlet (2.0 vol%) and maximum H₂ flow (12,000 Nm³/h). This is the design maximum operating temperature for the reactor shell and downstream piping. The result shall be submitted with the offer.</w:t>
      </w:r>
    </w:p>
    <w:p>
      <w:pPr>
        <w:pStyle w:val="ListParagraph"/>
        <w:numPr>
          <w:ilvl w:val="0"/>
          <w:numId w:val="2"/>
        </w:numPr>
        <w:spacing w:after="60" w:before="60"/>
      </w:pPr>
      <w:r>
        <w:rPr>
          <w:rFonts w:ascii="Arial" w:cs="Arial" w:eastAsia="Arial" w:hAnsi="Arial"/>
          <w:sz w:val="18"/>
          <w:szCs w:val="18"/>
        </w:rPr>
        <w:t xml:space="preserve">The H₂–O₂ recombination reaction in the deoxo reactor (2H₂ + O₂ → 2H₂O, ΔH = -242 kJ/mol O₂) is strongly exothermic. At 2.0 vol% O₂, the adiabatic temperature rise is approximately 80–90°C per 1 vol% O₂. Reactor materials and downstream piping must be rated for ≥ 280°C to provide a 20°C safety margin above the calculated maximum.</w:t>
      </w:r>
    </w:p>
    <w:p>
      <w:pPr>
        <w:pStyle w:val="ListParagraph"/>
        <w:numPr>
          <w:ilvl w:val="0"/>
          <w:numId w:val="2"/>
        </w:numPr>
        <w:spacing w:after="60" w:before="60"/>
      </w:pPr>
      <w:r>
        <w:rPr>
          <w:rFonts w:ascii="Arial" w:cs="Arial" w:eastAsia="Arial" w:hAnsi="Arial"/>
          <w:sz w:val="18"/>
          <w:szCs w:val="18"/>
        </w:rPr>
        <w:t xml:space="preserve">The spent deoxo catalyst will contain trace H₂O and may contain trace H₂. Catalyst replacement procedure must be included in vendor documentation. Inert gas blanket (N₂) shall be provided by EPC during catalyst changeout — vendor to specify requirements.</w:t>
      </w:r>
    </w:p>
    <w:p>
      <w:pPr>
        <w:pStyle w:val="ListParagraph"/>
        <w:numPr>
          <w:ilvl w:val="0"/>
          <w:numId w:val="2"/>
        </w:numPr>
        <w:spacing w:after="60" w:before="60"/>
      </w:pPr>
      <w:r>
        <w:rPr>
          <w:rFonts w:ascii="Arial" w:cs="Arial" w:eastAsia="Arial" w:hAnsi="Arial"/>
          <w:sz w:val="18"/>
          <w:szCs w:val="18"/>
        </w:rPr>
        <w:t xml:space="preserve">Vendor shall design for a minimum TSA adsorption cycle that guarantees outlet moisture ≤ 5 ppm at all times including the moment of bed switchover. Maximum acceptable moisture spike at switchover: &lt; 5 ppm for no more than 15 minutes per event.</w:t>
      </w:r>
    </w:p>
    <w:p>
      <w:pPr>
        <w:pStyle w:val="ListParagraph"/>
        <w:numPr>
          <w:ilvl w:val="0"/>
          <w:numId w:val="2"/>
        </w:numPr>
        <w:spacing w:after="60" w:before="60"/>
      </w:pPr>
      <w:r>
        <w:rPr>
          <w:rFonts w:ascii="Arial" w:cs="Arial" w:eastAsia="Arial" w:hAnsi="Arial"/>
          <w:sz w:val="18"/>
          <w:szCs w:val="18"/>
        </w:rPr>
        <w:t xml:space="preserve">All materials in contact with H₂ at any pressure above 1 barg shall be 316L SS minimum. Carbon steel is NOT acceptable for any wetted part. Vendor shall submit a complete Piping and Instrument Material Class (PMC) table confirming material selections for each service.</w:t>
      </w:r>
    </w:p>
    <w:p>
      <w:pPr>
        <w:spacing w:after="60" w:before="60"/>
      </w:pPr>
      <w:r>
        <w:t xml:space="preserve"/>
      </w:r>
    </w:p>
    <w:p>
      <w:r>
        <w:br w:type="page"/>
      </w:r>
    </w:p>
    <w:p>
      <w:pPr>
        <w:pStyle w:val="Heading1"/>
        <w:pBdr>
          <w:bottom w:val="single" w:color="007A7C" w:sz="10" w:space="4"/>
        </w:pBdr>
        <w:spacing w:after="180" w:before="360"/>
      </w:pPr>
      <w:r>
        <w:rPr>
          <w:rFonts w:ascii="Arial" w:cs="Arial" w:eastAsia="Arial" w:hAnsi="Arial"/>
          <w:b/>
          <w:bCs/>
          <w:color w:val="0A2240"/>
          <w:sz w:val="28"/>
          <w:szCs w:val="28"/>
        </w:rPr>
        <w:t xml:space="preserve">3. DETAILED TECHNICAL REQUIREMENTS</w:t>
      </w:r>
    </w:p>
    <w:p>
      <w:pPr>
        <w:pStyle w:val="Heading2"/>
        <w:spacing w:after="120" w:before="240"/>
      </w:pPr>
      <w:r>
        <w:rPr>
          <w:rFonts w:ascii="Arial" w:cs="Arial" w:eastAsia="Arial" w:hAnsi="Arial"/>
          <w:b/>
          <w:bCs/>
          <w:color w:val="0070B8"/>
          <w:sz w:val="24"/>
          <w:szCs w:val="24"/>
        </w:rPr>
        <w:t xml:space="preserve">3.1 Primary Water Separator / KO Drum #1</w:t>
      </w:r>
    </w:p>
    <w:p>
      <w:pPr>
        <w:pStyle w:val="ListParagraph"/>
        <w:numPr>
          <w:ilvl w:val="0"/>
          <w:numId w:val="2"/>
        </w:numPr>
        <w:spacing w:after="60" w:before="60"/>
      </w:pPr>
      <w:r>
        <w:rPr>
          <w:rFonts w:ascii="Arial" w:cs="Arial" w:eastAsia="Arial" w:hAnsi="Arial"/>
          <w:sz w:val="18"/>
          <w:szCs w:val="18"/>
        </w:rPr>
        <w:t xml:space="preserve">Type: Vertical gas-liquid separator with wire mesh mist eliminator. Two-phase separation (gas + water).</w:t>
      </w:r>
    </w:p>
    <w:p>
      <w:pPr>
        <w:pStyle w:val="ListParagraph"/>
        <w:numPr>
          <w:ilvl w:val="0"/>
          <w:numId w:val="2"/>
        </w:numPr>
        <w:spacing w:after="60" w:before="60"/>
      </w:pPr>
      <w:r>
        <w:rPr>
          <w:rFonts w:ascii="Arial" w:cs="Arial" w:eastAsia="Arial" w:hAnsi="Arial"/>
          <w:sz w:val="18"/>
          <w:szCs w:val="18"/>
        </w:rPr>
        <w:t xml:space="preserve">Material: All wetted parts SS316L (ASTM A240/A312). No carbon steel in H₂ service.</w:t>
      </w:r>
    </w:p>
    <w:p>
      <w:pPr>
        <w:pStyle w:val="ListParagraph"/>
        <w:numPr>
          <w:ilvl w:val="0"/>
          <w:numId w:val="2"/>
        </w:numPr>
        <w:spacing w:after="60" w:before="60"/>
      </w:pPr>
      <w:r>
        <w:rPr>
          <w:rFonts w:ascii="Arial" w:cs="Arial" w:eastAsia="Arial" w:hAnsi="Arial"/>
          <w:sz w:val="18"/>
          <w:szCs w:val="18"/>
        </w:rPr>
        <w:t xml:space="preserve">Design Code: ASME Section VIII Div.1. Design Pressure: 40 barg. Design Temp: -20°C to +100°C.</w:t>
      </w:r>
    </w:p>
    <w:p>
      <w:pPr>
        <w:pStyle w:val="ListParagraph"/>
        <w:numPr>
          <w:ilvl w:val="0"/>
          <w:numId w:val="2"/>
        </w:numPr>
        <w:spacing w:after="60" w:before="60"/>
      </w:pPr>
      <w:r>
        <w:rPr>
          <w:rFonts w:ascii="Arial" w:cs="Arial" w:eastAsia="Arial" w:hAnsi="Arial"/>
          <w:sz w:val="18"/>
          <w:szCs w:val="18"/>
        </w:rPr>
        <w:t xml:space="preserve">Nozzle Rating: ANSI Class 300 RF flanged minimum. Inlet nozzle to be equipped with internal baffle/vane to minimize gas velocity impingement on mist eliminator.</w:t>
      </w:r>
    </w:p>
    <w:p>
      <w:pPr>
        <w:pStyle w:val="ListParagraph"/>
        <w:numPr>
          <w:ilvl w:val="0"/>
          <w:numId w:val="2"/>
        </w:numPr>
        <w:spacing w:after="60" w:before="60"/>
      </w:pPr>
      <w:r>
        <w:rPr>
          <w:rFonts w:ascii="Arial" w:cs="Arial" w:eastAsia="Arial" w:hAnsi="Arial"/>
          <w:sz w:val="18"/>
          <w:szCs w:val="18"/>
        </w:rPr>
        <w:t xml:space="preserve">Level Control: Level transmitter (LT) with HIGH alarm, HIGH-HIGH trip; automatic drain valve (normally closed, fail-closed) with manual bypass; level glass gauge; routed to produced water collection (EPC scope at BL).</w:t>
      </w:r>
    </w:p>
    <w:p>
      <w:pPr>
        <w:pStyle w:val="ListParagraph"/>
        <w:numPr>
          <w:ilvl w:val="0"/>
          <w:numId w:val="2"/>
        </w:numPr>
        <w:spacing w:after="60" w:before="60"/>
      </w:pPr>
      <w:r>
        <w:rPr>
          <w:rFonts w:ascii="Arial" w:cs="Arial" w:eastAsia="Arial" w:hAnsi="Arial"/>
          <w:sz w:val="18"/>
          <w:szCs w:val="18"/>
        </w:rPr>
        <w:t xml:space="preserve">Corrosion Allowance: 1.5 mm (SS316L – against residual impurity corrosion; H₂ does not corrode SS).</w:t>
      </w:r>
    </w:p>
    <w:p>
      <w:pPr>
        <w:pStyle w:val="ListParagraph"/>
        <w:numPr>
          <w:ilvl w:val="0"/>
          <w:numId w:val="2"/>
        </w:numPr>
        <w:spacing w:after="60" w:before="60"/>
      </w:pPr>
      <w:r>
        <w:rPr>
          <w:rFonts w:ascii="Arial" w:cs="Arial" w:eastAsia="Arial" w:hAnsi="Arial"/>
          <w:sz w:val="18"/>
          <w:szCs w:val="18"/>
        </w:rPr>
        <w:t xml:space="preserve">Manway: DN500 minimum for inspection and mist eliminator removal.</w:t>
      </w:r>
    </w:p>
    <w:p>
      <w:pPr>
        <w:spacing w:after="60" w:before="60"/>
      </w:pPr>
      <w:r>
        <w:t xml:space="preserve"/>
      </w:r>
    </w:p>
    <w:p>
      <w:pPr>
        <w:pStyle w:val="Heading2"/>
        <w:spacing w:after="120" w:before="240"/>
      </w:pPr>
      <w:r>
        <w:rPr>
          <w:rFonts w:ascii="Arial" w:cs="Arial" w:eastAsia="Arial" w:hAnsi="Arial"/>
          <w:b/>
          <w:bCs/>
          <w:color w:val="0070B8"/>
          <w:sz w:val="24"/>
          <w:szCs w:val="24"/>
        </w:rPr>
        <w:t xml:space="preserve">3.2 Inlet Coalescing Filter</w:t>
      </w:r>
    </w:p>
    <w:p>
      <w:pPr>
        <w:pStyle w:val="ListParagraph"/>
        <w:numPr>
          <w:ilvl w:val="0"/>
          <w:numId w:val="2"/>
        </w:numPr>
        <w:spacing w:after="60" w:before="60"/>
      </w:pPr>
      <w:r>
        <w:rPr>
          <w:rFonts w:ascii="Arial" w:cs="Arial" w:eastAsia="Arial" w:hAnsi="Arial"/>
          <w:sz w:val="18"/>
          <w:szCs w:val="18"/>
        </w:rPr>
        <w:t xml:space="preserve">Type: High-efficiency gas coalescing filter, SS316L vessel with proprietary coalescing elements (borosilicate glass fiber or equivalent). Rated to remove droplets ≥ 0.1 μm with ≥ 99.95% efficiency.</w:t>
      </w:r>
    </w:p>
    <w:p>
      <w:pPr>
        <w:pStyle w:val="ListParagraph"/>
        <w:numPr>
          <w:ilvl w:val="0"/>
          <w:numId w:val="2"/>
        </w:numPr>
        <w:spacing w:after="60" w:before="60"/>
      </w:pPr>
      <w:r>
        <w:rPr>
          <w:rFonts w:ascii="Arial" w:cs="Arial" w:eastAsia="Arial" w:hAnsi="Arial"/>
          <w:sz w:val="18"/>
          <w:szCs w:val="18"/>
        </w:rPr>
        <w:t xml:space="preserve">Purpose: Protect deoxo catalyst Pd/Pt active sites from liquid water flooding (water inhibits catalyst at low T) and from KOH aerosol carry-over from AEL electrolyzers (KOH poisons Pd catalyst). Also remove any oil-mist from upstream compressors.</w:t>
      </w:r>
    </w:p>
    <w:p>
      <w:pPr>
        <w:pStyle w:val="ListParagraph"/>
        <w:numPr>
          <w:ilvl w:val="0"/>
          <w:numId w:val="2"/>
        </w:numPr>
        <w:spacing w:after="60" w:before="60"/>
      </w:pPr>
      <w:r>
        <w:rPr>
          <w:rFonts w:ascii="Arial" w:cs="Arial" w:eastAsia="Arial" w:hAnsi="Arial"/>
          <w:sz w:val="18"/>
          <w:szCs w:val="18"/>
        </w:rPr>
        <w:t xml:space="preserve">Differential Pressure Monitoring: DPT across filter elements with HIGH ΔP alarm (trigger element replacement) and HIGH-HIGH ΔP trip (protect catalyst). Filter elements to be replaceable without vessel depressurization (if possible using isolation valves and double block arrangement).</w:t>
      </w:r>
    </w:p>
    <w:p>
      <w:pPr>
        <w:pStyle w:val="ListParagraph"/>
        <w:numPr>
          <w:ilvl w:val="0"/>
          <w:numId w:val="2"/>
        </w:numPr>
        <w:spacing w:after="60" w:before="60"/>
      </w:pPr>
      <w:r>
        <w:rPr>
          <w:rFonts w:ascii="Arial" w:cs="Arial" w:eastAsia="Arial" w:hAnsi="Arial"/>
          <w:sz w:val="18"/>
          <w:szCs w:val="18"/>
        </w:rPr>
        <w:t xml:space="preserve">Materials: All SS316L. Elements: borosilicate fiber with SS316L support cage. No zinc-coated parts.</w:t>
      </w:r>
    </w:p>
    <w:p>
      <w:pPr>
        <w:spacing w:after="60" w:before="60"/>
      </w:pPr>
      <w:r>
        <w:t xml:space="preserve"/>
      </w:r>
    </w:p>
    <w:p>
      <w:pPr>
        <w:pStyle w:val="Heading2"/>
        <w:spacing w:after="120" w:before="240"/>
      </w:pPr>
      <w:r>
        <w:rPr>
          <w:rFonts w:ascii="Arial" w:cs="Arial" w:eastAsia="Arial" w:hAnsi="Arial"/>
          <w:b/>
          <w:bCs/>
          <w:color w:val="0070B8"/>
          <w:sz w:val="24"/>
          <w:szCs w:val="24"/>
        </w:rPr>
        <w:t xml:space="preserve">3.3 Deoxo Feed Preheater (Electric)</w:t>
      </w:r>
    </w:p>
    <w:p>
      <w:pPr>
        <w:pStyle w:val="ListParagraph"/>
        <w:numPr>
          <w:ilvl w:val="0"/>
          <w:numId w:val="2"/>
        </w:numPr>
        <w:spacing w:after="60" w:before="60"/>
      </w:pPr>
      <w:r>
        <w:rPr>
          <w:rFonts w:ascii="Arial" w:cs="Arial" w:eastAsia="Arial" w:hAnsi="Arial"/>
          <w:sz w:val="18"/>
          <w:szCs w:val="18"/>
        </w:rPr>
        <w:t xml:space="preserve">Type: Electric resistance in-line heater, immersion type or shell-and-tube with internal SS316L electric heater elements. No fired heater, no steam heater (steam not available at site).</w:t>
      </w:r>
    </w:p>
    <w:p>
      <w:pPr>
        <w:pStyle w:val="ListParagraph"/>
        <w:numPr>
          <w:ilvl w:val="0"/>
          <w:numId w:val="2"/>
        </w:numPr>
        <w:spacing w:after="60" w:before="60"/>
      </w:pPr>
      <w:r>
        <w:rPr>
          <w:rFonts w:ascii="Arial" w:cs="Arial" w:eastAsia="Arial" w:hAnsi="Arial"/>
          <w:sz w:val="18"/>
          <w:szCs w:val="18"/>
        </w:rPr>
        <w:t xml:space="preserve">Purpose: Raise H₂ temperature from ~40-60°C to the deoxo catalyst activation temperature (vendor to specify; typically 150°C for Pd/Al₂O₃). Adequate preheat ensures immediate and complete O₂ conversion and avoids catalyst inhibition by liquid water at cold start.</w:t>
      </w:r>
    </w:p>
    <w:p>
      <w:pPr>
        <w:pStyle w:val="ListParagraph"/>
        <w:numPr>
          <w:ilvl w:val="0"/>
          <w:numId w:val="2"/>
        </w:numPr>
        <w:spacing w:after="60" w:before="60"/>
      </w:pPr>
      <w:r>
        <w:rPr>
          <w:rFonts w:ascii="Arial" w:cs="Arial" w:eastAsia="Arial" w:hAnsi="Arial"/>
          <w:sz w:val="18"/>
          <w:szCs w:val="18"/>
        </w:rPr>
        <w:t xml:space="preserve">ATEX Rating: All electrical components (heater elements, terminal box, temperature controller) to be certified Ex d IIC T4 or Ex e IIC T4 (or intrinsically safe Ex ia IIC where applicable). Heater sheath temperature must not exceed auto-ignition temperature of H₂ (500°C) under any fault condition.</w:t>
      </w:r>
    </w:p>
    <w:p>
      <w:pPr>
        <w:pStyle w:val="ListParagraph"/>
        <w:numPr>
          <w:ilvl w:val="0"/>
          <w:numId w:val="2"/>
        </w:numPr>
        <w:spacing w:after="60" w:before="60"/>
      </w:pPr>
      <w:r>
        <w:rPr>
          <w:rFonts w:ascii="Arial" w:cs="Arial" w:eastAsia="Arial" w:hAnsi="Arial"/>
          <w:sz w:val="18"/>
          <w:szCs w:val="18"/>
        </w:rPr>
        <w:t xml:space="preserve">Over-Temperature Protection: Dual independent over-temperature trips (hardwired to ESD) to cut heater power if outlet temperature exceeds vendor-specified safe maximum.</w:t>
      </w:r>
    </w:p>
    <w:p>
      <w:pPr>
        <w:pStyle w:val="ListParagraph"/>
        <w:numPr>
          <w:ilvl w:val="0"/>
          <w:numId w:val="2"/>
        </w:numPr>
        <w:spacing w:after="60" w:before="60"/>
      </w:pPr>
      <w:r>
        <w:rPr>
          <w:rFonts w:ascii="Arial" w:cs="Arial" w:eastAsia="Arial" w:hAnsi="Arial"/>
          <w:sz w:val="18"/>
          <w:szCs w:val="18"/>
        </w:rPr>
        <w:t xml:space="preserve">Material (gas-side): SS316L all wetted components. Heater elements: Incoloy 800 sheath minimum (for thermal stability) with SS316L end plates.</w:t>
      </w:r>
    </w:p>
    <w:p>
      <w:pPr>
        <w:pStyle w:val="ListParagraph"/>
        <w:numPr>
          <w:ilvl w:val="0"/>
          <w:numId w:val="2"/>
        </w:numPr>
        <w:spacing w:after="60" w:before="60"/>
      </w:pPr>
      <w:r>
        <w:rPr>
          <w:rFonts w:ascii="Arial" w:cs="Arial" w:eastAsia="Arial" w:hAnsi="Arial"/>
          <w:sz w:val="18"/>
          <w:szCs w:val="18"/>
        </w:rPr>
        <w:t xml:space="preserve">Control: PLC-controlled (4-20 mA setpoint), modulating power output. Manual setpoint adjustable from HMI. Cold-start interlocked to H₂ flow presence (no dry-fire protection).</w:t>
      </w:r>
    </w:p>
    <w:p>
      <w:pPr>
        <w:spacing w:after="60" w:before="60"/>
      </w:pPr>
      <w:r>
        <w:t xml:space="preserve"/>
      </w:r>
    </w:p>
    <w:p>
      <w:pPr>
        <w:pStyle w:val="Heading2"/>
        <w:spacing w:after="120" w:before="240"/>
      </w:pPr>
      <w:r>
        <w:rPr>
          <w:rFonts w:ascii="Arial" w:cs="Arial" w:eastAsia="Arial" w:hAnsi="Arial"/>
          <w:b/>
          <w:bCs/>
          <w:color w:val="0070B8"/>
          <w:sz w:val="24"/>
          <w:szCs w:val="24"/>
        </w:rPr>
        <w:t xml:space="preserve">3.4 Deoxo Reactor</w:t>
      </w:r>
    </w:p>
    <w:p>
      <w:pPr>
        <w:pStyle w:val="ListParagraph"/>
        <w:numPr>
          <w:ilvl w:val="0"/>
          <w:numId w:val="2"/>
        </w:numPr>
        <w:spacing w:after="60" w:before="60"/>
      </w:pPr>
      <w:r>
        <w:rPr>
          <w:rFonts w:ascii="Arial" w:cs="Arial" w:eastAsia="Arial" w:hAnsi="Arial"/>
          <w:sz w:val="18"/>
          <w:szCs w:val="18"/>
        </w:rPr>
        <w:t xml:space="preserve">Type: Adiabatic, radial or axial-flow fixed bed catalytic reactor. Catalyst: Pd/Al₂O₃ (Palladium on Alumina support), e.g., BASF R4758, Axens DO 125, Johnson Matthey KATALCOJM, Evonik/Creaphis, or equivalent. Vendor to confirm catalyst make and model.</w:t>
      </w:r>
    </w:p>
    <w:p>
      <w:pPr>
        <w:pStyle w:val="ListParagraph"/>
        <w:numPr>
          <w:ilvl w:val="0"/>
          <w:numId w:val="2"/>
        </w:numPr>
        <w:spacing w:after="60" w:before="60"/>
      </w:pPr>
      <w:r>
        <w:rPr>
          <w:rFonts w:ascii="Arial" w:cs="Arial" w:eastAsia="Arial" w:hAnsi="Arial"/>
          <w:sz w:val="18"/>
          <w:szCs w:val="18"/>
        </w:rPr>
        <w:t xml:space="preserve">Reaction: 2H₂ + O₂ → 2H₂O (ΔH = -242 kJ/mol). Highly exothermic. Vendor to provide complete reaction heat duty and temperature profile calculations at design flow (10,000 Nm³/h), minimum flow (5,000 Nm³/h), and maximum flow (12,000 Nm³/h), for O₂ concentrations of 0.3%, 1.0%, and 2.0% vol (9 calculation scenarios total).</w:t>
      </w:r>
    </w:p>
    <w:p>
      <w:pPr>
        <w:pStyle w:val="ListParagraph"/>
        <w:numPr>
          <w:ilvl w:val="0"/>
          <w:numId w:val="2"/>
        </w:numPr>
        <w:spacing w:after="60" w:before="60"/>
      </w:pPr>
      <w:r>
        <w:rPr>
          <w:rFonts w:ascii="Arial" w:cs="Arial" w:eastAsia="Arial" w:hAnsi="Arial"/>
          <w:sz w:val="18"/>
          <w:szCs w:val="18"/>
        </w:rPr>
        <w:t xml:space="preserve">Catalyst Bed Temperature Profile: Vendor to include sufficient thermowells (TT) at multiple bed elevations to monitor the reaction front. Minimum 4 thermowells per bed at: top (inlet), 25%, 75%, bottom (outlet).</w:t>
      </w:r>
    </w:p>
    <w:p>
      <w:pPr>
        <w:pStyle w:val="ListParagraph"/>
        <w:numPr>
          <w:ilvl w:val="0"/>
          <w:numId w:val="2"/>
        </w:numPr>
        <w:spacing w:after="60" w:before="60"/>
      </w:pPr>
      <w:r>
        <w:rPr>
          <w:rFonts w:ascii="Arial" w:cs="Arial" w:eastAsia="Arial" w:hAnsi="Arial"/>
          <w:sz w:val="18"/>
          <w:szCs w:val="18"/>
        </w:rPr>
        <w:t xml:space="preserve">Design Temperature: Reactor shell and heads minimum 300°C design temperature. Downstream piping and next separator must be rated to reactor outlet temperature.</w:t>
      </w:r>
    </w:p>
    <w:p>
      <w:pPr>
        <w:pStyle w:val="ListParagraph"/>
        <w:numPr>
          <w:ilvl w:val="0"/>
          <w:numId w:val="2"/>
        </w:numPr>
        <w:spacing w:after="60" w:before="60"/>
      </w:pPr>
      <w:r>
        <w:rPr>
          <w:rFonts w:ascii="Arial" w:cs="Arial" w:eastAsia="Arial" w:hAnsi="Arial"/>
          <w:sz w:val="18"/>
          <w:szCs w:val="18"/>
        </w:rPr>
        <w:t xml:space="preserve">Materials: Shell and heads: SS316L (ASTM A240 TP316L). Internals, supports, screens: SS316L (ASTM A312 TP316L). Catalyst support grid: SS316L (anti-sulfide stress cracking not required; H₂ does not cause SSC in austenitic SS at these pressures).</w:t>
      </w:r>
    </w:p>
    <w:p>
      <w:pPr>
        <w:pStyle w:val="ListParagraph"/>
        <w:numPr>
          <w:ilvl w:val="0"/>
          <w:numId w:val="2"/>
        </w:numPr>
        <w:spacing w:after="60" w:before="60"/>
      </w:pPr>
      <w:r>
        <w:rPr>
          <w:rFonts w:ascii="Arial" w:cs="Arial" w:eastAsia="Arial" w:hAnsi="Arial"/>
          <w:sz w:val="18"/>
          <w:szCs w:val="18"/>
        </w:rPr>
        <w:t xml:space="preserve">Pressure Drop: Vendor to confirm maximum catalyst bed ΔP at maximum flow conditions. ΔP across deoxo reactor must be included in overall HPDU ΔP budget (max 1.5 barg total).</w:t>
      </w:r>
    </w:p>
    <w:p>
      <w:pPr>
        <w:pStyle w:val="ListParagraph"/>
        <w:numPr>
          <w:ilvl w:val="0"/>
          <w:numId w:val="2"/>
        </w:numPr>
        <w:spacing w:after="60" w:before="60"/>
      </w:pPr>
      <w:r>
        <w:rPr>
          <w:rFonts w:ascii="Arial" w:cs="Arial" w:eastAsia="Arial" w:hAnsi="Arial"/>
          <w:sz w:val="18"/>
          <w:szCs w:val="18"/>
        </w:rPr>
        <w:t xml:space="preserve">Catalyst Life: Vendor to guarantee minimum catalyst active life of 2 years (deoxo outlet O₂ ≤ 5 ppm maintained). After 2 years, catalyst activity to be tested by vendor during scheduled maintenance. Replacement catalyst to be made available for delivery within 4 weeks of request.</w:t>
      </w:r>
    </w:p>
    <w:p>
      <w:pPr>
        <w:pStyle w:val="ListParagraph"/>
        <w:numPr>
          <w:ilvl w:val="0"/>
          <w:numId w:val="2"/>
        </w:numPr>
        <w:spacing w:after="60" w:before="60"/>
      </w:pPr>
      <w:r>
        <w:rPr>
          <w:rFonts w:ascii="Arial" w:cs="Arial" w:eastAsia="Arial" w:hAnsi="Arial"/>
          <w:sz w:val="18"/>
          <w:szCs w:val="18"/>
        </w:rPr>
        <w:t xml:space="preserve">Start-up / Shutdown: Vendor to include full start-up procedure (catalyst activation/reduction if required), normal shutdown procedure, and emergency shutdown procedure. All procedures to reference H₂ safety precautions.</w:t>
      </w:r>
    </w:p>
    <w:p>
      <w:pPr>
        <w:spacing w:after="60" w:before="60"/>
      </w:pPr>
      <w:r>
        <w:t xml:space="preserve"/>
      </w:r>
    </w:p>
    <w:p>
      <w:pPr>
        <w:pStyle w:val="Heading2"/>
        <w:spacing w:after="120" w:before="240"/>
      </w:pPr>
      <w:r>
        <w:rPr>
          <w:rFonts w:ascii="Arial" w:cs="Arial" w:eastAsia="Arial" w:hAnsi="Arial"/>
          <w:b/>
          <w:bCs/>
          <w:color w:val="0070B8"/>
          <w:sz w:val="24"/>
          <w:szCs w:val="24"/>
        </w:rPr>
        <w:t xml:space="preserve">3.5 Deoxo Outlet Aftercooler</w:t>
      </w:r>
    </w:p>
    <w:p>
      <w:pPr>
        <w:pStyle w:val="ListParagraph"/>
        <w:numPr>
          <w:ilvl w:val="0"/>
          <w:numId w:val="2"/>
        </w:numPr>
        <w:spacing w:after="60" w:before="60"/>
      </w:pPr>
      <w:r>
        <w:rPr>
          <w:rFonts w:ascii="Arial" w:cs="Arial" w:eastAsia="Arial" w:hAnsi="Arial"/>
          <w:sz w:val="18"/>
          <w:szCs w:val="18"/>
        </w:rPr>
        <w:t xml:space="preserve">Type: Air-cooled heat exchanger (preferred given the site's lack of cooling water). If vendor proposes water-cooled HEX, vendor to flag utility requirement. All process-side (H₂-side) parts: SS316L tubes and headers. Air side: SS fins or aluminium fins (confirm material with respect to desert conditions).</w:t>
      </w:r>
    </w:p>
    <w:p>
      <w:pPr>
        <w:pStyle w:val="ListParagraph"/>
        <w:numPr>
          <w:ilvl w:val="0"/>
          <w:numId w:val="2"/>
        </w:numPr>
        <w:spacing w:after="60" w:before="60"/>
      </w:pPr>
      <w:r>
        <w:rPr>
          <w:rFonts w:ascii="Arial" w:cs="Arial" w:eastAsia="Arial" w:hAnsi="Arial"/>
          <w:sz w:val="18"/>
          <w:szCs w:val="18"/>
        </w:rPr>
        <w:t xml:space="preserve">Duty: Cool gas from max deoxo outlet temperature (260°C at maximum O₂ case) to ≤ 45°C at HPDU outlet battery limit (note: TSA dryers are downstream). Design ambient +55°C (includes solar load).</w:t>
      </w:r>
    </w:p>
    <w:p>
      <w:pPr>
        <w:pStyle w:val="ListParagraph"/>
        <w:numPr>
          <w:ilvl w:val="0"/>
          <w:numId w:val="2"/>
        </w:numPr>
        <w:spacing w:after="60" w:before="60"/>
      </w:pPr>
      <w:r>
        <w:rPr>
          <w:rFonts w:ascii="Arial" w:cs="Arial" w:eastAsia="Arial" w:hAnsi="Arial"/>
          <w:sz w:val="18"/>
          <w:szCs w:val="18"/>
        </w:rPr>
        <w:t xml:space="preserve">Fan Motors: ATEX IIC T3 certified; IP66; variable speed drive (VSD) recommended for ambient variation. Dual fan arrangement (one duty, one standby) if required to maintain outlet temperature at max ambient of +55°C.</w:t>
      </w:r>
    </w:p>
    <w:p>
      <w:pPr>
        <w:pStyle w:val="ListParagraph"/>
        <w:numPr>
          <w:ilvl w:val="0"/>
          <w:numId w:val="2"/>
        </w:numPr>
        <w:spacing w:after="60" w:before="60"/>
      </w:pPr>
      <w:r>
        <w:rPr>
          <w:rFonts w:ascii="Arial" w:cs="Arial" w:eastAsia="Arial" w:hAnsi="Arial"/>
          <w:sz w:val="18"/>
          <w:szCs w:val="18"/>
        </w:rPr>
        <w:t xml:space="preserve">Thermal Expansion: Expansion loops or flexible connections to accommodate thermal growth from 260°C operating temperature to ambient. Detailed flexibility analysis required in vendor documentation.</w:t>
      </w:r>
    </w:p>
    <w:p>
      <w:pPr>
        <w:spacing w:after="60" w:before="60"/>
      </w:pPr>
      <w:r>
        <w:t xml:space="preserve"/>
      </w:r>
    </w:p>
    <w:p>
      <w:pPr>
        <w:pStyle w:val="Heading2"/>
        <w:spacing w:after="120" w:before="240"/>
      </w:pPr>
      <w:r>
        <w:rPr>
          <w:rFonts w:ascii="Arial" w:cs="Arial" w:eastAsia="Arial" w:hAnsi="Arial"/>
          <w:b/>
          <w:bCs/>
          <w:color w:val="0070B8"/>
          <w:sz w:val="24"/>
          <w:szCs w:val="24"/>
        </w:rPr>
        <w:t xml:space="preserve">3.6 Post-Deoxo Water Separator / KO Drum #2</w:t>
      </w:r>
    </w:p>
    <w:p>
      <w:pPr>
        <w:pStyle w:val="ListParagraph"/>
        <w:numPr>
          <w:ilvl w:val="0"/>
          <w:numId w:val="2"/>
        </w:numPr>
        <w:spacing w:after="60" w:before="60"/>
      </w:pPr>
      <w:r>
        <w:rPr>
          <w:rFonts w:ascii="Arial" w:cs="Arial" w:eastAsia="Arial" w:hAnsi="Arial"/>
          <w:sz w:val="18"/>
          <w:szCs w:val="18"/>
        </w:rPr>
        <w:t xml:space="preserve">Same design philosophy as KO Drum #1. Sized for the much higher water content in post-deoxo gas (deoxo reaction produces 2 moles of H₂O per mole of O₂ removed — at 2.0 vol% O₂, ~4.0 vol% H₂O is produced).</w:t>
      </w:r>
    </w:p>
    <w:p>
      <w:pPr>
        <w:pStyle w:val="ListParagraph"/>
        <w:numPr>
          <w:ilvl w:val="0"/>
          <w:numId w:val="2"/>
        </w:numPr>
        <w:spacing w:after="60" w:before="60"/>
      </w:pPr>
      <w:r>
        <w:rPr>
          <w:rFonts w:ascii="Arial" w:cs="Arial" w:eastAsia="Arial" w:hAnsi="Arial"/>
          <w:sz w:val="18"/>
          <w:szCs w:val="18"/>
        </w:rPr>
        <w:t xml:space="preserve">Mist eliminator to be high-capacity type. Level control: LT with HIGH alarm and HIGH-HIGH trip to ESD (liquid carry-over into molecular sieve dryer towers is extremely damaging).</w:t>
      </w:r>
    </w:p>
    <w:p>
      <w:pPr>
        <w:pStyle w:val="ListParagraph"/>
        <w:numPr>
          <w:ilvl w:val="0"/>
          <w:numId w:val="2"/>
        </w:numPr>
        <w:spacing w:after="60" w:before="60"/>
      </w:pPr>
      <w:r>
        <w:rPr>
          <w:rFonts w:ascii="Arial" w:cs="Arial" w:eastAsia="Arial" w:hAnsi="Arial"/>
          <w:sz w:val="18"/>
          <w:szCs w:val="18"/>
        </w:rPr>
        <w:t xml:space="preserve">Material: All SS316L. Design code: ASME VIII Div.1. Nozzle rating: ANSI Class 300 RF.</w:t>
      </w:r>
    </w:p>
    <w:p>
      <w:pPr>
        <w:spacing w:after="60" w:before="60"/>
      </w:pPr>
      <w:r>
        <w:t xml:space="preserve"/>
      </w:r>
    </w:p>
    <w:p>
      <w:pPr>
        <w:pStyle w:val="Heading2"/>
        <w:spacing w:after="120" w:before="240"/>
      </w:pPr>
      <w:r>
        <w:rPr>
          <w:rFonts w:ascii="Arial" w:cs="Arial" w:eastAsia="Arial" w:hAnsi="Arial"/>
          <w:b/>
          <w:bCs/>
          <w:color w:val="0070B8"/>
          <w:sz w:val="24"/>
          <w:szCs w:val="24"/>
        </w:rPr>
        <w:t xml:space="preserve">3.7 TSA Molecular Sieve Dryer Vessels</w:t>
      </w:r>
    </w:p>
    <w:p>
      <w:pPr>
        <w:pStyle w:val="ListParagraph"/>
        <w:numPr>
          <w:ilvl w:val="0"/>
          <w:numId w:val="2"/>
        </w:numPr>
        <w:spacing w:after="60" w:before="60"/>
      </w:pPr>
      <w:r>
        <w:rPr>
          <w:rFonts w:ascii="Arial" w:cs="Arial" w:eastAsia="Arial" w:hAnsi="Arial"/>
          <w:sz w:val="18"/>
          <w:szCs w:val="18"/>
        </w:rPr>
        <w:t xml:space="preserve">Arrangement: 2+1 (two adsorbing in parallel, one regenerating) or 3-vessel with optimized cycle timing. Vendor to propose and justify.</w:t>
      </w:r>
    </w:p>
    <w:p>
      <w:pPr>
        <w:pStyle w:val="ListParagraph"/>
        <w:numPr>
          <w:ilvl w:val="0"/>
          <w:numId w:val="2"/>
        </w:numPr>
        <w:spacing w:after="60" w:before="60"/>
      </w:pPr>
      <w:r>
        <w:rPr>
          <w:rFonts w:ascii="Arial" w:cs="Arial" w:eastAsia="Arial" w:hAnsi="Arial"/>
          <w:sz w:val="18"/>
          <w:szCs w:val="18"/>
        </w:rPr>
        <w:t xml:space="preserve">Design Code: ASME Section VIII Div.1. Material: All wetted parts SS316L. Design pressure: 40 barg. Design temperature: -20°C to +280°C (to accommodate regen temperature).</w:t>
      </w:r>
    </w:p>
    <w:p>
      <w:pPr>
        <w:pStyle w:val="ListParagraph"/>
        <w:numPr>
          <w:ilvl w:val="0"/>
          <w:numId w:val="2"/>
        </w:numPr>
        <w:spacing w:after="60" w:before="60"/>
      </w:pPr>
      <w:r>
        <w:rPr>
          <w:rFonts w:ascii="Arial" w:cs="Arial" w:eastAsia="Arial" w:hAnsi="Arial"/>
          <w:sz w:val="18"/>
          <w:szCs w:val="18"/>
        </w:rPr>
        <w:t xml:space="preserve">Adsorbent — Primary Layer: Zeolite 3A molecular sieve (3 Angstrom pore size). 3A is MANDATORY. 4A is not acceptable for H₂ drying service (3A minimizes co-adsorption of larger molecules including CO₂ and N₂, protecting purity).</w:t>
      </w:r>
    </w:p>
    <w:p>
      <w:pPr>
        <w:pStyle w:val="ListParagraph"/>
        <w:numPr>
          <w:ilvl w:val="0"/>
          <w:numId w:val="2"/>
        </w:numPr>
        <w:spacing w:after="60" w:before="60"/>
      </w:pPr>
      <w:r>
        <w:rPr>
          <w:rFonts w:ascii="Arial" w:cs="Arial" w:eastAsia="Arial" w:hAnsi="Arial"/>
          <w:sz w:val="18"/>
          <w:szCs w:val="18"/>
        </w:rPr>
        <w:t xml:space="preserve">Adsorbent — Guard Layer: Activated alumina (AA) bed at the bottom of each tower (first in contact with incoming wet gas) to pre-dry and protect the molecular sieve bed, and adsorb NH₃, HCHO, and other polar trace impurities.</w:t>
      </w:r>
    </w:p>
    <w:p>
      <w:pPr>
        <w:pStyle w:val="ListParagraph"/>
        <w:numPr>
          <w:ilvl w:val="0"/>
          <w:numId w:val="2"/>
        </w:numPr>
        <w:spacing w:after="60" w:before="60"/>
      </w:pPr>
      <w:r>
        <w:rPr>
          <w:rFonts w:ascii="Arial" w:cs="Arial" w:eastAsia="Arial" w:hAnsi="Arial"/>
          <w:sz w:val="18"/>
          <w:szCs w:val="18"/>
        </w:rPr>
        <w:t xml:space="preserve">Adsorbent — Optional Top Layer: 13X molecular sieve for CO₂ and CO removal (if HPDU is required to meet ISO 14687 CO₂ ≤ 2 ppm and CO ≤ 0.2 ppm). Vendor to confirm whether 13X layer is required based on inlet gas analysis.</w:t>
      </w:r>
    </w:p>
    <w:p>
      <w:pPr>
        <w:pStyle w:val="ListParagraph"/>
        <w:numPr>
          <w:ilvl w:val="0"/>
          <w:numId w:val="2"/>
        </w:numPr>
        <w:spacing w:after="60" w:before="60"/>
      </w:pPr>
      <w:r>
        <w:rPr>
          <w:rFonts w:ascii="Arial" w:cs="Arial" w:eastAsia="Arial" w:hAnsi="Arial"/>
          <w:sz w:val="18"/>
          <w:szCs w:val="18"/>
        </w:rPr>
        <w:t xml:space="preserve">Internals: Inlet distributor (SS316L), hold-down screen (SS316L), support screen and grid (SS316L), inert ceramic ball top/bottom support layer. All designed to prevent bed channeling, dusting, and sieve attrition.</w:t>
      </w:r>
    </w:p>
    <w:p>
      <w:pPr>
        <w:pStyle w:val="ListParagraph"/>
        <w:numPr>
          <w:ilvl w:val="0"/>
          <w:numId w:val="2"/>
        </w:numPr>
        <w:spacing w:after="60" w:before="60"/>
      </w:pPr>
      <w:r>
        <w:rPr>
          <w:rFonts w:ascii="Arial" w:cs="Arial" w:eastAsia="Arial" w:hAnsi="Arial"/>
          <w:sz w:val="18"/>
          <w:szCs w:val="18"/>
        </w:rPr>
        <w:t xml:space="preserve">Outlet Dew Point: Guaranteed ≤ -65°C at 30 barg. Vendor to confirm achievability and submit TSA cycle simulation (adsorption front modeling, bed sizing, heel moisture content).</w:t>
      </w:r>
    </w:p>
    <w:p>
      <w:pPr>
        <w:pStyle w:val="ListParagraph"/>
        <w:numPr>
          <w:ilvl w:val="0"/>
          <w:numId w:val="2"/>
        </w:numPr>
        <w:spacing w:after="60" w:before="60"/>
      </w:pPr>
      <w:r>
        <w:rPr>
          <w:rFonts w:ascii="Arial" w:cs="Arial" w:eastAsia="Arial" w:hAnsi="Arial"/>
          <w:sz w:val="18"/>
          <w:szCs w:val="18"/>
        </w:rPr>
        <w:t xml:space="preserve">Regeneration Cycle: Using dry H₂ product slip-stream (no air, no N₂). Regeneration sequence: (1) depressurize bed to be regenerated; (2) heat bed with hot dry H₂ to 200–250°C at bed inlet; (3) maintain heating until bed outlet thermocouple indicates breakthrough temperature plateau (bed fully regenerated); (4) cool bed with dry H₂ (no heating); (5) re-pressurize and switch back to adsorption. All cycle steps automatically controlled by PLC with configurable timers and thermocouple feedback.</w:t>
      </w:r>
    </w:p>
    <w:p>
      <w:pPr>
        <w:pStyle w:val="ListParagraph"/>
        <w:numPr>
          <w:ilvl w:val="0"/>
          <w:numId w:val="2"/>
        </w:numPr>
        <w:spacing w:after="60" w:before="60"/>
      </w:pPr>
      <w:r>
        <w:rPr>
          <w:rFonts w:ascii="Arial" w:cs="Arial" w:eastAsia="Arial" w:hAnsi="Arial"/>
          <w:sz w:val="18"/>
          <w:szCs w:val="18"/>
        </w:rPr>
        <w:t xml:space="preserve">Switchover Quality Guarantee: Outlet moisture must remain ≤ 5 ppm at all times including the instant of bed switchover. Vendor to demonstrate this in TSA cycle simulation and confirm during FAT.</w:t>
      </w:r>
    </w:p>
    <w:p>
      <w:pPr>
        <w:pStyle w:val="ListParagraph"/>
        <w:numPr>
          <w:ilvl w:val="0"/>
          <w:numId w:val="2"/>
        </w:numPr>
        <w:spacing w:after="60" w:before="60"/>
      </w:pPr>
      <w:r>
        <w:rPr>
          <w:rFonts w:ascii="Arial" w:cs="Arial" w:eastAsia="Arial" w:hAnsi="Arial"/>
          <w:sz w:val="18"/>
          <w:szCs w:val="18"/>
        </w:rPr>
        <w:t xml:space="preserve">Sieve Life: Minimum guaranteed life: 3 years under design operating conditions before first replacement. If sieve life is breached, vendor to supply replacement sieve at vendor's cost.</w:t>
      </w:r>
    </w:p>
    <w:p>
      <w:pPr>
        <w:spacing w:after="60" w:before="60"/>
      </w:pPr>
      <w:r>
        <w:t xml:space="preserve"/>
      </w:r>
    </w:p>
    <w:p>
      <w:pPr>
        <w:pStyle w:val="Heading2"/>
        <w:spacing w:after="120" w:before="240"/>
      </w:pPr>
      <w:r>
        <w:rPr>
          <w:rFonts w:ascii="Arial" w:cs="Arial" w:eastAsia="Arial" w:hAnsi="Arial"/>
          <w:b/>
          <w:bCs/>
          <w:color w:val="0070B8"/>
          <w:sz w:val="24"/>
          <w:szCs w:val="24"/>
        </w:rPr>
        <w:t xml:space="preserve">3.8 TSA Regeneration System (Electric Heater, Cooler, KO Drum)</w:t>
      </w:r>
    </w:p>
    <w:p>
      <w:pPr>
        <w:pStyle w:val="ListParagraph"/>
        <w:numPr>
          <w:ilvl w:val="0"/>
          <w:numId w:val="2"/>
        </w:numPr>
        <w:spacing w:after="60" w:before="60"/>
      </w:pPr>
      <w:r>
        <w:rPr>
          <w:rFonts w:ascii="Arial" w:cs="Arial" w:eastAsia="Arial" w:hAnsi="Arial"/>
          <w:sz w:val="18"/>
          <w:szCs w:val="18"/>
        </w:rPr>
        <w:t xml:space="preserve">Regeneration Gas Heater: Electric immersion heater. No combustion. SS316L. ATEX IIC rated. Heats dry H₂ slip-stream (vendor to specify flow rate and duty in offer). PLC-controlled with thermocouple feedback.</w:t>
      </w:r>
    </w:p>
    <w:p>
      <w:pPr>
        <w:pStyle w:val="ListParagraph"/>
        <w:numPr>
          <w:ilvl w:val="0"/>
          <w:numId w:val="2"/>
        </w:numPr>
        <w:spacing w:after="60" w:before="60"/>
      </w:pPr>
      <w:r>
        <w:rPr>
          <w:rFonts w:ascii="Arial" w:cs="Arial" w:eastAsia="Arial" w:hAnsi="Arial"/>
          <w:sz w:val="18"/>
          <w:szCs w:val="18"/>
        </w:rPr>
        <w:t xml:space="preserve">Regeneration Gas Cooler: Air-cooled. SS316L process side. Cools regeneration gas to ≤ 40°C before KO drum.</w:t>
      </w:r>
    </w:p>
    <w:p>
      <w:pPr>
        <w:pStyle w:val="ListParagraph"/>
        <w:numPr>
          <w:ilvl w:val="0"/>
          <w:numId w:val="2"/>
        </w:numPr>
        <w:spacing w:after="60" w:before="60"/>
      </w:pPr>
      <w:r>
        <w:rPr>
          <w:rFonts w:ascii="Arial" w:cs="Arial" w:eastAsia="Arial" w:hAnsi="Arial"/>
          <w:sz w:val="18"/>
          <w:szCs w:val="18"/>
        </w:rPr>
        <w:t xml:space="preserve">Regeneration KO Drum: SS316L. Removes water desorbed from sieve bed. Level control, automatic drain to produced water collection (EPC scope BL). Gas outlet returned to HPDU inlet (suction of upstream compressor or electrolyzer inlet — MPE to confirm routing at PO stage).</w:t>
      </w:r>
    </w:p>
    <w:p>
      <w:pPr>
        <w:pStyle w:val="ListParagraph"/>
        <w:numPr>
          <w:ilvl w:val="0"/>
          <w:numId w:val="2"/>
        </w:numPr>
        <w:spacing w:after="60" w:before="60"/>
      </w:pPr>
      <w:r>
        <w:rPr>
          <w:rFonts w:ascii="Arial" w:cs="Arial" w:eastAsia="Arial" w:hAnsi="Arial"/>
          <w:sz w:val="18"/>
          <w:szCs w:val="18"/>
        </w:rPr>
        <w:t xml:space="preserve">H₂ Recovery: Vendor to quantify H₂ loss during regeneration (as % of inlet flow). Maximum acceptable H₂ loss to regeneration: 2% of inlet flow time-averaged over one full TSA cycle.</w:t>
      </w:r>
    </w:p>
    <w:p>
      <w:pPr>
        <w:spacing w:after="60" w:before="60"/>
      </w:pPr>
      <w:r>
        <w:t xml:space="preserve"/>
      </w:r>
    </w:p>
    <w:p>
      <w:pPr>
        <w:pStyle w:val="Heading2"/>
        <w:spacing w:after="120" w:before="240"/>
      </w:pPr>
      <w:r>
        <w:rPr>
          <w:rFonts w:ascii="Arial" w:cs="Arial" w:eastAsia="Arial" w:hAnsi="Arial"/>
          <w:b/>
          <w:bCs/>
          <w:color w:val="0070B8"/>
          <w:sz w:val="24"/>
          <w:szCs w:val="24"/>
        </w:rPr>
        <w:t xml:space="preserve">3.9 Instrumentation, Analyzers and Safety Systems</w:t>
      </w:r>
    </w:p>
    <w:p>
      <w:pPr>
        <w:pStyle w:val="Heading3"/>
        <w:spacing w:after="80" w:before="160"/>
      </w:pPr>
      <w:r>
        <w:rPr>
          <w:rFonts w:ascii="Arial" w:cs="Arial" w:eastAsia="Arial" w:hAnsi="Arial"/>
          <w:b/>
          <w:bCs/>
          <w:color w:val="0A2240"/>
          <w:sz w:val="22"/>
          <w:szCs w:val="22"/>
        </w:rPr>
        <w:t xml:space="preserve">3.9.1 Safety Analyzers (Mandatory)</w:t>
      </w:r>
    </w:p>
    <w:p>
      <w:pPr>
        <w:pStyle w:val="ListParagraph"/>
        <w:numPr>
          <w:ilvl w:val="0"/>
          <w:numId w:val="2"/>
        </w:numPr>
        <w:spacing w:after="60" w:before="60"/>
      </w:pPr>
      <w:r>
        <w:rPr>
          <w:rFonts w:ascii="Arial" w:cs="Arial" w:eastAsia="Arial" w:hAnsi="Arial"/>
          <w:sz w:val="18"/>
          <w:szCs w:val="18"/>
        </w:rPr>
        <w:t xml:space="preserve">Online O₂ Analyser #1 (post-deoxo, pre-dryers): Range 0–10,000 ppm O₂. Purpose: Confirm deoxo reactor performance; HIGH-HIGH alarm at 200 ppm triggers ESD — prevents overloading dryers with oxygen-rich gas.</w:t>
      </w:r>
    </w:p>
    <w:p>
      <w:pPr>
        <w:pStyle w:val="ListParagraph"/>
        <w:numPr>
          <w:ilvl w:val="0"/>
          <w:numId w:val="2"/>
        </w:numPr>
        <w:spacing w:after="60" w:before="60"/>
      </w:pPr>
      <w:r>
        <w:rPr>
          <w:rFonts w:ascii="Arial" w:cs="Arial" w:eastAsia="Arial" w:hAnsi="Arial"/>
          <w:sz w:val="18"/>
          <w:szCs w:val="18"/>
        </w:rPr>
        <w:t xml:space="preserve">Online O₂ Analyser #2 (post-dryers, HPDU outlet): Range 0–100 ppm O₂. Purpose: Final quality gate. HIGH alarm at 10 ppm; HIGH-HIGH trip at 25 ppm closes HPDU outlet valve — protects downstream storage and compression.</w:t>
      </w:r>
    </w:p>
    <w:p>
      <w:pPr>
        <w:pStyle w:val="ListParagraph"/>
        <w:numPr>
          <w:ilvl w:val="0"/>
          <w:numId w:val="2"/>
        </w:numPr>
        <w:spacing w:after="60" w:before="60"/>
      </w:pPr>
      <w:r>
        <w:rPr>
          <w:rFonts w:ascii="Arial" w:cs="Arial" w:eastAsia="Arial" w:hAnsi="Arial"/>
          <w:sz w:val="18"/>
          <w:szCs w:val="18"/>
        </w:rPr>
        <w:t xml:space="preserve">Online Moisture Analyser (HPDU outlet): Al₂O₃ or QCM type. Range: 0–200 ppm vol H₂O. ATEX IIC. HIGH alarm at 4 ppm; HIGH-HIGH at 5 ppm triggers ESD (bed switchover or HPDU shutdown if switchover fails). All H₂-compatible wetted parts.</w:t>
      </w:r>
    </w:p>
    <w:p>
      <w:pPr>
        <w:pStyle w:val="ListParagraph"/>
        <w:numPr>
          <w:ilvl w:val="0"/>
          <w:numId w:val="2"/>
        </w:numPr>
        <w:spacing w:after="60" w:before="60"/>
      </w:pPr>
      <w:r>
        <w:rPr>
          <w:rFonts w:ascii="Arial" w:cs="Arial" w:eastAsia="Arial" w:hAnsi="Arial"/>
          <w:sz w:val="18"/>
          <w:szCs w:val="18"/>
        </w:rPr>
        <w:t xml:space="preserve">Hydrogen Leak Detectors: Fixed catalytic bead or electrochemical H₂ sensors, 0–100% LEL, ATEX IIC Zone 1, IP66. Minimum coverage: one at each skid corner, one near deoxo preheater high-temperature zone, one near outlet compressor connection. HIGH alarm at 10% LEL; HIGH-HIGH at 25% LEL triggers HPDU ESD.</w:t>
      </w:r>
    </w:p>
    <w:p>
      <w:pPr>
        <w:spacing w:after="60" w:before="60"/>
      </w:pPr>
      <w:r>
        <w:t xml:space="preserve"/>
      </w:r>
    </w:p>
    <w:p>
      <w:pPr>
        <w:pStyle w:val="Heading3"/>
        <w:spacing w:after="80" w:before="160"/>
      </w:pPr>
      <w:r>
        <w:rPr>
          <w:rFonts w:ascii="Arial" w:cs="Arial" w:eastAsia="Arial" w:hAnsi="Arial"/>
          <w:b/>
          <w:bCs/>
          <w:color w:val="0A2240"/>
          <w:sz w:val="22"/>
          <w:szCs w:val="22"/>
        </w:rPr>
        <w:t xml:space="preserve">3.9.2 Process Instrumentation</w:t>
      </w:r>
    </w:p>
    <w:p>
      <w:pPr>
        <w:pStyle w:val="ListParagraph"/>
        <w:numPr>
          <w:ilvl w:val="0"/>
          <w:numId w:val="2"/>
        </w:numPr>
        <w:spacing w:after="60" w:before="60"/>
      </w:pPr>
      <w:r>
        <w:rPr>
          <w:rFonts w:ascii="Arial" w:cs="Arial" w:eastAsia="Arial" w:hAnsi="Arial"/>
          <w:sz w:val="18"/>
          <w:szCs w:val="18"/>
        </w:rPr>
        <w:t xml:space="preserve">All field instruments: SMART/HART 4-20 mA, ATEX IIC Zone 1, IP66. All wetted diaphragms in H₂ service: Hastelloy C276 (not 316L — Hastelloy superior for H₂ permeation resistance). All instrument manifolds: SS316L.</w:t>
      </w:r>
    </w:p>
    <w:p>
      <w:pPr>
        <w:pStyle w:val="ListParagraph"/>
        <w:numPr>
          <w:ilvl w:val="0"/>
          <w:numId w:val="2"/>
        </w:numPr>
        <w:spacing w:after="60" w:before="60"/>
      </w:pPr>
      <w:r>
        <w:rPr>
          <w:rFonts w:ascii="Arial" w:cs="Arial" w:eastAsia="Arial" w:hAnsi="Arial"/>
          <w:sz w:val="18"/>
          <w:szCs w:val="18"/>
        </w:rPr>
        <w:t xml:space="preserve">Temperature: RTD Pt100 Class A with thermowell (SS316L well minimum; Incoloy 800 for deoxo/regen service ≥ 200°C). 4 TT per dryer vessel (see 3.7). 2 TT per vessel (inlet/outlet) for all other vessels.</w:t>
      </w:r>
    </w:p>
    <w:p>
      <w:pPr>
        <w:pStyle w:val="ListParagraph"/>
        <w:numPr>
          <w:ilvl w:val="0"/>
          <w:numId w:val="2"/>
        </w:numPr>
        <w:spacing w:after="60" w:before="60"/>
      </w:pPr>
      <w:r>
        <w:rPr>
          <w:rFonts w:ascii="Arial" w:cs="Arial" w:eastAsia="Arial" w:hAnsi="Arial"/>
          <w:sz w:val="18"/>
          <w:szCs w:val="18"/>
        </w:rPr>
        <w:t xml:space="preserve">Pressure: DP-type for all vessels and filter ΔP. Remote seal type for high-temperature deoxo service.</w:t>
      </w:r>
    </w:p>
    <w:p>
      <w:pPr>
        <w:pStyle w:val="ListParagraph"/>
        <w:numPr>
          <w:ilvl w:val="0"/>
          <w:numId w:val="2"/>
        </w:numPr>
        <w:spacing w:after="60" w:before="60"/>
      </w:pPr>
      <w:r>
        <w:rPr>
          <w:rFonts w:ascii="Arial" w:cs="Arial" w:eastAsia="Arial" w:hAnsi="Arial"/>
          <w:sz w:val="18"/>
          <w:szCs w:val="18"/>
        </w:rPr>
        <w:t xml:space="preserve">Flow: Coriolis or vortex meter on main H₂ line (custody-transfer accuracy preferred); flow monitoring on regen gas loop.</w:t>
      </w:r>
    </w:p>
    <w:p>
      <w:pPr>
        <w:spacing w:after="60" w:before="60"/>
      </w:pPr>
      <w:r>
        <w:t xml:space="preserve"/>
      </w:r>
    </w:p>
    <w:p>
      <w:pPr>
        <w:pStyle w:val="Heading3"/>
        <w:spacing w:after="80" w:before="160"/>
      </w:pPr>
      <w:r>
        <w:rPr>
          <w:rFonts w:ascii="Arial" w:cs="Arial" w:eastAsia="Arial" w:hAnsi="Arial"/>
          <w:b/>
          <w:bCs/>
          <w:color w:val="0A2240"/>
          <w:sz w:val="22"/>
          <w:szCs w:val="22"/>
        </w:rPr>
        <w:t xml:space="preserve">3.9.3 PLC / Safety System</w:t>
      </w:r>
    </w:p>
    <w:p>
      <w:pPr>
        <w:pStyle w:val="ListParagraph"/>
        <w:numPr>
          <w:ilvl w:val="0"/>
          <w:numId w:val="2"/>
        </w:numPr>
        <w:spacing w:after="60" w:before="60"/>
      </w:pPr>
      <w:r>
        <w:rPr>
          <w:rFonts w:ascii="Arial" w:cs="Arial" w:eastAsia="Arial" w:hAnsi="Arial"/>
          <w:sz w:val="18"/>
          <w:szCs w:val="18"/>
        </w:rPr>
        <w:t xml:space="preserve">Safety PLC: SIL 2 rated (per IEC 61511 / IEC 61508) for ESD functions (O₂ high-high trip, H₂ leak trip, moisture high-high trip, LT high-high trips). Separate from or hardened within the process PLC. Safety function documentation (SRS, SIS design) to be submitted.</w:t>
      </w:r>
    </w:p>
    <w:p>
      <w:pPr>
        <w:pStyle w:val="ListParagraph"/>
        <w:numPr>
          <w:ilvl w:val="0"/>
          <w:numId w:val="2"/>
        </w:numPr>
        <w:spacing w:after="60" w:before="60"/>
      </w:pPr>
      <w:r>
        <w:rPr>
          <w:rFonts w:ascii="Arial" w:cs="Arial" w:eastAsia="Arial" w:hAnsi="Arial"/>
          <w:sz w:val="18"/>
          <w:szCs w:val="18"/>
        </w:rPr>
        <w:t xml:space="preserve">Process PLC: Redundant CPU, IEC 61131-3, Siemens S7-1500 or equivalent (MPE to confirm preferred platform at PO). TSA automatic cycle sequencer: adsorption, depressurize, heat-regen, cool-regen, re-pressurize, switchover. All cycle steps and timers fully configurable from HMI.</w:t>
      </w:r>
    </w:p>
    <w:p>
      <w:pPr>
        <w:pStyle w:val="ListParagraph"/>
        <w:numPr>
          <w:ilvl w:val="0"/>
          <w:numId w:val="2"/>
        </w:numPr>
        <w:spacing w:after="60" w:before="60"/>
      </w:pPr>
      <w:r>
        <w:rPr>
          <w:rFonts w:ascii="Arial" w:cs="Arial" w:eastAsia="Arial" w:hAnsi="Arial"/>
          <w:sz w:val="18"/>
          <w:szCs w:val="18"/>
        </w:rPr>
        <w:t xml:space="preserve">HMI: 21-inch TFT touch-screen, SCADA-capable, 30-day historian. Arabic and English language interface (both languages mandatory — site operators will use Arabic).</w:t>
      </w:r>
    </w:p>
    <w:p>
      <w:pPr>
        <w:pStyle w:val="ListParagraph"/>
        <w:numPr>
          <w:ilvl w:val="0"/>
          <w:numId w:val="2"/>
        </w:numPr>
        <w:spacing w:after="60" w:before="60"/>
      </w:pPr>
      <w:r>
        <w:rPr>
          <w:rFonts w:ascii="Arial" w:cs="Arial" w:eastAsia="Arial" w:hAnsi="Arial"/>
          <w:sz w:val="18"/>
          <w:szCs w:val="18"/>
        </w:rPr>
        <w:t xml:space="preserve">DCS Interface: Modbus TCP or PROFINET to plant DCS (MPE to specify DCS brand at PO). OPC UA server mandatory. All analyzer readings to be transmitted to plant DCS and SCADA.</w:t>
      </w:r>
    </w:p>
    <w:p>
      <w:pPr>
        <w:pStyle w:val="ListParagraph"/>
        <w:numPr>
          <w:ilvl w:val="0"/>
          <w:numId w:val="2"/>
        </w:numPr>
        <w:spacing w:after="60" w:before="60"/>
      </w:pPr>
      <w:r>
        <w:rPr>
          <w:rFonts w:ascii="Arial" w:cs="Arial" w:eastAsia="Arial" w:hAnsi="Arial"/>
          <w:sz w:val="18"/>
          <w:szCs w:val="18"/>
        </w:rPr>
        <w:t xml:space="preserve">ATEX Panel Rating: PLC enclosure ATEX Zone 2 purge-pressurized (Ex p IIC), or located in the dedicated HPDU control room (to be confirmed by MPE).</w:t>
      </w:r>
    </w:p>
    <w:p>
      <w:pPr>
        <w:spacing w:after="60" w:before="60"/>
      </w:pPr>
      <w:r>
        <w:t xml:space="preserve"/>
      </w:r>
    </w:p>
    <w:p>
      <w:r>
        <w:br w:type="page"/>
      </w:r>
    </w:p>
    <w:p>
      <w:pPr>
        <w:pStyle w:val="Heading1"/>
        <w:pBdr>
          <w:bottom w:val="single" w:color="007A7C" w:sz="10" w:space="4"/>
        </w:pBdr>
        <w:spacing w:after="180" w:before="360"/>
      </w:pPr>
      <w:r>
        <w:rPr>
          <w:rFonts w:ascii="Arial" w:cs="Arial" w:eastAsia="Arial" w:hAnsi="Arial"/>
          <w:b/>
          <w:bCs/>
          <w:color w:val="0A2240"/>
          <w:sz w:val="28"/>
          <w:szCs w:val="28"/>
        </w:rPr>
        <w:t xml:space="preserve">4. MATERIALS AND CONSTRUCTION REQUIREMENTS</w:t>
      </w:r>
    </w:p>
    <w:p>
      <w:pPr>
        <w:pStyle w:val="Heading2"/>
        <w:spacing w:after="120" w:before="240"/>
      </w:pPr>
      <w:r>
        <w:rPr>
          <w:rFonts w:ascii="Arial" w:cs="Arial" w:eastAsia="Arial" w:hAnsi="Arial"/>
          <w:b/>
          <w:bCs/>
          <w:color w:val="0070B8"/>
          <w:sz w:val="24"/>
          <w:szCs w:val="24"/>
        </w:rPr>
        <w:t xml:space="preserve">4.1 Material Selection Philosophy — Hydrogen Service</w:t>
      </w:r>
    </w:p>
    <w:p>
      <w:pPr>
        <w:spacing w:after="80" w:before="80"/>
      </w:pPr>
      <w:r>
        <w:rPr>
          <w:rFonts w:ascii="Arial" w:cs="Arial" w:eastAsia="Arial" w:hAnsi="Arial"/>
          <w:sz w:val="20"/>
          <w:szCs w:val="20"/>
        </w:rPr>
        <w:t xml:space="preserve">Hydrogen presents unique material selection challenges not encountered in hydrocarbon gas service. All materials in contact with gaseous H₂ at ≥ 1 barg shall comply with the following requirements:</w:t>
      </w:r>
    </w:p>
    <w:p>
      <w:pPr>
        <w:pStyle w:val="ListParagraph"/>
        <w:numPr>
          <w:ilvl w:val="0"/>
          <w:numId w:val="2"/>
        </w:numPr>
        <w:spacing w:after="60" w:before="60"/>
      </w:pPr>
      <w:r>
        <w:rPr>
          <w:rFonts w:ascii="Arial" w:cs="Arial" w:eastAsia="Arial" w:hAnsi="Arial"/>
          <w:sz w:val="18"/>
          <w:szCs w:val="18"/>
        </w:rPr>
        <w:t xml:space="preserve">AUSTENITIC STAINLESS STEEL (316L): Mandatory for all pressure-containing wetted parts (vessels, piping, fittings, valves, heat exchanger tubes and headers, filter housings). ASTM A312 TP316L (pipe), ASTM A182 F316L (flanges), ASTM A240 TP316L (plate). Maximum carbon content 0.03% (L-grade mandatory to prevent sensitization at elevated temperatures).</w:t>
      </w:r>
    </w:p>
    <w:p>
      <w:pPr>
        <w:pStyle w:val="ListParagraph"/>
        <w:numPr>
          <w:ilvl w:val="0"/>
          <w:numId w:val="2"/>
        </w:numPr>
        <w:spacing w:after="60" w:before="60"/>
      </w:pPr>
      <w:r>
        <w:rPr>
          <w:rFonts w:ascii="Arial" w:cs="Arial" w:eastAsia="Arial" w:hAnsi="Arial"/>
          <w:sz w:val="18"/>
          <w:szCs w:val="18"/>
        </w:rPr>
        <w:t xml:space="preserve">NO CARBON STEEL IN ANY WETTED PART: Carbon steel is susceptible to hydrogen embrittlement (HE) at elevated pressures and temperatures. Even at 30 barg, hydrogen-assisted cracking (HAC) can occur in carbon steel components with high residual stress or in heat-affected zones. This restriction is absolute.</w:t>
      </w:r>
    </w:p>
    <w:p>
      <w:pPr>
        <w:pStyle w:val="ListParagraph"/>
        <w:numPr>
          <w:ilvl w:val="0"/>
          <w:numId w:val="2"/>
        </w:numPr>
        <w:spacing w:after="60" w:before="60"/>
      </w:pPr>
      <w:r>
        <w:rPr>
          <w:rFonts w:ascii="Arial" w:cs="Arial" w:eastAsia="Arial" w:hAnsi="Arial"/>
          <w:sz w:val="18"/>
          <w:szCs w:val="18"/>
        </w:rPr>
        <w:t xml:space="preserve">NO HIGH-STRENGTH ALLOYS WITH UTS &gt; 620 MPa: High-strength steels and nickel alloys with UTS above 620 MPa are susceptible to hydrogen environment embrittlement (HEE) per ASME B31.12 Section GR-2.1. Vendor shall confirm all structural bolting grade does not exceed ASTM A193 Grade B7 equivalent strength (UTS ≤ 860 MPa per ASME B31.12 allowance for H₂).</w:t>
      </w:r>
    </w:p>
    <w:p>
      <w:pPr>
        <w:pStyle w:val="ListParagraph"/>
        <w:numPr>
          <w:ilvl w:val="0"/>
          <w:numId w:val="2"/>
        </w:numPr>
        <w:spacing w:after="60" w:before="60"/>
      </w:pPr>
      <w:r>
        <w:rPr>
          <w:rFonts w:ascii="Arial" w:cs="Arial" w:eastAsia="Arial" w:hAnsi="Arial"/>
          <w:sz w:val="18"/>
          <w:szCs w:val="18"/>
        </w:rPr>
        <w:t xml:space="preserve">COPPER-FREE DESIGN: No copper, copper alloys (brass, bronze), or copper-bearing electrical components in direct contact with H₂ gas. Copper forms unstable copper hydrides at elevated H₂ pressures.</w:t>
      </w:r>
    </w:p>
    <w:p>
      <w:pPr>
        <w:pStyle w:val="ListParagraph"/>
        <w:numPr>
          <w:ilvl w:val="0"/>
          <w:numId w:val="2"/>
        </w:numPr>
        <w:spacing w:after="60" w:before="60"/>
      </w:pPr>
      <w:r>
        <w:rPr>
          <w:rFonts w:ascii="Arial" w:cs="Arial" w:eastAsia="Arial" w:hAnsi="Arial"/>
          <w:sz w:val="18"/>
          <w:szCs w:val="18"/>
        </w:rPr>
        <w:t xml:space="preserve">SEALS AND GASKETS: All gaskets and valve seats must be H₂-qualified. Acceptable materials: PTFE, HNBR, EPDM (H₂-compatible grade), Viton (H₂-compatible grade with tested permeability), Grafoil (graphite) spiral wound with SS316L winding. No elastomers without documented H₂ permeability test data. No rubber gaskets.</w:t>
      </w:r>
    </w:p>
    <w:p>
      <w:pPr>
        <w:pStyle w:val="ListParagraph"/>
        <w:numPr>
          <w:ilvl w:val="0"/>
          <w:numId w:val="2"/>
        </w:numPr>
        <w:spacing w:after="60" w:before="60"/>
      </w:pPr>
      <w:r>
        <w:rPr>
          <w:rFonts w:ascii="Arial" w:cs="Arial" w:eastAsia="Arial" w:hAnsi="Arial"/>
          <w:sz w:val="18"/>
          <w:szCs w:val="18"/>
        </w:rPr>
        <w:t xml:space="preserve">BOLTING: SS316L or ASTM A193 Grade B8 (SS stud bolts with SS nuts) for all flanged connections in H₂ service.</w:t>
      </w:r>
    </w:p>
    <w:p>
      <w:pPr>
        <w:pStyle w:val="ListParagraph"/>
        <w:numPr>
          <w:ilvl w:val="0"/>
          <w:numId w:val="2"/>
        </w:numPr>
        <w:spacing w:after="60" w:before="60"/>
      </w:pPr>
      <w:r>
        <w:rPr>
          <w:rFonts w:ascii="Arial" w:cs="Arial" w:eastAsia="Arial" w:hAnsi="Arial"/>
          <w:sz w:val="18"/>
          <w:szCs w:val="18"/>
        </w:rPr>
        <w:t xml:space="preserve">PIPING DESIGN CODE: ASME B31.12 (Hydrogen Piping and Pipelines). This code provides H₂-specific wall thickness factors, joint efficiency factors, and material use restrictions not found in B31.3.</w:t>
      </w:r>
    </w:p>
    <w:p>
      <w:pPr>
        <w:pStyle w:val="ListParagraph"/>
        <w:numPr>
          <w:ilvl w:val="0"/>
          <w:numId w:val="2"/>
        </w:numPr>
        <w:spacing w:after="60" w:before="60"/>
      </w:pPr>
      <w:r>
        <w:rPr>
          <w:rFonts w:ascii="Arial" w:cs="Arial" w:eastAsia="Arial" w:hAnsi="Arial"/>
          <w:sz w:val="18"/>
          <w:szCs w:val="18"/>
        </w:rPr>
        <w:t xml:space="preserve">WELD QUALITY: 100% radiographic testing (RT) on all butt welds in H₂ service. Orbital welding preferred where pipe size permits. All WPS/PQR to cover H₂ service requirements per ASME IX and B31.12. Zero tolerance for weld defects in H₂ piping.</w:t>
      </w:r>
    </w:p>
    <w:p>
      <w:pPr>
        <w:spacing w:after="60" w:before="60"/>
      </w:pPr>
      <w:r>
        <w:t xml:space="preserve"/>
      </w:r>
    </w:p>
    <w:p>
      <w:pPr>
        <w:pStyle w:val="Heading2"/>
        <w:spacing w:after="120" w:before="240"/>
      </w:pPr>
      <w:r>
        <w:rPr>
          <w:rFonts w:ascii="Arial" w:cs="Arial" w:eastAsia="Arial" w:hAnsi="Arial"/>
          <w:b/>
          <w:bCs/>
          <w:color w:val="0070B8"/>
          <w:sz w:val="24"/>
          <w:szCs w:val="24"/>
        </w:rPr>
        <w:t xml:space="preserve">4.2 Piping Specification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c>
          <w:tcPr>
            <w:tcW w:type="dxa" w:w="280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Service</w:t>
            </w:r>
          </w:p>
        </w:tc>
        <w:tc>
          <w:tcPr>
            <w:tcW w:type="dxa" w:w="160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Pipe Material</w:t>
            </w:r>
          </w:p>
        </w:tc>
        <w:tc>
          <w:tcPr>
            <w:tcW w:type="dxa" w:w="160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Fittings</w:t>
            </w:r>
          </w:p>
        </w:tc>
        <w:tc>
          <w:tcPr>
            <w:tcW w:type="dxa" w:w="160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Flanges</w:t>
            </w:r>
          </w:p>
        </w:tc>
        <w:tc>
          <w:tcPr>
            <w:tcW w:type="dxa" w:w="176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 Rating</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H₂ process gas (main)</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SS316L ASTM A312 seamless</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A403 WP316L</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A182 F316L RF</w:t>
            </w:r>
          </w:p>
        </w:tc>
        <w:tc>
          <w:tcPr>
            <w:tcW w:type="dxa" w:w="176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ANSI CL300</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H₂ regen gas (hot, &gt;200°C)</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SS316L ASTM A312 seamless</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A403 WP316L</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A182 F316L RTJ</w:t>
            </w:r>
          </w:p>
        </w:tc>
        <w:tc>
          <w:tcPr>
            <w:tcW w:type="dxa" w:w="176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ANSI CL300</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H₂ deoxo hot gas (&gt;200°C)</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SS316L ASTM A312 seamless</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A403 WP316L</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A182 F316L RTJ</w:t>
            </w:r>
          </w:p>
        </w:tc>
        <w:tc>
          <w:tcPr>
            <w:tcW w:type="dxa" w:w="176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ANSI CL300</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Produced water (KO drum drains)</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SS316L ASTM A312</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A403 WP316L</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A182 F316L RF</w:t>
            </w:r>
          </w:p>
        </w:tc>
        <w:tc>
          <w:tcPr>
            <w:tcW w:type="dxa" w:w="176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ANSI CL150</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Instrument air / N₂ (non-process)</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SS304 or SS316</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SS316</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A182 F316</w:t>
            </w:r>
          </w:p>
        </w:tc>
        <w:tc>
          <w:tcPr>
            <w:tcW w:type="dxa" w:w="176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ANSI CL150</w:t>
            </w:r>
          </w:p>
        </w:tc>
      </w:tr>
    </w:tbl>
    <w:p>
      <w:pPr>
        <w:spacing w:after="60" w:before="60"/>
      </w:pPr>
      <w:r>
        <w:t xml:space="preserve"/>
      </w:r>
    </w:p>
    <w:p>
      <w:pPr>
        <w:pStyle w:val="Heading2"/>
        <w:spacing w:after="120" w:before="240"/>
      </w:pPr>
      <w:r>
        <w:rPr>
          <w:rFonts w:ascii="Arial" w:cs="Arial" w:eastAsia="Arial" w:hAnsi="Arial"/>
          <w:b/>
          <w:bCs/>
          <w:color w:val="0070B8"/>
          <w:sz w:val="24"/>
          <w:szCs w:val="24"/>
        </w:rPr>
        <w:t xml:space="preserve">4.3 ATEX IIC Requirements Summary</w:t>
      </w:r>
    </w:p>
    <w:p>
      <w:pPr>
        <w:pStyle w:val="ListParagraph"/>
        <w:numPr>
          <w:ilvl w:val="0"/>
          <w:numId w:val="2"/>
        </w:numPr>
        <w:spacing w:after="60" w:before="60"/>
      </w:pPr>
      <w:r>
        <w:rPr>
          <w:rFonts w:ascii="Arial" w:cs="Arial" w:eastAsia="Arial" w:hAnsi="Arial"/>
          <w:sz w:val="18"/>
          <w:szCs w:val="18"/>
        </w:rPr>
        <w:t xml:space="preserve">All electrical equipment including motors, actuators, heaters, junction boxes, analyzers, transmitters, instrument enclosures, and PLC cabinet must bear valid ATEX certificate for Group IIC Temperature Class T3 (minimum) in Zone 1. IECEx certification may be accepted in lieu of ATEX — must provide equivalent or higher protection level.</w:t>
      </w:r>
    </w:p>
    <w:p>
      <w:pPr>
        <w:pStyle w:val="ListParagraph"/>
        <w:numPr>
          <w:ilvl w:val="0"/>
          <w:numId w:val="2"/>
        </w:numPr>
        <w:spacing w:after="60" w:before="60"/>
      </w:pPr>
      <w:r>
        <w:rPr>
          <w:rFonts w:ascii="Arial" w:cs="Arial" w:eastAsia="Arial" w:hAnsi="Arial"/>
          <w:sz w:val="18"/>
          <w:szCs w:val="18"/>
        </w:rPr>
        <w:t xml:space="preserve">H₂ auto-ignition temperature is 500°C. T3 classification (max surface temperature 200°C) provides a safety factor of 2.5×. T4 or higher classification is preferred for heaters and equipment with hot surfaces.</w:t>
      </w:r>
    </w:p>
    <w:p>
      <w:pPr>
        <w:pStyle w:val="ListParagraph"/>
        <w:numPr>
          <w:ilvl w:val="0"/>
          <w:numId w:val="2"/>
        </w:numPr>
        <w:spacing w:after="60" w:before="60"/>
      </w:pPr>
      <w:r>
        <w:rPr>
          <w:rFonts w:ascii="Arial" w:cs="Arial" w:eastAsia="Arial" w:hAnsi="Arial"/>
          <w:sz w:val="18"/>
          <w:szCs w:val="18"/>
        </w:rPr>
        <w:t xml:space="preserve">Heater sheath surface temperature under any fault condition (including heater element failure in one circuit) must NOT exceed 450°C. Vendor to demonstrate this with thermal calculations.</w:t>
      </w:r>
    </w:p>
    <w:p>
      <w:pPr>
        <w:pStyle w:val="ListParagraph"/>
        <w:numPr>
          <w:ilvl w:val="0"/>
          <w:numId w:val="2"/>
        </w:numPr>
        <w:spacing w:after="60" w:before="60"/>
      </w:pPr>
      <w:r>
        <w:rPr>
          <w:rFonts w:ascii="Arial" w:cs="Arial" w:eastAsia="Arial" w:hAnsi="Arial"/>
          <w:sz w:val="18"/>
          <w:szCs w:val="18"/>
        </w:rPr>
        <w:t xml:space="preserve">No galvanic corrosion concerns at ATEX IIC level — IIC covers all gases; no separate certification for H₂ vs methane is required (IIC already encompasses IIA and IIB).</w:t>
      </w:r>
    </w:p>
    <w:p>
      <w:pPr>
        <w:pStyle w:val="ListParagraph"/>
        <w:numPr>
          <w:ilvl w:val="0"/>
          <w:numId w:val="2"/>
        </w:numPr>
        <w:spacing w:after="60" w:before="60"/>
      </w:pPr>
      <w:r>
        <w:rPr>
          <w:rFonts w:ascii="Arial" w:cs="Arial" w:eastAsia="Arial" w:hAnsi="Arial"/>
          <w:sz w:val="18"/>
          <w:szCs w:val="18"/>
        </w:rPr>
        <w:t xml:space="preserve">All cable entries and conduit seals: Ex d or Ex e certified; ATEX IIC; properly sealed to prevent gas migration from Zone 1 to Zone 2 or non-hazardous areas.</w:t>
      </w:r>
    </w:p>
    <w:p>
      <w:pPr>
        <w:spacing w:after="60" w:before="60"/>
      </w:pPr>
      <w:r>
        <w:t xml:space="preserve"/>
      </w:r>
    </w:p>
    <w:p>
      <w:r>
        <w:br w:type="page"/>
      </w:r>
    </w:p>
    <w:p>
      <w:pPr>
        <w:pStyle w:val="Heading1"/>
        <w:pBdr>
          <w:bottom w:val="single" w:color="007A7C" w:sz="10" w:space="4"/>
        </w:pBdr>
        <w:spacing w:after="180" w:before="360"/>
      </w:pPr>
      <w:r>
        <w:rPr>
          <w:rFonts w:ascii="Arial" w:cs="Arial" w:eastAsia="Arial" w:hAnsi="Arial"/>
          <w:b/>
          <w:bCs/>
          <w:color w:val="0A2240"/>
          <w:sz w:val="28"/>
          <w:szCs w:val="28"/>
        </w:rPr>
        <w:t xml:space="preserve">5. APPLICABLE CODES, STANDARDS AND REGULATORY REQUIREMENTS</w:t>
      </w:r>
    </w:p>
    <w:p>
      <w:pPr>
        <w:pStyle w:val="Heading2"/>
        <w:spacing w:after="120" w:before="240"/>
      </w:pPr>
      <w:r>
        <w:rPr>
          <w:rFonts w:ascii="Arial" w:cs="Arial" w:eastAsia="Arial" w:hAnsi="Arial"/>
          <w:b/>
          <w:bCs/>
          <w:color w:val="0070B8"/>
          <w:sz w:val="24"/>
          <w:szCs w:val="24"/>
        </w:rPr>
        <w:t xml:space="preserve">5.1 Mandatory Standards</w:t>
      </w:r>
    </w:p>
    <w:p>
      <w:pPr>
        <w:spacing w:after="80" w:before="80"/>
      </w:pPr>
      <w:r>
        <w:rPr>
          <w:rFonts w:ascii="Arial" w:cs="Arial" w:eastAsia="Arial" w:hAnsi="Arial"/>
          <w:sz w:val="20"/>
          <w:szCs w:val="20"/>
        </w:rPr>
        <w:t xml:space="preserve">The following standards are mandatory. No deviation from these standards is permitted without written approval from MPE. In case of conflict between standards, the more stringent requirement shall apply.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Standard / Code</w:t>
            </w:r>
          </w:p>
        </w:tc>
        <w:tc>
          <w:tcPr>
            <w:tcW w:type="dxa" w:w="536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Title / Scope</w:t>
            </w:r>
          </w:p>
        </w:tc>
        <w:tc>
          <w:tcPr>
            <w:tcW w:type="dxa" w:w="180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Application</w:t>
            </w:r>
          </w:p>
        </w:tc>
      </w:tr>
      <w:tr>
        <w:tc>
          <w:tcPr>
            <w:tcW w:type="dxa" w:w="22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ASME Section VIII Div.1</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Pressure Vessel Design</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HPDU pressure vessels</w:t>
            </w:r>
          </w:p>
        </w:tc>
      </w:tr>
      <w:tr>
        <w:tc>
          <w:tcPr>
            <w:tcW w:type="dxa" w:w="22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ASME B31.12</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Hydrogen Piping and Pipelines – supersedes B31.3 for H₂ service</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HPDU piping and piping components</w:t>
            </w:r>
          </w:p>
        </w:tc>
      </w:tr>
      <w:tr>
        <w:tc>
          <w:tcPr>
            <w:tcW w:type="dxa" w:w="22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ISO 14687:2019 / 2025</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Hydrogen fuel – Quality characteristics (Grade 4.0 purity requirements)</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Outlet gas quality specification</w:t>
            </w:r>
          </w:p>
        </w:tc>
      </w:tr>
      <w:tr>
        <w:tc>
          <w:tcPr>
            <w:tcW w:type="dxa" w:w="22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IEC 60079-0 to -31</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Explosive Atmospheres – ATEX equipment requirements Group IIC</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electrical &amp; instrumentation</w:t>
            </w:r>
          </w:p>
        </w:tc>
      </w:tr>
      <w:tr>
        <w:tc>
          <w:tcPr>
            <w:tcW w:type="dxa" w:w="22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IEC 60079-10-1</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Area Classification – Explosive Gas Atmospheres</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ATEX Zone 1 IIC justification</w:t>
            </w:r>
          </w:p>
        </w:tc>
      </w:tr>
      <w:tr>
        <w:tc>
          <w:tcPr>
            <w:tcW w:type="dxa" w:w="22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IEC 61511 / IEC 61508</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Functional Safety – SIL 2 requirement for ESD/SIS systems</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ESD and safety PLC</w:t>
            </w:r>
          </w:p>
        </w:tc>
      </w:tr>
      <w:tr>
        <w:tc>
          <w:tcPr>
            <w:tcW w:type="dxa" w:w="22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ISO 15848-1 Class BH</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Industrial Valves – Fugitive Emissions Testing (Hydrogen grade)</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process valves in H₂ service</w:t>
            </w:r>
          </w:p>
        </w:tc>
      </w:tr>
      <w:tr>
        <w:tc>
          <w:tcPr>
            <w:tcW w:type="dxa" w:w="22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EN 13480 / ASME B31.12</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Metallic Industrial Piping – H₂ service design provisions</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Piping engineering</w:t>
            </w:r>
          </w:p>
        </w:tc>
      </w:tr>
      <w:tr>
        <w:tc>
          <w:tcPr>
            <w:tcW w:type="dxa" w:w="22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ASTM A312 TP316L</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Standard Specification for Seamless / Welded Austenitic SS Pipe</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process piping</w:t>
            </w:r>
          </w:p>
        </w:tc>
      </w:tr>
      <w:tr>
        <w:tc>
          <w:tcPr>
            <w:tcW w:type="dxa" w:w="22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ASTM A182 F316L</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Forged Flanges and Fittings</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flanges and fittings</w:t>
            </w:r>
          </w:p>
        </w:tc>
      </w:tr>
      <w:tr>
        <w:tc>
          <w:tcPr>
            <w:tcW w:type="dxa" w:w="22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ASTM A240 TP316L</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Plate and Sheet – Austenitic SS for pressure vessels</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Vessel shell and heads</w:t>
            </w:r>
          </w:p>
        </w:tc>
      </w:tr>
      <w:tr>
        <w:tc>
          <w:tcPr>
            <w:tcW w:type="dxa" w:w="22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ASME IX</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Welding and Brazing Qualifications – WPS/PQR for H₂ service</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pressure-containing welds</w:t>
            </w:r>
          </w:p>
        </w:tc>
      </w:tr>
      <w:tr>
        <w:tc>
          <w:tcPr>
            <w:tcW w:type="dxa" w:w="22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API 520 / 521</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Sizing and Selection of Pressure Relieving Devices</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PSVs and EDP valves</w:t>
            </w:r>
          </w:p>
        </w:tc>
      </w:tr>
      <w:tr>
        <w:tc>
          <w:tcPr>
            <w:tcW w:type="dxa" w:w="22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API 526</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Flanged Steel Pressure-Relief Valves</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PSV specification</w:t>
            </w:r>
          </w:p>
        </w:tc>
      </w:tr>
      <w:tr>
        <w:tc>
          <w:tcPr>
            <w:tcW w:type="dxa" w:w="22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API 6D</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Specification for Pipeline and Piping Valves</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Isolation valves</w:t>
            </w:r>
          </w:p>
        </w:tc>
      </w:tr>
      <w:tr>
        <w:tc>
          <w:tcPr>
            <w:tcW w:type="dxa" w:w="22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NACE MR0175 / ISO 15156</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NOT applicable (no H₂S); however NACE TM0284/TM0177 for H₂ embrittlement evaluation</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H₂ embrittlement screening for all non-austenitic parts</w:t>
            </w:r>
          </w:p>
        </w:tc>
      </w:tr>
      <w:tr>
        <w:tc>
          <w:tcPr>
            <w:tcW w:type="dxa" w:w="22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ISO 9001:2015</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Quality Management Systems – Mandatory certification</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vendors</w:t>
            </w:r>
          </w:p>
        </w:tc>
      </w:tr>
      <w:tr>
        <w:tc>
          <w:tcPr>
            <w:tcW w:type="dxa" w:w="22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EN ISO 12944</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Paints and Varnishes – Corrosion Protection (C3 category)</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Structural steel coating</w:t>
            </w:r>
          </w:p>
        </w:tc>
      </w:tr>
      <w:tr>
        <w:tc>
          <w:tcPr>
            <w:tcW w:type="dxa" w:w="22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EN ISO 1461</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Hot-Dip Galvanizing – Skid frame</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Skid structural steel</w:t>
            </w:r>
          </w:p>
        </w:tc>
      </w:tr>
      <w:tr>
        <w:tc>
          <w:tcPr>
            <w:tcW w:type="dxa" w:w="22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UAE SBC-301 / 302</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UAE Structural Loading Code (wind 40 m/s, seismic 0.05g)</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Skid structural design</w:t>
            </w:r>
          </w:p>
        </w:tc>
      </w:tr>
      <w:tr>
        <w:tc>
          <w:tcPr>
            <w:tcW w:type="dxa" w:w="22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ISO 19880-1</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Gaseous Hydrogen Fuelling Stations – Safety requirements</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Reference for H₂ safety engineering principles</w:t>
            </w:r>
          </w:p>
        </w:tc>
      </w:tr>
      <w:tr>
        <w:tc>
          <w:tcPr>
            <w:tcW w:type="dxa" w:w="22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IEC 62443 Level 2</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Industrial Cybersecurity – PLC/SCADA protection</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PLC/HMI/DCS interface</w:t>
            </w:r>
          </w:p>
        </w:tc>
      </w:tr>
      <w:tr>
        <w:tc>
          <w:tcPr>
            <w:tcW w:type="dxa" w:w="22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EN 10204 Type 3.1</w:t>
            </w:r>
          </w:p>
        </w:tc>
        <w:tc>
          <w:tcPr>
            <w:tcW w:type="dxa" w:w="5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Inspection Documents – Material Traceability</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pressure-containing material certificates</w:t>
            </w:r>
          </w:p>
        </w:tc>
      </w:tr>
    </w:tbl>
    <w:p>
      <w:pPr>
        <w:spacing w:after="60" w:before="60"/>
      </w:pPr>
      <w:r>
        <w:t xml:space="preserve"/>
      </w:r>
    </w:p>
    <w:p>
      <w:pPr>
        <w:pStyle w:val="Heading2"/>
        <w:spacing w:after="120" w:before="240"/>
      </w:pPr>
      <w:r>
        <w:rPr>
          <w:rFonts w:ascii="Arial" w:cs="Arial" w:eastAsia="Arial" w:hAnsi="Arial"/>
          <w:b/>
          <w:bCs/>
          <w:color w:val="0070B8"/>
          <w:sz w:val="24"/>
          <w:szCs w:val="24"/>
        </w:rPr>
        <w:t xml:space="preserve">5.2 UAE Regulatory Framework</w:t>
      </w:r>
    </w:p>
    <w:p>
      <w:pPr>
        <w:pStyle w:val="ListParagraph"/>
        <w:numPr>
          <w:ilvl w:val="0"/>
          <w:numId w:val="2"/>
        </w:numPr>
        <w:spacing w:after="60" w:before="60"/>
      </w:pPr>
      <w:r>
        <w:rPr>
          <w:rFonts w:ascii="Arial" w:cs="Arial" w:eastAsia="Arial" w:hAnsi="Arial"/>
          <w:sz w:val="18"/>
          <w:szCs w:val="18"/>
        </w:rPr>
        <w:t xml:space="preserve">UAE Pressure Vessel Regulations: All pressure vessels shall be registered with the UAE Ministry of Energy and Infrastructure (MoEI) or Abu Dhabi Department of Energy (DoE) prior to commissioning. Vendor to provide documentation required for UAE registration (design documents, third-party inspection certificate, material certificates in English).</w:t>
      </w:r>
    </w:p>
    <w:p>
      <w:pPr>
        <w:pStyle w:val="ListParagraph"/>
        <w:numPr>
          <w:ilvl w:val="0"/>
          <w:numId w:val="2"/>
        </w:numPr>
        <w:spacing w:after="60" w:before="60"/>
      </w:pPr>
      <w:r>
        <w:rPr>
          <w:rFonts w:ascii="Arial" w:cs="Arial" w:eastAsia="Arial" w:hAnsi="Arial"/>
          <w:sz w:val="18"/>
          <w:szCs w:val="18"/>
        </w:rPr>
        <w:t xml:space="preserve">UAE Fire and Life Safety Code (NFPA 1, NFPA 55 – Compressed Gas): Vendor to confirm compliance with NFPA 55 for storage and handling of compressed hydrogen. Maximum inventory within the HPDU skid boundary (in-process hold-up) to be stated in the offer.</w:t>
      </w:r>
    </w:p>
    <w:p>
      <w:pPr>
        <w:pStyle w:val="ListParagraph"/>
        <w:numPr>
          <w:ilvl w:val="0"/>
          <w:numId w:val="2"/>
        </w:numPr>
        <w:spacing w:after="60" w:before="60"/>
      </w:pPr>
      <w:r>
        <w:rPr>
          <w:rFonts w:ascii="Arial" w:cs="Arial" w:eastAsia="Arial" w:hAnsi="Arial"/>
          <w:sz w:val="18"/>
          <w:szCs w:val="18"/>
        </w:rPr>
        <w:t xml:space="preserve">Abu Dhabi OSHAD SF (Occupational Safety and Health): All equipment and procedures to comply with Abu Dhabi OSHAD Safety Framework, including Hazardous Substances Regulation and Pressure Safety Management.</w:t>
      </w:r>
    </w:p>
    <w:p>
      <w:pPr>
        <w:pStyle w:val="ListParagraph"/>
        <w:numPr>
          <w:ilvl w:val="0"/>
          <w:numId w:val="2"/>
        </w:numPr>
        <w:spacing w:after="60" w:before="60"/>
      </w:pPr>
      <w:r>
        <w:rPr>
          <w:rFonts w:ascii="Arial" w:cs="Arial" w:eastAsia="Arial" w:hAnsi="Arial"/>
          <w:sz w:val="18"/>
          <w:szCs w:val="18"/>
        </w:rPr>
        <w:t xml:space="preserve">UAE Electrical Wiring Regulations (DEWA/ADDC wiring rules and IEC 60364 series): All electrical installations to comply.</w:t>
      </w:r>
    </w:p>
    <w:p>
      <w:pPr>
        <w:spacing w:after="60" w:before="60"/>
      </w:pPr>
      <w:r>
        <w:t xml:space="preserve"/>
      </w:r>
    </w:p>
    <w:p>
      <w:r>
        <w:br w:type="page"/>
      </w:r>
    </w:p>
    <w:p>
      <w:pPr>
        <w:pStyle w:val="Heading1"/>
        <w:pBdr>
          <w:bottom w:val="single" w:color="007A7C" w:sz="10" w:space="4"/>
        </w:pBdr>
        <w:spacing w:after="180" w:before="360"/>
      </w:pPr>
      <w:r>
        <w:rPr>
          <w:rFonts w:ascii="Arial" w:cs="Arial" w:eastAsia="Arial" w:hAnsi="Arial"/>
          <w:b/>
          <w:bCs/>
          <w:color w:val="0A2240"/>
          <w:sz w:val="28"/>
          <w:szCs w:val="28"/>
        </w:rPr>
        <w:t xml:space="preserve">6. HEALTH, SAFETY AND ENVIRONMENTAL REQUIREMENTS</w:t>
      </w:r>
    </w:p>
    <w:p>
      <w:pPr>
        <w:pStyle w:val="Heading2"/>
        <w:spacing w:after="120" w:before="240"/>
      </w:pPr>
      <w:r>
        <w:rPr>
          <w:rFonts w:ascii="Arial" w:cs="Arial" w:eastAsia="Arial" w:hAnsi="Arial"/>
          <w:b/>
          <w:bCs/>
          <w:color w:val="0070B8"/>
          <w:sz w:val="24"/>
          <w:szCs w:val="24"/>
        </w:rPr>
        <w:t xml:space="preserve">6.1 Hydrogen-Specific HSE Considerations</w:t>
      </w:r>
    </w:p>
    <w:p>
      <w:pPr>
        <w:spacing w:after="80" w:before="80"/>
      </w:pPr>
      <w:r>
        <w:rPr>
          <w:rFonts w:ascii="Arial" w:cs="Arial" w:eastAsia="Arial" w:hAnsi="Arial"/>
          <w:sz w:val="20"/>
          <w:szCs w:val="20"/>
        </w:rPr>
        <w:t xml:space="preserve">Hydrogen presents a unique combination of hazards that require specific design and operational safeguards beyond those required for heavier hydrocarbon gases:</w:t>
      </w:r>
    </w:p>
    <w:p>
      <w:pPr>
        <w:pStyle w:val="ListParagraph"/>
        <w:numPr>
          <w:ilvl w:val="0"/>
          <w:numId w:val="2"/>
        </w:numPr>
        <w:spacing w:after="60" w:before="60"/>
      </w:pPr>
      <w:r>
        <w:rPr>
          <w:rFonts w:ascii="Arial" w:cs="Arial" w:eastAsia="Arial" w:hAnsi="Arial"/>
          <w:sz w:val="18"/>
          <w:szCs w:val="18"/>
        </w:rPr>
        <w:t xml:space="preserve">FLAMMABILITY: H₂ flammable range in air is 4–75 vol% — extremely wide compared to methane (5–15%) or natural gas. Small leaks can form flammable clouds that extend over large areas before dissipating (H₂ is lighter than air and disperses upward rapidly, but in enclosed or partly-enclosed structures can accumulate).</w:t>
      </w:r>
    </w:p>
    <w:p>
      <w:pPr>
        <w:pStyle w:val="ListParagraph"/>
        <w:numPr>
          <w:ilvl w:val="0"/>
          <w:numId w:val="2"/>
        </w:numPr>
        <w:spacing w:after="60" w:before="60"/>
      </w:pPr>
      <w:r>
        <w:rPr>
          <w:rFonts w:ascii="Arial" w:cs="Arial" w:eastAsia="Arial" w:hAnsi="Arial"/>
          <w:sz w:val="18"/>
          <w:szCs w:val="18"/>
        </w:rPr>
        <w:t xml:space="preserve">MINIMUM IGNITION ENERGY (MIE): H₂ MIE is 0.017 mJ (methane: 0.28 mJ). Static sparks from tool contact, instrument calibration, valve operation, or non-ATEX-IIC equipment can ignite H₂. All non-essential ignition sources must be eliminated from Zone 1.</w:t>
      </w:r>
    </w:p>
    <w:p>
      <w:pPr>
        <w:pStyle w:val="ListParagraph"/>
        <w:numPr>
          <w:ilvl w:val="0"/>
          <w:numId w:val="2"/>
        </w:numPr>
        <w:spacing w:after="60" w:before="60"/>
      </w:pPr>
      <w:r>
        <w:rPr>
          <w:rFonts w:ascii="Arial" w:cs="Arial" w:eastAsia="Arial" w:hAnsi="Arial"/>
          <w:sz w:val="18"/>
          <w:szCs w:val="18"/>
        </w:rPr>
        <w:t xml:space="preserve">INVISIBLE FLAME: H₂ burns with an invisible (UV) flame. Operators can approach a burning H₂ vent unaware. All HPDU personnel to be equipped with H₂ flame detectors (UV/IR type). No open flame test for leak detection.</w:t>
      </w:r>
    </w:p>
    <w:p>
      <w:pPr>
        <w:pStyle w:val="ListParagraph"/>
        <w:numPr>
          <w:ilvl w:val="0"/>
          <w:numId w:val="2"/>
        </w:numPr>
        <w:spacing w:after="60" w:before="60"/>
      </w:pPr>
      <w:r>
        <w:rPr>
          <w:rFonts w:ascii="Arial" w:cs="Arial" w:eastAsia="Arial" w:hAnsi="Arial"/>
          <w:sz w:val="18"/>
          <w:szCs w:val="18"/>
        </w:rPr>
        <w:t xml:space="preserve">EMBRITTLEMENT: Long-term H₂ diffusion into non-316L steel components causes hydrogen embrittlement. All structural bolting and components exposed to H₂ must meet ASME B31.12 embrittlement criteria.</w:t>
      </w:r>
    </w:p>
    <w:p>
      <w:pPr>
        <w:pStyle w:val="ListParagraph"/>
        <w:numPr>
          <w:ilvl w:val="0"/>
          <w:numId w:val="2"/>
        </w:numPr>
        <w:spacing w:after="60" w:before="60"/>
      </w:pPr>
      <w:r>
        <w:rPr>
          <w:rFonts w:ascii="Arial" w:cs="Arial" w:eastAsia="Arial" w:hAnsi="Arial"/>
          <w:sz w:val="18"/>
          <w:szCs w:val="18"/>
        </w:rPr>
        <w:t xml:space="preserve">NO HOT WORK IN ZONE 1: All hot work (welding, grinding, cutting) within 15 m of the HPDU must follow a rigorous hot work permit system. Vendor to flag all potential maintenance hot work requirements in vendor documentation.</w:t>
      </w:r>
    </w:p>
    <w:p>
      <w:pPr>
        <w:spacing w:after="60" w:before="60"/>
      </w:pPr>
      <w:r>
        <w:t xml:space="preserve"/>
      </w:r>
    </w:p>
    <w:p>
      <w:pPr>
        <w:pStyle w:val="Heading2"/>
        <w:spacing w:after="120" w:before="240"/>
      </w:pPr>
      <w:r>
        <w:rPr>
          <w:rFonts w:ascii="Arial" w:cs="Arial" w:eastAsia="Arial" w:hAnsi="Arial"/>
          <w:b/>
          <w:bCs/>
          <w:color w:val="0070B8"/>
          <w:sz w:val="24"/>
          <w:szCs w:val="24"/>
        </w:rPr>
        <w:t xml:space="preserve">6.2 HSE Requirements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HSE Area</w:t>
            </w:r>
          </w:p>
        </w:tc>
        <w:tc>
          <w:tcPr>
            <w:tcW w:type="dxa" w:w="656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Mandatory Requirement</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HAZOP / LOPA (H₂ specific)</w:t>
            </w:r>
          </w:p>
        </w:tc>
        <w:tc>
          <w:tcPr>
            <w:tcW w:type="dxa" w:w="65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Vendor's process lead to attend HAZOP study (3-day estimated) and provide written responses to all HAZOP actions within 4 weeks. LOPA/SIL assessment for ESD functions mandatory — SIL 2 target.</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Deoxo Reactor Safety</w:t>
            </w:r>
          </w:p>
        </w:tc>
        <w:tc>
          <w:tcPr>
            <w:tcW w:type="dxa" w:w="65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conduct detailed thermal runaway analysis for deoxo reactor at maximum O₂ (2.0 vol%). Maximum credible temperature must not cause vessel over-pressure; if required, a thermal relief device must be installed. Hot spot monitoring via 4+ thermocouples mandatory with automatic heater cut-off and ESD feed shutoff on temperature exceedance.</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H₂ Leak Detection</w:t>
            </w:r>
          </w:p>
        </w:tc>
        <w:tc>
          <w:tcPr>
            <w:tcW w:type="dxa" w:w="65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Fixed H₂ catalytic bead / electrochemical detectors at minimum 6 locations around HPDU skid (Zone 1). HIGH alarm: 10% LEL (0.4% H₂ in air). HIGH-HIGH trip: 25% LEL (1.0% H₂) — auto ESD. Portable H₂ detectors to be provided with commissioning package (2 units minimum).</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ESD Logic (Automatic Isolation)</w:t>
            </w:r>
          </w:p>
        </w:tc>
        <w:tc>
          <w:tcPr>
            <w:tcW w:type="dxa" w:w="65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HPDU ESD triggers automatically on: O₂ analyser HH (&gt;25 ppm at outlet); Moisture analyser HH (&gt;5 ppm); H₂ leak HH (&gt;25% LEL); LT HH (liquid carry-over in any vessel); Temperature HH in deoxo reactor; Loss of instrument air. ESD action: close HPDU inlet isolation valve and outlet isolation valve (both motorized, fail-closed); de-energize deoxo heater; alarm DCS.</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Fire and Explosion Prevention</w:t>
            </w:r>
          </w:p>
        </w:tc>
        <w:tc>
          <w:tcPr>
            <w:tcW w:type="dxa" w:w="65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 open flames within 15 m of HPDU. Vendor to provide preliminary ATEX zone drawing with all Zone 1 and Zone 2 boundaries clearly marked. Zone 0 areas (if any) to be identified and protected by Vendor design.</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Overpressure Protection</w:t>
            </w:r>
          </w:p>
        </w:tc>
        <w:tc>
          <w:tcPr>
            <w:tcW w:type="dxa" w:w="65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PSVs on all pressure vessels sized per API 520 (blocked outlet + fire case). H₂ PSV tail pipes routed to flare/safe vent header (EPC scope) — no atmospheric discharge of H₂ at grade level. PSV discharge velocity must not create static charge ignition risk at discharge point.</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Hot Surfaces</w:t>
            </w:r>
          </w:p>
        </w:tc>
        <w:tc>
          <w:tcPr>
            <w:tcW w:type="dxa" w:w="65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surfaces at temperature &gt; 60°C must be insulated or guarded per EN ISO 11684. Deoxo reactor shell (up to 260°C operating): full mineral wool/calcium silicate insulation, SS316L jacketing. Warning labels in English and Arabic.</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Spent Catalyst Handling</w:t>
            </w:r>
          </w:p>
        </w:tc>
        <w:tc>
          <w:tcPr>
            <w:tcW w:type="dxa" w:w="65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Deoxo catalyst after service contains adsorbed H₂ and may be pyrophoric (Pd/C catalysts especially). Vendor to provide detailed spent catalyst removal procedure including: N₂ purging to remove H₂, passivation procedure, container specification (sealed UN-approved drums for pyrophoric waste), disposal guidance per UAE hazardous waste regulation.</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Spent Sieve Disposal</w:t>
            </w:r>
          </w:p>
        </w:tc>
        <w:tc>
          <w:tcPr>
            <w:tcW w:type="dxa" w:w="65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Spent molecular sieve from H₂ service contains adsorbed H₂O and potentially trace H₂. Non-pyrophoric but must be handled per site HSE plan. Vendor to provide SDS for all adsorbent materials.</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Construction Phase</w:t>
            </w:r>
          </w:p>
        </w:tc>
        <w:tc>
          <w:tcPr>
            <w:tcW w:type="dxa" w:w="65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submit shop HSE plan within 4 weeks of PO. No H₂ during fabrication. N₂ inert atmosphere for pre-commissioning cleaning only (O₂ must be confirmed absent before H₂ introduction).</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First Gas Introduction</w:t>
            </w:r>
          </w:p>
        </w:tc>
        <w:tc>
          <w:tcPr>
            <w:tcW w:type="dxa" w:w="65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to provide step-by-step documented first gas introduction procedure: N₂ purge, leak test at 110% operating pressure with N₂, O₂ purge verification (O₂ analyser at outlet must read ≤ 1 ppm before H₂ introduction is authorized), gradual H₂ introduction sequence.</w:t>
            </w:r>
          </w:p>
        </w:tc>
      </w:tr>
      <w:tr>
        <w:tc>
          <w:tcPr>
            <w:tcW w:type="dxa" w:w="28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Noise</w:t>
            </w:r>
          </w:p>
        </w:tc>
        <w:tc>
          <w:tcPr>
            <w:tcW w:type="dxa" w:w="65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85 dB(A) at 1 m from any equipment surface during normal operation. Air-cooled fan noise to be specifically calculated.</w:t>
            </w:r>
          </w:p>
        </w:tc>
      </w:tr>
    </w:tbl>
    <w:p>
      <w:pPr>
        <w:spacing w:after="60" w:before="60"/>
      </w:pPr>
      <w:r>
        <w:t xml:space="preserve"/>
      </w:r>
    </w:p>
    <w:p>
      <w:r>
        <w:br w:type="page"/>
      </w:r>
    </w:p>
    <w:p>
      <w:pPr>
        <w:pStyle w:val="Heading1"/>
        <w:pBdr>
          <w:bottom w:val="single" w:color="007A7C" w:sz="10" w:space="4"/>
        </w:pBdr>
        <w:spacing w:after="180" w:before="360"/>
      </w:pPr>
      <w:r>
        <w:rPr>
          <w:rFonts w:ascii="Arial" w:cs="Arial" w:eastAsia="Arial" w:hAnsi="Arial"/>
          <w:b/>
          <w:bCs/>
          <w:color w:val="0A2240"/>
          <w:sz w:val="28"/>
          <w:szCs w:val="28"/>
        </w:rPr>
        <w:t xml:space="preserve">7. INSPECTION, TESTING AND QUALITY REQUIREMENTS</w:t>
      </w:r>
    </w:p>
    <w:p>
      <w:pPr>
        <w:pStyle w:val="Heading2"/>
        <w:spacing w:after="120" w:before="240"/>
      </w:pPr>
      <w:r>
        <w:rPr>
          <w:rFonts w:ascii="Arial" w:cs="Arial" w:eastAsia="Arial" w:hAnsi="Arial"/>
          <w:b/>
          <w:bCs/>
          <w:color w:val="0070B8"/>
          <w:sz w:val="24"/>
          <w:szCs w:val="24"/>
        </w:rPr>
        <w:t xml:space="preserve">7.1 Vendor Quality Management</w:t>
      </w:r>
    </w:p>
    <w:p>
      <w:pPr>
        <w:pStyle w:val="ListParagraph"/>
        <w:numPr>
          <w:ilvl w:val="0"/>
          <w:numId w:val="2"/>
        </w:numPr>
        <w:spacing w:after="60" w:before="60"/>
      </w:pPr>
      <w:r>
        <w:rPr>
          <w:rFonts w:ascii="Arial" w:cs="Arial" w:eastAsia="Arial" w:hAnsi="Arial"/>
          <w:sz w:val="18"/>
          <w:szCs w:val="18"/>
        </w:rPr>
        <w:t xml:space="preserve">ISO 9001:2015 certification from IAF-accredited body mandatory. Scope to explicitly cover engineering, fabrication, and testing of process equipment. Certificate to be submitted with offer.</w:t>
      </w:r>
    </w:p>
    <w:p>
      <w:pPr>
        <w:pStyle w:val="ListParagraph"/>
        <w:numPr>
          <w:ilvl w:val="0"/>
          <w:numId w:val="2"/>
        </w:numPr>
        <w:spacing w:after="60" w:before="60"/>
      </w:pPr>
      <w:r>
        <w:rPr>
          <w:rFonts w:ascii="Arial" w:cs="Arial" w:eastAsia="Arial" w:hAnsi="Arial"/>
          <w:sz w:val="18"/>
          <w:szCs w:val="18"/>
        </w:rPr>
        <w:t xml:space="preserve">Vendor's Inspection and Test Plan (ITP) to be submitted within 6 weeks of PO award. MPE to approve ITP before fabrication starts. ITP to include: HOLD points (mandatory MPE witness), WITNESS points (MPE may witness), REVIEW points (MPE reviews records only).</w:t>
      </w:r>
    </w:p>
    <w:p>
      <w:pPr>
        <w:spacing w:after="60" w:before="60"/>
      </w:pPr>
      <w:r>
        <w:t xml:space="preserve"/>
      </w:r>
    </w:p>
    <w:p>
      <w:pPr>
        <w:pStyle w:val="Heading2"/>
        <w:spacing w:after="120" w:before="240"/>
      </w:pPr>
      <w:r>
        <w:rPr>
          <w:rFonts w:ascii="Arial" w:cs="Arial" w:eastAsia="Arial" w:hAnsi="Arial"/>
          <w:b/>
          <w:bCs/>
          <w:color w:val="0070B8"/>
          <w:sz w:val="24"/>
          <w:szCs w:val="24"/>
        </w:rPr>
        <w:t xml:space="preserve">7.2 Mandatory HOLD Points (MPE Witness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516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HOLD Point Description</w:t>
            </w:r>
          </w:p>
        </w:tc>
        <w:tc>
          <w:tcPr>
            <w:tcW w:type="dxa" w:w="180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 / Standard</w:t>
            </w:r>
          </w:p>
        </w:tc>
        <w:tc>
          <w:tcPr>
            <w:tcW w:type="dxa" w:w="180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Notice Required</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H-01</w:t>
            </w:r>
          </w:p>
        </w:tc>
        <w:tc>
          <w:tcPr>
            <w:tcW w:type="dxa" w:w="5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Pressure vessel material review (MTRs, EN 10204 Type 3.1) – before cutting/forming</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ASME VIII, EN 10204</w:t>
            </w:r>
          </w:p>
        </w:tc>
        <w:tc>
          <w:tcPr>
            <w:tcW w:type="dxa" w:w="1800"/>
            <w:gridSpan w:val="1"/>
            <w:tcBorders>
              <w:top w:val="single" w:color="B0BEC5" w:sz="1"/>
              <w:left w:val="single" w:color="B0BEC5" w:sz="1"/>
              <w:bottom w:val="single" w:color="B0BEC5" w:sz="1"/>
              <w:right w:val="single" w:color="B0BEC5"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7 business days</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H-02</w:t>
            </w:r>
          </w:p>
        </w:tc>
        <w:tc>
          <w:tcPr>
            <w:tcW w:type="dxa" w:w="5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WPS/PQR review for H₂ service welds – before welding commencement</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ASME IX, B31.12</w:t>
            </w:r>
          </w:p>
        </w:tc>
        <w:tc>
          <w:tcPr>
            <w:tcW w:type="dxa" w:w="1800"/>
            <w:gridSpan w:val="1"/>
            <w:tcBorders>
              <w:top w:val="single" w:color="B0BEC5" w:sz="1"/>
              <w:left w:val="single" w:color="B0BEC5" w:sz="1"/>
              <w:bottom w:val="single" w:color="B0BEC5" w:sz="1"/>
              <w:right w:val="single" w:color="B0BEC5"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 business days</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H-03</w:t>
            </w:r>
          </w:p>
        </w:tc>
        <w:tc>
          <w:tcPr>
            <w:tcW w:type="dxa" w:w="5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In-process weld fit-up inspection (all pressure-containing butt welds)</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ASME IX</w:t>
            </w:r>
          </w:p>
        </w:tc>
        <w:tc>
          <w:tcPr>
            <w:tcW w:type="dxa" w:w="1800"/>
            <w:gridSpan w:val="1"/>
            <w:tcBorders>
              <w:top w:val="single" w:color="B0BEC5" w:sz="1"/>
              <w:left w:val="single" w:color="B0BEC5" w:sz="1"/>
              <w:bottom w:val="single" w:color="B0BEC5" w:sz="1"/>
              <w:right w:val="single" w:color="B0BEC5"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 business days</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H-04</w:t>
            </w:r>
          </w:p>
        </w:tc>
        <w:tc>
          <w:tcPr>
            <w:tcW w:type="dxa" w:w="5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100% RT / UT review of all pressure-containing butt welds in H₂ service</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ASME B31.12</w:t>
            </w:r>
          </w:p>
        </w:tc>
        <w:tc>
          <w:tcPr>
            <w:tcW w:type="dxa" w:w="1800"/>
            <w:gridSpan w:val="1"/>
            <w:tcBorders>
              <w:top w:val="single" w:color="B0BEC5" w:sz="1"/>
              <w:left w:val="single" w:color="B0BEC5" w:sz="1"/>
              <w:bottom w:val="single" w:color="B0BEC5" w:sz="1"/>
              <w:right w:val="single" w:color="B0BEC5"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 business days</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H-05</w:t>
            </w:r>
          </w:p>
        </w:tc>
        <w:tc>
          <w:tcPr>
            <w:tcW w:type="dxa" w:w="5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Deoxo reactor vessel hydrostatic test (1.5× design pressure = 60 barg water test)</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ASME VIII</w:t>
            </w:r>
          </w:p>
        </w:tc>
        <w:tc>
          <w:tcPr>
            <w:tcW w:type="dxa" w:w="1800"/>
            <w:gridSpan w:val="1"/>
            <w:tcBorders>
              <w:top w:val="single" w:color="B0BEC5" w:sz="1"/>
              <w:left w:val="single" w:color="B0BEC5" w:sz="1"/>
              <w:bottom w:val="single" w:color="B0BEC5" w:sz="1"/>
              <w:right w:val="single" w:color="B0BEC5"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 business days</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H-06</w:t>
            </w:r>
          </w:p>
        </w:tc>
        <w:tc>
          <w:tcPr>
            <w:tcW w:type="dxa" w:w="5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TSA dryer vessel hydrostatic test (1.5× design pressure = 60 barg water test)</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ASME VIII</w:t>
            </w:r>
          </w:p>
        </w:tc>
        <w:tc>
          <w:tcPr>
            <w:tcW w:type="dxa" w:w="1800"/>
            <w:gridSpan w:val="1"/>
            <w:tcBorders>
              <w:top w:val="single" w:color="B0BEC5" w:sz="1"/>
              <w:left w:val="single" w:color="B0BEC5" w:sz="1"/>
              <w:bottom w:val="single" w:color="B0BEC5" w:sz="1"/>
              <w:right w:val="single" w:color="B0BEC5"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 business days</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H-07</w:t>
            </w:r>
          </w:p>
        </w:tc>
        <w:tc>
          <w:tcPr>
            <w:tcW w:type="dxa" w:w="5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Deoxo catalyst loading inspection (correct catalyst type, quantity, bed layering)</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procedure</w:t>
            </w:r>
          </w:p>
        </w:tc>
        <w:tc>
          <w:tcPr>
            <w:tcW w:type="dxa" w:w="1800"/>
            <w:gridSpan w:val="1"/>
            <w:tcBorders>
              <w:top w:val="single" w:color="B0BEC5" w:sz="1"/>
              <w:left w:val="single" w:color="B0BEC5" w:sz="1"/>
              <w:bottom w:val="single" w:color="B0BEC5" w:sz="1"/>
              <w:right w:val="single" w:color="B0BEC5"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 business days</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H-08</w:t>
            </w:r>
          </w:p>
        </w:tc>
        <w:tc>
          <w:tcPr>
            <w:tcW w:type="dxa" w:w="5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Molecular sieve loading inspection (correct type, quantity, layering per vendor calc)</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Vendor procedure</w:t>
            </w:r>
          </w:p>
        </w:tc>
        <w:tc>
          <w:tcPr>
            <w:tcW w:type="dxa" w:w="1800"/>
            <w:gridSpan w:val="1"/>
            <w:tcBorders>
              <w:top w:val="single" w:color="B0BEC5" w:sz="1"/>
              <w:left w:val="single" w:color="B0BEC5" w:sz="1"/>
              <w:bottom w:val="single" w:color="B0BEC5" w:sz="1"/>
              <w:right w:val="single" w:color="B0BEC5"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 business days</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H-09</w:t>
            </w:r>
          </w:p>
        </w:tc>
        <w:tc>
          <w:tcPr>
            <w:tcW w:type="dxa" w:w="5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Skid pre-FAT inspection and punch list review</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MPE inspection protocol</w:t>
            </w:r>
          </w:p>
        </w:tc>
        <w:tc>
          <w:tcPr>
            <w:tcW w:type="dxa" w:w="1800"/>
            <w:gridSpan w:val="1"/>
            <w:tcBorders>
              <w:top w:val="single" w:color="B0BEC5" w:sz="1"/>
              <w:left w:val="single" w:color="B0BEC5" w:sz="1"/>
              <w:bottom w:val="single" w:color="B0BEC5" w:sz="1"/>
              <w:right w:val="single" w:color="B0BEC5"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 business days</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H-10</w:t>
            </w:r>
          </w:p>
        </w:tc>
        <w:tc>
          <w:tcPr>
            <w:tcW w:type="dxa" w:w="51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Factory Acceptance Test (FAT) – full functional test of complete HPDU package</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MPE FAT procedure</w:t>
            </w:r>
          </w:p>
        </w:tc>
        <w:tc>
          <w:tcPr>
            <w:tcW w:type="dxa" w:w="1800"/>
            <w:gridSpan w:val="1"/>
            <w:tcBorders>
              <w:top w:val="single" w:color="B0BEC5" w:sz="1"/>
              <w:left w:val="single" w:color="B0BEC5" w:sz="1"/>
              <w:bottom w:val="single" w:color="B0BEC5" w:sz="1"/>
              <w:right w:val="single" w:color="B0BEC5"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 business days</w:t>
            </w:r>
          </w:p>
        </w:tc>
      </w:tr>
    </w:tbl>
    <w:p>
      <w:pPr>
        <w:spacing w:after="60" w:before="60"/>
      </w:pPr>
      <w:r>
        <w:t xml:space="preserve"/>
      </w:r>
    </w:p>
    <w:p>
      <w:pPr>
        <w:pStyle w:val="Heading2"/>
        <w:spacing w:after="120" w:before="240"/>
      </w:pPr>
      <w:r>
        <w:rPr>
          <w:rFonts w:ascii="Arial" w:cs="Arial" w:eastAsia="Arial" w:hAnsi="Arial"/>
          <w:b/>
          <w:bCs/>
          <w:color w:val="0070B8"/>
          <w:sz w:val="24"/>
          <w:szCs w:val="24"/>
        </w:rPr>
        <w:t xml:space="preserve">7.3 Factory Acceptance Test (FAT) Requirements</w:t>
      </w:r>
    </w:p>
    <w:p>
      <w:pPr>
        <w:pStyle w:val="ListParagraph"/>
        <w:numPr>
          <w:ilvl w:val="0"/>
          <w:numId w:val="2"/>
        </w:numPr>
        <w:spacing w:after="60" w:before="60"/>
      </w:pPr>
      <w:r>
        <w:rPr>
          <w:rFonts w:ascii="Arial" w:cs="Arial" w:eastAsia="Arial" w:hAnsi="Arial"/>
          <w:sz w:val="18"/>
          <w:szCs w:val="18"/>
        </w:rPr>
        <w:t xml:space="preserve">The FAT is a MANDATORY HOLD POINT requiring MPE and Client witness. FAT location: Vendor's fabrication facility. MPE test team (typically 3 engineers) to be hosted by vendor (Vendor to arrange safe access, PPE, and refreshments).</w:t>
      </w:r>
    </w:p>
    <w:p>
      <w:pPr>
        <w:pStyle w:val="ListParagraph"/>
        <w:numPr>
          <w:ilvl w:val="0"/>
          <w:numId w:val="2"/>
        </w:numPr>
        <w:spacing w:after="60" w:before="60"/>
      </w:pPr>
      <w:r>
        <w:rPr>
          <w:rFonts w:ascii="Arial" w:cs="Arial" w:eastAsia="Arial" w:hAnsi="Arial"/>
          <w:sz w:val="18"/>
          <w:szCs w:val="18"/>
        </w:rPr>
        <w:t xml:space="preserve">FAT Scope minimum: (1) Full mechanical walk-down (piping completion, all instrument hook-ups, valve function checks, motor rotation); (2) Electrical continuity and insulation resistance tests; (3) PLC/HMI functional tests: all I/O, all alarms, all trips, TSA sequencer manual and auto modes; (4) ESD function test (simulate each ESD trip condition, confirm correct response); (5) Analyzer loop verification (if using N₂ as test gas — analyzer readings may be approximate); (6) H₂ leak detector function test (using calibration gas); (7) Punch list generation and resolution (all Category A punch items to be cleared before FAT certificate is signed).</w:t>
      </w:r>
    </w:p>
    <w:p>
      <w:pPr>
        <w:pStyle w:val="ListParagraph"/>
        <w:numPr>
          <w:ilvl w:val="0"/>
          <w:numId w:val="2"/>
        </w:numPr>
        <w:spacing w:after="60" w:before="60"/>
      </w:pPr>
      <w:r>
        <w:rPr>
          <w:rFonts w:ascii="Arial" w:cs="Arial" w:eastAsia="Arial" w:hAnsi="Arial"/>
          <w:sz w:val="18"/>
          <w:szCs w:val="18"/>
        </w:rPr>
        <w:t xml:space="preserve">FAT using actual H₂ is NOT expected at vendor's facility. N₂ or inert gas used as process substitute for FAT. Analyzer and leak detector calibration to be verified using certified calibration gas (H₂ in N₂ mixture).</w:t>
      </w:r>
    </w:p>
    <w:p>
      <w:pPr>
        <w:pStyle w:val="ListParagraph"/>
        <w:numPr>
          <w:ilvl w:val="0"/>
          <w:numId w:val="2"/>
        </w:numPr>
        <w:spacing w:after="60" w:before="60"/>
      </w:pPr>
      <w:r>
        <w:rPr>
          <w:rFonts w:ascii="Arial" w:cs="Arial" w:eastAsia="Arial" w:hAnsi="Arial"/>
          <w:sz w:val="18"/>
          <w:szCs w:val="18"/>
        </w:rPr>
        <w:t xml:space="preserve">FAT Certificate to be signed by MPE representative before shipment is authorized.</w:t>
      </w:r>
    </w:p>
    <w:p>
      <w:pPr>
        <w:spacing w:after="60" w:before="60"/>
      </w:pPr>
      <w:r>
        <w:t xml:space="preserve"/>
      </w:r>
    </w:p>
    <w:p>
      <w:r>
        <w:br w:type="page"/>
      </w:r>
    </w:p>
    <w:p>
      <w:pPr>
        <w:pStyle w:val="Heading1"/>
        <w:pBdr>
          <w:bottom w:val="single" w:color="007A7C" w:sz="10" w:space="4"/>
        </w:pBdr>
        <w:spacing w:after="180" w:before="360"/>
      </w:pPr>
      <w:r>
        <w:rPr>
          <w:rFonts w:ascii="Arial" w:cs="Arial" w:eastAsia="Arial" w:hAnsi="Arial"/>
          <w:b/>
          <w:bCs/>
          <w:color w:val="0A2240"/>
          <w:sz w:val="28"/>
          <w:szCs w:val="28"/>
        </w:rPr>
        <w:t xml:space="preserve">8. BID PRICE SCHEDULE</w:t>
      </w:r>
    </w:p>
    <w:p>
      <w:pPr>
        <w:pStyle w:val="Heading2"/>
        <w:spacing w:after="120" w:before="240"/>
      </w:pPr>
      <w:r>
        <w:rPr>
          <w:rFonts w:ascii="Arial" w:cs="Arial" w:eastAsia="Arial" w:hAnsi="Arial"/>
          <w:b/>
          <w:bCs/>
          <w:color w:val="0070B8"/>
          <w:sz w:val="24"/>
          <w:szCs w:val="24"/>
        </w:rPr>
        <w:t xml:space="preserve">8.1 Lump Sum Price Breakdown</w:t>
      </w:r>
    </w:p>
    <w:p>
      <w:pPr>
        <w:spacing w:after="80" w:before="80"/>
      </w:pPr>
      <w:r>
        <w:rPr>
          <w:rFonts w:ascii="Arial" w:cs="Arial" w:eastAsia="Arial" w:hAnsi="Arial"/>
          <w:sz w:val="20"/>
          <w:szCs w:val="20"/>
        </w:rPr>
        <w:t xml:space="preserve">Vendor shall complete the following price schedule. All prices in USD, EXW Vendor's works. Freight to Abu Dhabi site shall be separately stated. All prices exclusive of VAT.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60"/>
        <w:gridCol w:w="1600"/>
        <w:gridCol w:w="2100"/>
      </w:tblGrid>
      <w:tr>
        <w:tc>
          <w:tcPr>
            <w:tcW w:type="dxa" w:w="600"/>
            <w:gridSpan w:val="1"/>
            <w:tcBorders>
              <w:top w:val="single" w:color="B0BEC5" w:sz="1"/>
              <w:left w:val="single" w:color="B0BEC5" w:sz="1"/>
              <w:bottom w:val="single" w:color="B0BEC5" w:sz="1"/>
              <w:right w:val="single" w:color="B0BEC5" w:sz="1"/>
            </w:tcBorders>
            <w:shd w:fill="0A224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5060"/>
            <w:gridSpan w:val="1"/>
            <w:tcBorders>
              <w:top w:val="single" w:color="B0BEC5" w:sz="1"/>
              <w:left w:val="single" w:color="B0BEC5" w:sz="1"/>
              <w:bottom w:val="single" w:color="B0BEC5" w:sz="1"/>
              <w:right w:val="single" w:color="B0BEC5" w:sz="1"/>
            </w:tcBorders>
            <w:shd w:fill="0A224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600"/>
            <w:gridSpan w:val="1"/>
            <w:tcBorders>
              <w:top w:val="single" w:color="B0BEC5" w:sz="1"/>
              <w:left w:val="single" w:color="B0BEC5" w:sz="1"/>
              <w:bottom w:val="single" w:color="B0BEC5" w:sz="1"/>
              <w:right w:val="single" w:color="B0BEC5" w:sz="1"/>
            </w:tcBorders>
            <w:shd w:fill="0A224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Qty / Unit</w:t>
            </w:r>
          </w:p>
        </w:tc>
        <w:tc>
          <w:tcPr>
            <w:tcW w:type="dxa" w:w="2100"/>
            <w:gridSpan w:val="1"/>
            <w:tcBorders>
              <w:top w:val="single" w:color="B0BEC5" w:sz="1"/>
              <w:left w:val="single" w:color="B0BEC5" w:sz="1"/>
              <w:bottom w:val="single" w:color="B0BEC5" w:sz="1"/>
              <w:right w:val="single" w:color="B0BEC5" w:sz="1"/>
            </w:tcBorders>
            <w:shd w:fill="0A224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Lump Sum Price (USD, EXW)</w:t>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w:t>
            </w:r>
          </w:p>
        </w:tc>
        <w:tc>
          <w:tcPr>
            <w:tcW w:type="dxa" w:w="5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Primary Gas-Liquid Separator / Water KO Drum #1 (SS316L, ASME VIII, complete)</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 lot</w:t>
            </w:r>
          </w:p>
        </w:tc>
        <w:tc>
          <w:tcPr>
            <w:tcW w:type="dxa" w:w="21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w:t>
            </w:r>
          </w:p>
        </w:tc>
        <w:tc>
          <w:tcPr>
            <w:tcW w:type="dxa" w:w="5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Inlet Gas Coalescer / Filter (SS316L, 0.3 μm elements, complete)</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 lot</w:t>
            </w:r>
          </w:p>
        </w:tc>
        <w:tc>
          <w:tcPr>
            <w:tcW w:type="dxa" w:w="21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w:t>
            </w:r>
          </w:p>
        </w:tc>
        <w:tc>
          <w:tcPr>
            <w:tcW w:type="dxa" w:w="5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Deoxo Feed Preheater – Electric (SS316L, ATEX IIC, complete with thermal control)</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 lot</w:t>
            </w:r>
          </w:p>
        </w:tc>
        <w:tc>
          <w:tcPr>
            <w:tcW w:type="dxa" w:w="21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4</w:t>
            </w:r>
          </w:p>
        </w:tc>
        <w:tc>
          <w:tcPr>
            <w:tcW w:type="dxa" w:w="5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Deoxo Reactor (SS316L, Pd/Al₂O₃ catalyst, fixed bed, complete)</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 lot</w:t>
            </w:r>
          </w:p>
        </w:tc>
        <w:tc>
          <w:tcPr>
            <w:tcW w:type="dxa" w:w="21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5</w:t>
            </w:r>
          </w:p>
        </w:tc>
        <w:tc>
          <w:tcPr>
            <w:tcW w:type="dxa" w:w="5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Deoxo Catalyst – Initial fill + 10% spare (state $/kg and total kg)</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 lot</w:t>
            </w:r>
          </w:p>
        </w:tc>
        <w:tc>
          <w:tcPr>
            <w:tcW w:type="dxa" w:w="21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6</w:t>
            </w:r>
          </w:p>
        </w:tc>
        <w:tc>
          <w:tcPr>
            <w:tcW w:type="dxa" w:w="5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Deoxo Outlet Aftercooler (Air-cooled HEX, all-SS, ATEX IIC motors)</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 lot</w:t>
            </w:r>
          </w:p>
        </w:tc>
        <w:tc>
          <w:tcPr>
            <w:tcW w:type="dxa" w:w="21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7</w:t>
            </w:r>
          </w:p>
        </w:tc>
        <w:tc>
          <w:tcPr>
            <w:tcW w:type="dxa" w:w="5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Post-Deoxo Water KO Drum #2 (SS316L, complete with LIC/LIC/drain)</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 lot</w:t>
            </w:r>
          </w:p>
        </w:tc>
        <w:tc>
          <w:tcPr>
            <w:tcW w:type="dxa" w:w="21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8</w:t>
            </w:r>
          </w:p>
        </w:tc>
        <w:tc>
          <w:tcPr>
            <w:tcW w:type="dxa" w:w="5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TSA Dryer Vessels A, B, C (SS316L, 3A mol sieve + alumina + 13X, complete)</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 vessels</w:t>
            </w:r>
          </w:p>
        </w:tc>
        <w:tc>
          <w:tcPr>
            <w:tcW w:type="dxa" w:w="21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9</w:t>
            </w:r>
          </w:p>
        </w:tc>
        <w:tc>
          <w:tcPr>
            <w:tcW w:type="dxa" w:w="5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Adsorbent Fill – 3A Mol Sieve (Initial fill all 3 towers + 10% spare) – state $/kg</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 lot</w:t>
            </w:r>
          </w:p>
        </w:tc>
        <w:tc>
          <w:tcPr>
            <w:tcW w:type="dxa" w:w="21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10</w:t>
            </w:r>
          </w:p>
        </w:tc>
        <w:tc>
          <w:tcPr>
            <w:tcW w:type="dxa" w:w="5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Adsorbent Fill – Activated Alumina (Initial fill + 10% spare) – state $/kg</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 lot</w:t>
            </w:r>
          </w:p>
        </w:tc>
        <w:tc>
          <w:tcPr>
            <w:tcW w:type="dxa" w:w="21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11</w:t>
            </w:r>
          </w:p>
        </w:tc>
        <w:tc>
          <w:tcPr>
            <w:tcW w:type="dxa" w:w="5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TSA Regeneration Gas Heater – Electric (SS316L, ATEX IIC)</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 lot</w:t>
            </w:r>
          </w:p>
        </w:tc>
        <w:tc>
          <w:tcPr>
            <w:tcW w:type="dxa" w:w="21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12</w:t>
            </w:r>
          </w:p>
        </w:tc>
        <w:tc>
          <w:tcPr>
            <w:tcW w:type="dxa" w:w="5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TSA Regeneration Gas Cooler (Air-cooled, all-SS)</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 lot</w:t>
            </w:r>
          </w:p>
        </w:tc>
        <w:tc>
          <w:tcPr>
            <w:tcW w:type="dxa" w:w="21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13</w:t>
            </w:r>
          </w:p>
        </w:tc>
        <w:tc>
          <w:tcPr>
            <w:tcW w:type="dxa" w:w="5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TSA Regeneration KO Drum (SS316L, complete with level control and drain)</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 lot</w:t>
            </w:r>
          </w:p>
        </w:tc>
        <w:tc>
          <w:tcPr>
            <w:tcW w:type="dxa" w:w="21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14</w:t>
            </w:r>
          </w:p>
        </w:tc>
        <w:tc>
          <w:tcPr>
            <w:tcW w:type="dxa" w:w="5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Outlet Dry Gas Fines Filter (SS316L, 0.3 μm, complete)</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 lot</w:t>
            </w:r>
          </w:p>
        </w:tc>
        <w:tc>
          <w:tcPr>
            <w:tcW w:type="dxa" w:w="21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15</w:t>
            </w:r>
          </w:p>
        </w:tc>
        <w:tc>
          <w:tcPr>
            <w:tcW w:type="dxa" w:w="5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Piping, Valves, Fittings (all SS316L, Class 300/600, per ASME B31.12, complete within skid)</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 lot</w:t>
            </w:r>
          </w:p>
        </w:tc>
        <w:tc>
          <w:tcPr>
            <w:tcW w:type="dxa" w:w="21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16</w:t>
            </w:r>
          </w:p>
        </w:tc>
        <w:tc>
          <w:tcPr>
            <w:tcW w:type="dxa" w:w="5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Instrumentation, Analyzers, Leak Detectors (complete with installation)</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 lot</w:t>
            </w:r>
          </w:p>
        </w:tc>
        <w:tc>
          <w:tcPr>
            <w:tcW w:type="dxa" w:w="21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17</w:t>
            </w:r>
          </w:p>
        </w:tc>
        <w:tc>
          <w:tcPr>
            <w:tcW w:type="dxa" w:w="5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PLC / Safety Controller (SIL 2), HMI, ESD – Complete engineered system</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 lot</w:t>
            </w:r>
          </w:p>
        </w:tc>
        <w:tc>
          <w:tcPr>
            <w:tcW w:type="dxa" w:w="21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18</w:t>
            </w:r>
          </w:p>
        </w:tc>
        <w:tc>
          <w:tcPr>
            <w:tcW w:type="dxa" w:w="5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Skid Frame, Platforms, Access Stairs (HDG structural steel, complete)</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 lot</w:t>
            </w:r>
          </w:p>
        </w:tc>
        <w:tc>
          <w:tcPr>
            <w:tcW w:type="dxa" w:w="21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19</w:t>
            </w:r>
          </w:p>
        </w:tc>
        <w:tc>
          <w:tcPr>
            <w:tcW w:type="dxa" w:w="5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Electrical Heat Tracing + Insulation (hot sections)</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 lot</w:t>
            </w:r>
          </w:p>
        </w:tc>
        <w:tc>
          <w:tcPr>
            <w:tcW w:type="dxa" w:w="21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20</w:t>
            </w:r>
          </w:p>
        </w:tc>
        <w:tc>
          <w:tcPr>
            <w:tcW w:type="dxa" w:w="5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Painting / Coating (structural elements, C3 ISO 12944 system)</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 lot</w:t>
            </w:r>
          </w:p>
        </w:tc>
        <w:tc>
          <w:tcPr>
            <w:tcW w:type="dxa" w:w="21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21</w:t>
            </w:r>
          </w:p>
        </w:tc>
        <w:tc>
          <w:tcPr>
            <w:tcW w:type="dxa" w:w="5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FAT (Factory Acceptance Test) – includes MPE team travel/accommodation allowance</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 lot</w:t>
            </w:r>
          </w:p>
        </w:tc>
        <w:tc>
          <w:tcPr>
            <w:tcW w:type="dxa" w:w="21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22</w:t>
            </w:r>
          </w:p>
        </w:tc>
        <w:tc>
          <w:tcPr>
            <w:tcW w:type="dxa" w:w="5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Commissioning Support (5 days on-site, inclusive)</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 lot</w:t>
            </w:r>
          </w:p>
        </w:tc>
        <w:tc>
          <w:tcPr>
            <w:tcW w:type="dxa" w:w="21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23</w:t>
            </w:r>
          </w:p>
        </w:tc>
        <w:tc>
          <w:tcPr>
            <w:tcW w:type="dxa" w:w="5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O&amp;M Training (2 days)</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 lot</w:t>
            </w:r>
          </w:p>
        </w:tc>
        <w:tc>
          <w:tcPr>
            <w:tcW w:type="dxa" w:w="21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24</w:t>
            </w:r>
          </w:p>
        </w:tc>
        <w:tc>
          <w:tcPr>
            <w:tcW w:type="dxa" w:w="5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Mandatory Initial Spare Parts (2-year operational spares, itemized)</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 lot</w:t>
            </w:r>
          </w:p>
        </w:tc>
        <w:tc>
          <w:tcPr>
            <w:tcW w:type="dxa" w:w="21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w:r>
          </w:p>
        </w:tc>
      </w:tr>
      <w:tr>
        <w:tc>
          <w:tcPr>
            <w:tcW w:type="dxa" w:w="6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25</w:t>
            </w:r>
          </w:p>
        </w:tc>
        <w:tc>
          <w:tcPr>
            <w:tcW w:type="dxa" w:w="50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Documentation (MDR, O&amp;M manuals, AFC drawings, certifications – full set)</w:t>
            </w:r>
          </w:p>
        </w:tc>
        <w:tc>
          <w:tcPr>
            <w:tcW w:type="dxa" w:w="16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 lot</w:t>
            </w:r>
          </w:p>
        </w:tc>
        <w:tc>
          <w:tcPr>
            <w:tcW w:type="dxa" w:w="21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w:r>
          </w:p>
        </w:tc>
      </w:tr>
      <w:tr>
        <w:tc>
          <w:tcPr>
            <w:tcW w:type="dxa" w:w="600"/>
            <w:gridSpan w:val="1"/>
            <w:tcBorders>
              <w:top w:val="single" w:color="B0BEC5" w:sz="1"/>
              <w:left w:val="single" w:color="B0BEC5" w:sz="1"/>
              <w:bottom w:val="single" w:color="B0BEC5" w:sz="1"/>
              <w:right w:val="single" w:color="B0BEC5" w:sz="1"/>
            </w:tcBorders>
            <w:shd w:fill="0A2240"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w:r>
          </w:p>
        </w:tc>
        <w:tc>
          <w:tcPr>
            <w:tcW w:type="dxa" w:w="5060"/>
            <w:gridSpan w:val="1"/>
            <w:tcBorders>
              <w:top w:val="single" w:color="B0BEC5" w:sz="1"/>
              <w:left w:val="single" w:color="B0BEC5" w:sz="1"/>
              <w:bottom w:val="single" w:color="B0BEC5" w:sz="1"/>
              <w:right w:val="single" w:color="B0BEC5" w:sz="1"/>
            </w:tcBorders>
            <w:shd w:fill="0A224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TOTAL LUMP SUM PRICE (EXW Vendor's Works)</w:t>
            </w:r>
          </w:p>
        </w:tc>
        <w:tc>
          <w:tcPr>
            <w:tcW w:type="dxa" w:w="1600"/>
            <w:gridSpan w:val="1"/>
            <w:tcBorders>
              <w:top w:val="single" w:color="B0BEC5" w:sz="1"/>
              <w:left w:val="single" w:color="B0BEC5" w:sz="1"/>
              <w:bottom w:val="single" w:color="B0BEC5" w:sz="1"/>
              <w:right w:val="single" w:color="B0BEC5" w:sz="1"/>
            </w:tcBorders>
            <w:shd w:fill="0A224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
            </w:r>
          </w:p>
        </w:tc>
        <w:tc>
          <w:tcPr>
            <w:tcW w:type="dxa" w:w="2100"/>
            <w:gridSpan w:val="1"/>
            <w:tcBorders>
              <w:top w:val="single" w:color="B0BEC5" w:sz="1"/>
              <w:left w:val="single" w:color="B0BEC5" w:sz="1"/>
              <w:bottom w:val="single" w:color="B0BEC5" w:sz="1"/>
              <w:right w:val="single" w:color="B0BEC5" w:sz="1"/>
            </w:tcBorders>
            <w:shd w:fill="0A224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
            </w:r>
          </w:p>
        </w:tc>
      </w:tr>
      <w:tr>
        <w:tc>
          <w:tcPr>
            <w:gridSpan w:val="4"/>
            <w:tcBorders>
              <w:top w:val="single" w:color="B0BEC5" w:sz="1"/>
              <w:left w:val="single" w:color="B0BEC5" w:sz="1"/>
              <w:bottom w:val="single" w:color="B0BEC5" w:sz="1"/>
              <w:right w:val="single" w:color="B0BEC5" w:sz="1"/>
            </w:tcBorders>
            <w:shd w:fill="EEF6FF" w:val="clear"/>
            <w:tcMar>
              <w:top w:type="dxa" w:w="60"/>
              <w:left w:type="dxa" w:w="120"/>
              <w:bottom w:type="dxa" w:w="60"/>
              <w:right w:type="dxa" w:w="120"/>
            </w:tcMar>
          </w:tcPr>
          <w:p>
            <w:r>
              <w:rPr>
                <w:rFonts w:ascii="Arial" w:cs="Arial" w:eastAsia="Arial" w:hAnsi="Arial"/>
                <w:b/>
                <w:bCs/>
                <w:sz w:val="18"/>
                <w:szCs w:val="18"/>
              </w:rPr>
              <w:t xml:space="preserve">OPTIONS (separate pricing required): </w:t>
            </w:r>
            <w:r>
              <w:rPr>
                <w:rFonts w:ascii="Arial" w:cs="Arial" w:eastAsia="Arial" w:hAnsi="Arial"/>
                <w:sz w:val="17"/>
                <w:szCs w:val="17"/>
              </w:rPr>
              <w:t xml:space="preserve">OPT-A: Third dryer vessel (3+1 arrangement – premium redundancy)  |  OPT-B: Additional online CO / CO₂ analyser at HPDU outlet  |  OPT-C: Accelerated delivery (state achievable lead time and premium)  |  OPT-D: 72-hour witnessed site performance test (SAT)</w:t>
            </w:r>
          </w:p>
        </w:tc>
      </w:tr>
    </w:tbl>
    <w:p>
      <w:pPr>
        <w:spacing w:after="60" w:before="60"/>
      </w:pPr>
      <w:r>
        <w:t xml:space="preserve"/>
      </w:r>
    </w:p>
    <w:p>
      <w:pPr>
        <w:pStyle w:val="Heading2"/>
        <w:spacing w:after="120" w:before="240"/>
      </w:pPr>
      <w:r>
        <w:rPr>
          <w:rFonts w:ascii="Arial" w:cs="Arial" w:eastAsia="Arial" w:hAnsi="Arial"/>
          <w:b/>
          <w:bCs/>
          <w:color w:val="0070B8"/>
          <w:sz w:val="24"/>
          <w:szCs w:val="24"/>
        </w:rPr>
        <w:t xml:space="preserve">8.2 Options Pricing</w:t>
      </w:r>
    </w:p>
    <w:p>
      <w:pPr>
        <w:spacing w:after="80" w:before="80"/>
      </w:pPr>
      <w:r>
        <w:rPr>
          <w:rFonts w:ascii="Arial" w:cs="Arial" w:eastAsia="Arial" w:hAnsi="Arial"/>
          <w:sz w:val="20"/>
          <w:szCs w:val="20"/>
        </w:rPr>
        <w:t xml:space="preserve">Vendor shall price the following options separately. MPE reserves the right to exercise any option within 30 days of PO award without penalty:</w:t>
      </w:r>
    </w:p>
    <w:p>
      <w:pPr>
        <w:pStyle w:val="ListParagraph"/>
        <w:numPr>
          <w:ilvl w:val="0"/>
          <w:numId w:val="2"/>
        </w:numPr>
        <w:spacing w:after="60" w:before="60"/>
      </w:pPr>
      <w:r>
        <w:rPr>
          <w:rFonts w:ascii="Arial" w:cs="Arial" w:eastAsia="Arial" w:hAnsi="Arial"/>
          <w:sz w:val="18"/>
          <w:szCs w:val="18"/>
        </w:rPr>
        <w:t xml:space="preserve">OPT-A: Supply of third (3rd) spare dryer vessel (for 3+1 arrangement) – Additional vessel with sieve fill, complete with all connections, mounted on same skid or adjacent.</w:t>
      </w:r>
    </w:p>
    <w:p>
      <w:pPr>
        <w:pStyle w:val="ListParagraph"/>
        <w:numPr>
          <w:ilvl w:val="0"/>
          <w:numId w:val="2"/>
        </w:numPr>
        <w:spacing w:after="60" w:before="60"/>
      </w:pPr>
      <w:r>
        <w:rPr>
          <w:rFonts w:ascii="Arial" w:cs="Arial" w:eastAsia="Arial" w:hAnsi="Arial"/>
          <w:sz w:val="18"/>
          <w:szCs w:val="18"/>
        </w:rPr>
        <w:t xml:space="preserve">OPT-B: Online CO and CO₂ analyser at HPDU outlet (in addition to standard O₂ and moisture analysers). Required for verification of ISO 14687 CO ≤ 0.2 ppm and CO₂ ≤ 2 ppm compliance.</w:t>
      </w:r>
    </w:p>
    <w:p>
      <w:pPr>
        <w:pStyle w:val="ListParagraph"/>
        <w:numPr>
          <w:ilvl w:val="0"/>
          <w:numId w:val="2"/>
        </w:numPr>
        <w:spacing w:after="60" w:before="60"/>
      </w:pPr>
      <w:r>
        <w:rPr>
          <w:rFonts w:ascii="Arial" w:cs="Arial" w:eastAsia="Arial" w:hAnsi="Arial"/>
          <w:sz w:val="18"/>
          <w:szCs w:val="18"/>
        </w:rPr>
        <w:t xml:space="preserve">OPT-C: Accelerated delivery. State: (a) achievable FAT date (weeks from PO), (b) additional cost to achieve this, (c) specific expediting measures to be applied.</w:t>
      </w:r>
    </w:p>
    <w:p>
      <w:pPr>
        <w:pStyle w:val="ListParagraph"/>
        <w:numPr>
          <w:ilvl w:val="0"/>
          <w:numId w:val="2"/>
        </w:numPr>
        <w:spacing w:after="60" w:before="60"/>
      </w:pPr>
      <w:r>
        <w:rPr>
          <w:rFonts w:ascii="Arial" w:cs="Arial" w:eastAsia="Arial" w:hAnsi="Arial"/>
          <w:sz w:val="18"/>
          <w:szCs w:val="18"/>
        </w:rPr>
        <w:t xml:space="preserve">OPT-D: 72-hour witnessed Site Acceptance Test (SAT/site performance test) with Vendor Process Engineer on-site, including real H₂ operation and outlet gas quality verification by certified analytical laboratory sampling.</w:t>
      </w:r>
    </w:p>
    <w:p>
      <w:pPr>
        <w:spacing w:after="60" w:before="60"/>
      </w:pPr>
      <w:r>
        <w:t xml:space="preserve"/>
      </w:r>
    </w:p>
    <w:p>
      <w:pPr>
        <w:pStyle w:val="Heading2"/>
        <w:spacing w:after="120" w:before="240"/>
      </w:pPr>
      <w:r>
        <w:rPr>
          <w:rFonts w:ascii="Arial" w:cs="Arial" w:eastAsia="Arial" w:hAnsi="Arial"/>
          <w:b/>
          <w:bCs/>
          <w:color w:val="0070B8"/>
          <w:sz w:val="24"/>
          <w:szCs w:val="24"/>
        </w:rPr>
        <w:t xml:space="preserve">8.3 Deliverable Lead Time Statement</w:t>
      </w:r>
    </w:p>
    <w:p>
      <w:pPr>
        <w:spacing w:after="80" w:before="80"/>
      </w:pPr>
      <w:r>
        <w:rPr>
          <w:rFonts w:ascii="Arial" w:cs="Arial" w:eastAsia="Arial" w:hAnsi="Arial"/>
          <w:sz w:val="20"/>
          <w:szCs w:val="20"/>
        </w:rPr>
        <w:t xml:space="preserve">Vendor shall state the following lead times in the offer:</w:t>
      </w:r>
    </w:p>
    <w:p>
      <w:pPr>
        <w:pStyle w:val="ListParagraph"/>
        <w:numPr>
          <w:ilvl w:val="0"/>
          <w:numId w:val="2"/>
        </w:numPr>
        <w:spacing w:after="60" w:before="60"/>
      </w:pPr>
      <w:r>
        <w:rPr>
          <w:rFonts w:ascii="Arial" w:cs="Arial" w:eastAsia="Arial" w:hAnsi="Arial"/>
          <w:sz w:val="18"/>
          <w:szCs w:val="18"/>
        </w:rPr>
        <w:t xml:space="preserve">Weeks to commencement of fabrication (after all AFC drawings approved): ___ weeks from PO award</w:t>
      </w:r>
    </w:p>
    <w:p>
      <w:pPr>
        <w:pStyle w:val="ListParagraph"/>
        <w:numPr>
          <w:ilvl w:val="0"/>
          <w:numId w:val="2"/>
        </w:numPr>
        <w:spacing w:after="60" w:before="60"/>
      </w:pPr>
      <w:r>
        <w:rPr>
          <w:rFonts w:ascii="Arial" w:cs="Arial" w:eastAsia="Arial" w:hAnsi="Arial"/>
          <w:sz w:val="18"/>
          <w:szCs w:val="18"/>
        </w:rPr>
        <w:t xml:space="preserve">Weeks to deoxo vessel hydrostatic test: ___ weeks from PO award</w:t>
      </w:r>
    </w:p>
    <w:p>
      <w:pPr>
        <w:pStyle w:val="ListParagraph"/>
        <w:numPr>
          <w:ilvl w:val="0"/>
          <w:numId w:val="2"/>
        </w:numPr>
        <w:spacing w:after="60" w:before="60"/>
      </w:pPr>
      <w:r>
        <w:rPr>
          <w:rFonts w:ascii="Arial" w:cs="Arial" w:eastAsia="Arial" w:hAnsi="Arial"/>
          <w:sz w:val="18"/>
          <w:szCs w:val="18"/>
        </w:rPr>
        <w:t xml:space="preserve">Weeks to dryer vessel hydrostatic test: ___ weeks from PO award</w:t>
      </w:r>
    </w:p>
    <w:p>
      <w:pPr>
        <w:pStyle w:val="ListParagraph"/>
        <w:numPr>
          <w:ilvl w:val="0"/>
          <w:numId w:val="2"/>
        </w:numPr>
        <w:spacing w:after="60" w:before="60"/>
      </w:pPr>
      <w:r>
        <w:rPr>
          <w:rFonts w:ascii="Arial" w:cs="Arial" w:eastAsia="Arial" w:hAnsi="Arial"/>
          <w:sz w:val="18"/>
          <w:szCs w:val="18"/>
        </w:rPr>
        <w:t xml:space="preserve">Weeks to FAT completion: ___ weeks from PO award (target: 52 weeks)</w:t>
      </w:r>
    </w:p>
    <w:p>
      <w:pPr>
        <w:pStyle w:val="ListParagraph"/>
        <w:numPr>
          <w:ilvl w:val="0"/>
          <w:numId w:val="2"/>
        </w:numPr>
        <w:spacing w:after="60" w:before="60"/>
      </w:pPr>
      <w:r>
        <w:rPr>
          <w:rFonts w:ascii="Arial" w:cs="Arial" w:eastAsia="Arial" w:hAnsi="Arial"/>
          <w:sz w:val="18"/>
          <w:szCs w:val="18"/>
        </w:rPr>
        <w:t xml:space="preserve">Weeks to DAP delivery Al Dhafra site (after FAT): ___ weeks</w:t>
      </w:r>
    </w:p>
    <w:p>
      <w:pPr>
        <w:pStyle w:val="ListParagraph"/>
        <w:numPr>
          <w:ilvl w:val="0"/>
          <w:numId w:val="2"/>
        </w:numPr>
        <w:spacing w:after="60" w:before="60"/>
      </w:pPr>
      <w:r>
        <w:rPr>
          <w:rFonts w:ascii="Arial" w:cs="Arial" w:eastAsia="Arial" w:hAnsi="Arial"/>
          <w:sz w:val="18"/>
          <w:szCs w:val="18"/>
        </w:rPr>
        <w:t xml:space="preserve">Critical path item (vendor to identify): ___________________________________</w:t>
      </w:r>
    </w:p>
    <w:p>
      <w:pPr>
        <w:spacing w:after="60" w:before="60"/>
      </w:pPr>
      <w:r>
        <w:t xml:space="preserve"/>
      </w:r>
    </w:p>
    <w:p>
      <w:r>
        <w:br w:type="page"/>
      </w:r>
    </w:p>
    <w:p>
      <w:pPr>
        <w:pStyle w:val="Heading1"/>
        <w:pBdr>
          <w:bottom w:val="single" w:color="007A7C" w:sz="10" w:space="4"/>
        </w:pBdr>
        <w:spacing w:after="180" w:before="360"/>
      </w:pPr>
      <w:r>
        <w:rPr>
          <w:rFonts w:ascii="Arial" w:cs="Arial" w:eastAsia="Arial" w:hAnsi="Arial"/>
          <w:b/>
          <w:bCs/>
          <w:color w:val="0A2240"/>
          <w:sz w:val="28"/>
          <w:szCs w:val="28"/>
        </w:rPr>
        <w:t xml:space="preserve">9. DOCUMENTATION REQUIREMENTS</w:t>
      </w:r>
    </w:p>
    <w:p>
      <w:pPr>
        <w:pStyle w:val="Heading2"/>
        <w:spacing w:after="120" w:before="240"/>
      </w:pPr>
      <w:r>
        <w:rPr>
          <w:rFonts w:ascii="Arial" w:cs="Arial" w:eastAsia="Arial" w:hAnsi="Arial"/>
          <w:b/>
          <w:bCs/>
          <w:color w:val="0070B8"/>
          <w:sz w:val="24"/>
          <w:szCs w:val="24"/>
        </w:rPr>
        <w:t xml:space="preserve">9.1 Vendor Documents Required with Offer</w:t>
      </w:r>
    </w:p>
    <w:p>
      <w:pPr>
        <w:pStyle w:val="ListParagraph"/>
        <w:numPr>
          <w:ilvl w:val="0"/>
          <w:numId w:val="2"/>
        </w:numPr>
        <w:spacing w:after="60" w:before="60"/>
      </w:pPr>
      <w:r>
        <w:rPr>
          <w:rFonts w:ascii="Arial" w:cs="Arial" w:eastAsia="Arial" w:hAnsi="Arial"/>
          <w:sz w:val="18"/>
          <w:szCs w:val="18"/>
        </w:rPr>
        <w:t xml:space="preserve">Technical Compliance Schedule (TCS) – every clause of RFQ and PSR addressed</w:t>
      </w:r>
    </w:p>
    <w:p>
      <w:pPr>
        <w:pStyle w:val="ListParagraph"/>
        <w:numPr>
          <w:ilvl w:val="0"/>
          <w:numId w:val="2"/>
        </w:numPr>
        <w:spacing w:after="60" w:before="60"/>
      </w:pPr>
      <w:r>
        <w:rPr>
          <w:rFonts w:ascii="Arial" w:cs="Arial" w:eastAsia="Arial" w:hAnsi="Arial"/>
          <w:sz w:val="18"/>
          <w:szCs w:val="18"/>
        </w:rPr>
        <w:t xml:space="preserve">Outlet Gas Quality Guarantee Sheet – every ISO 14687 parameter addressed</w:t>
      </w:r>
    </w:p>
    <w:p>
      <w:pPr>
        <w:pStyle w:val="ListParagraph"/>
        <w:numPr>
          <w:ilvl w:val="0"/>
          <w:numId w:val="2"/>
        </w:numPr>
        <w:spacing w:after="60" w:before="60"/>
      </w:pPr>
      <w:r>
        <w:rPr>
          <w:rFonts w:ascii="Arial" w:cs="Arial" w:eastAsia="Arial" w:hAnsi="Arial"/>
          <w:sz w:val="18"/>
          <w:szCs w:val="18"/>
        </w:rPr>
        <w:t xml:space="preserve">Preliminary Process Description + Block Flow Diagram of proposed HPDU sequence</w:t>
      </w:r>
    </w:p>
    <w:p>
      <w:pPr>
        <w:pStyle w:val="ListParagraph"/>
        <w:numPr>
          <w:ilvl w:val="0"/>
          <w:numId w:val="2"/>
        </w:numPr>
        <w:spacing w:after="60" w:before="60"/>
      </w:pPr>
      <w:r>
        <w:rPr>
          <w:rFonts w:ascii="Arial" w:cs="Arial" w:eastAsia="Arial" w:hAnsi="Arial"/>
          <w:sz w:val="18"/>
          <w:szCs w:val="18"/>
        </w:rPr>
        <w:t xml:space="preserve">Preliminary equipment list (vessel sizing basis, catalyst quantity, sieve quantity)</w:t>
      </w:r>
    </w:p>
    <w:p>
      <w:pPr>
        <w:pStyle w:val="ListParagraph"/>
        <w:numPr>
          <w:ilvl w:val="0"/>
          <w:numId w:val="2"/>
        </w:numPr>
        <w:spacing w:after="60" w:before="60"/>
      </w:pPr>
      <w:r>
        <w:rPr>
          <w:rFonts w:ascii="Arial" w:cs="Arial" w:eastAsia="Arial" w:hAnsi="Arial"/>
          <w:sz w:val="18"/>
          <w:szCs w:val="18"/>
        </w:rPr>
        <w:t xml:space="preserve">Deoxo reactor adiabatic temperature rise calculation (9 scenarios as specified in Sect. 2.3)</w:t>
      </w:r>
    </w:p>
    <w:p>
      <w:pPr>
        <w:pStyle w:val="ListParagraph"/>
        <w:numPr>
          <w:ilvl w:val="0"/>
          <w:numId w:val="2"/>
        </w:numPr>
        <w:spacing w:after="60" w:before="60"/>
      </w:pPr>
      <w:r>
        <w:rPr>
          <w:rFonts w:ascii="Arial" w:cs="Arial" w:eastAsia="Arial" w:hAnsi="Arial"/>
          <w:sz w:val="18"/>
          <w:szCs w:val="18"/>
        </w:rPr>
        <w:t xml:space="preserve">TSA cycle simulation / bed sizing summary</w:t>
      </w:r>
    </w:p>
    <w:p>
      <w:pPr>
        <w:pStyle w:val="ListParagraph"/>
        <w:numPr>
          <w:ilvl w:val="0"/>
          <w:numId w:val="2"/>
        </w:numPr>
        <w:spacing w:after="60" w:before="60"/>
      </w:pPr>
      <w:r>
        <w:rPr>
          <w:rFonts w:ascii="Arial" w:cs="Arial" w:eastAsia="Arial" w:hAnsi="Arial"/>
          <w:sz w:val="18"/>
          <w:szCs w:val="18"/>
        </w:rPr>
        <w:t xml:space="preserve">Catalyst data sheet (deoxo catalyst and sieve) – manufacturer's product data</w:t>
      </w:r>
    </w:p>
    <w:p>
      <w:pPr>
        <w:pStyle w:val="ListParagraph"/>
        <w:numPr>
          <w:ilvl w:val="0"/>
          <w:numId w:val="2"/>
        </w:numPr>
        <w:spacing w:after="60" w:before="60"/>
      </w:pPr>
      <w:r>
        <w:rPr>
          <w:rFonts w:ascii="Arial" w:cs="Arial" w:eastAsia="Arial" w:hAnsi="Arial"/>
          <w:sz w:val="18"/>
          <w:szCs w:val="18"/>
        </w:rPr>
        <w:t xml:space="preserve">H₂ service references (minimum 3 deoxo and/or H₂ TSA drying installations)</w:t>
      </w:r>
    </w:p>
    <w:p>
      <w:pPr>
        <w:pStyle w:val="ListParagraph"/>
        <w:numPr>
          <w:ilvl w:val="0"/>
          <w:numId w:val="2"/>
        </w:numPr>
        <w:spacing w:after="60" w:before="60"/>
      </w:pPr>
      <w:r>
        <w:rPr>
          <w:rFonts w:ascii="Arial" w:cs="Arial" w:eastAsia="Arial" w:hAnsi="Arial"/>
          <w:sz w:val="18"/>
          <w:szCs w:val="18"/>
        </w:rPr>
        <w:t xml:space="preserve">ISO 9001:2015 certificate + ATEX IIC certificates for key equipment samples</w:t>
      </w:r>
    </w:p>
    <w:p>
      <w:pPr>
        <w:pStyle w:val="ListParagraph"/>
        <w:numPr>
          <w:ilvl w:val="0"/>
          <w:numId w:val="2"/>
        </w:numPr>
        <w:spacing w:after="60" w:before="60"/>
      </w:pPr>
      <w:r>
        <w:rPr>
          <w:rFonts w:ascii="Arial" w:cs="Arial" w:eastAsia="Arial" w:hAnsi="Arial"/>
          <w:sz w:val="18"/>
          <w:szCs w:val="18"/>
        </w:rPr>
        <w:t xml:space="preserve">Preliminary project schedule (Gantt chart showing path to FAT)</w:t>
      </w:r>
    </w:p>
    <w:p>
      <w:pPr>
        <w:pStyle w:val="ListParagraph"/>
        <w:numPr>
          <w:ilvl w:val="0"/>
          <w:numId w:val="2"/>
        </w:numPr>
        <w:spacing w:after="60" w:before="60"/>
      </w:pPr>
      <w:r>
        <w:rPr>
          <w:rFonts w:ascii="Arial" w:cs="Arial" w:eastAsia="Arial" w:hAnsi="Arial"/>
          <w:sz w:val="18"/>
          <w:szCs w:val="18"/>
        </w:rPr>
        <w:t xml:space="preserve">Exceptions and deviations register</w:t>
      </w:r>
    </w:p>
    <w:p>
      <w:pPr>
        <w:spacing w:after="60" w:before="60"/>
      </w:pPr>
      <w:r>
        <w:t xml:space="preserve"/>
      </w:r>
    </w:p>
    <w:p>
      <w:pPr>
        <w:pStyle w:val="Heading2"/>
        <w:spacing w:after="120" w:before="240"/>
      </w:pPr>
      <w:r>
        <w:rPr>
          <w:rFonts w:ascii="Arial" w:cs="Arial" w:eastAsia="Arial" w:hAnsi="Arial"/>
          <w:b/>
          <w:bCs/>
          <w:color w:val="0070B8"/>
          <w:sz w:val="24"/>
          <w:szCs w:val="24"/>
        </w:rPr>
        <w:t xml:space="preserve">9.2 Documents Required During Project Execution (Post-PO)</w:t>
      </w:r>
    </w:p>
    <w:p>
      <w:pPr>
        <w:spacing w:after="80" w:before="80"/>
      </w:pPr>
      <w:r>
        <w:rPr>
          <w:rFonts w:ascii="Arial" w:cs="Arial" w:eastAsia="Arial" w:hAnsi="Arial"/>
          <w:sz w:val="20"/>
          <w:szCs w:val="20"/>
        </w:rPr>
        <w:t xml:space="preserve">Vendor to submit a full Vendor Document Register (VDR) within 3 weeks of PO award. The following is the minimum document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660"/>
        <w:gridCol w:w="1200"/>
        <w:gridCol w:w="1200"/>
        <w:gridCol w:w="1800"/>
      </w:tblGrid>
      <w:tr>
        <w:tc>
          <w:tcPr>
            <w:tcW w:type="dxa" w:w="50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466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 Title</w:t>
            </w:r>
          </w:p>
        </w:tc>
        <w:tc>
          <w:tcPr>
            <w:tcW w:type="dxa" w:w="120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 Code</w:t>
            </w:r>
          </w:p>
        </w:tc>
        <w:tc>
          <w:tcPr>
            <w:tcW w:type="dxa" w:w="120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Timing</w:t>
            </w:r>
          </w:p>
        </w:tc>
        <w:tc>
          <w:tcPr>
            <w:tcW w:type="dxa" w:w="1800"/>
            <w:gridSpan w:val="1"/>
            <w:tcBorders>
              <w:top w:val="single" w:color="B0BEC5" w:sz="1"/>
              <w:left w:val="single" w:color="B0BEC5" w:sz="1"/>
              <w:bottom w:val="single" w:color="B0BEC5" w:sz="1"/>
              <w:right w:val="single" w:color="B0BEC5" w:sz="1"/>
            </w:tcBorders>
            <w:shd w:fill="007A7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Remarks</w:t>
            </w:r>
          </w:p>
        </w:tc>
      </w:tr>
      <w:tr>
        <w:tc>
          <w:tcPr>
            <w:tcW w:type="dxa" w:w="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D-01</w:t>
            </w:r>
          </w:p>
        </w:tc>
        <w:tc>
          <w:tcPr>
            <w:tcW w:type="dxa" w:w="46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Process Flow Diagram (PFD) – including deoxo + TSA system</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AFC</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W6</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Stream table required</w:t>
            </w:r>
          </w:p>
        </w:tc>
      </w:tr>
      <w:tr>
        <w:tc>
          <w:tcPr>
            <w:tcW w:type="dxa" w:w="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D-02</w:t>
            </w:r>
          </w:p>
        </w:tc>
        <w:tc>
          <w:tcPr>
            <w:tcW w:type="dxa" w:w="46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Piping &amp; Instrumentation Diagram (P&amp;ID) – complete HPDU</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AFC</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W8</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HAZOP basis</w:t>
            </w:r>
          </w:p>
        </w:tc>
      </w:tr>
      <w:tr>
        <w:tc>
          <w:tcPr>
            <w:tcW w:type="dxa" w:w="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D-03</w:t>
            </w:r>
          </w:p>
        </w:tc>
        <w:tc>
          <w:tcPr>
            <w:tcW w:type="dxa" w:w="46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Equipment Data Sheets (all vessels, HEXs, heaters, filters)</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AFC</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W8</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Including deoxo reactor</w:t>
            </w:r>
          </w:p>
        </w:tc>
      </w:tr>
      <w:tr>
        <w:tc>
          <w:tcPr>
            <w:tcW w:type="dxa" w:w="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D-04</w:t>
            </w:r>
          </w:p>
        </w:tc>
        <w:tc>
          <w:tcPr>
            <w:tcW w:type="dxa" w:w="46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Valve Data Sheets (all process, actuated, and safety valves)</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AFC</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W10</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ATEX certs attached</w:t>
            </w:r>
          </w:p>
        </w:tc>
      </w:tr>
      <w:tr>
        <w:tc>
          <w:tcPr>
            <w:tcW w:type="dxa" w:w="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D-05</w:t>
            </w:r>
          </w:p>
        </w:tc>
        <w:tc>
          <w:tcPr>
            <w:tcW w:type="dxa" w:w="46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Instrument Data Sheets (all field instruments, analyzers)</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AFC</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W10</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ATEX certs attached</w:t>
            </w:r>
          </w:p>
        </w:tc>
      </w:tr>
      <w:tr>
        <w:tc>
          <w:tcPr>
            <w:tcW w:type="dxa" w:w="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D-06</w:t>
            </w:r>
          </w:p>
        </w:tc>
        <w:tc>
          <w:tcPr>
            <w:tcW w:type="dxa" w:w="46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Design Calculations – Deoxo Reactor (thermal + mechanical)</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AFC</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W10</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Adiabatic T-rise scenarios</w:t>
            </w:r>
          </w:p>
        </w:tc>
      </w:tr>
      <w:tr>
        <w:tc>
          <w:tcPr>
            <w:tcW w:type="dxa" w:w="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D-07</w:t>
            </w:r>
          </w:p>
        </w:tc>
        <w:tc>
          <w:tcPr>
            <w:tcW w:type="dxa" w:w="46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Design Calculations – TSA Vessels (mechanical, ASME VIII)</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AFC</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W12</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Include sieve calc</w:t>
            </w:r>
          </w:p>
        </w:tc>
      </w:tr>
      <w:tr>
        <w:tc>
          <w:tcPr>
            <w:tcW w:type="dxa" w:w="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D-08</w:t>
            </w:r>
          </w:p>
        </w:tc>
        <w:tc>
          <w:tcPr>
            <w:tcW w:type="dxa" w:w="46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TSA Cycle Simulation Report (bed sizing, breakthrough modeling)</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AFC</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W10</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Confirms outlet spec</w:t>
            </w:r>
          </w:p>
        </w:tc>
      </w:tr>
      <w:tr>
        <w:tc>
          <w:tcPr>
            <w:tcW w:type="dxa" w:w="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D-09</w:t>
            </w:r>
          </w:p>
        </w:tc>
        <w:tc>
          <w:tcPr>
            <w:tcW w:type="dxa" w:w="46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Cause &amp; Effect (C&amp;E) Matrix / ESD logic</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AFC</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W12</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SIL 2 functions highlighted</w:t>
            </w:r>
          </w:p>
        </w:tc>
      </w:tr>
      <w:tr>
        <w:tc>
          <w:tcPr>
            <w:tcW w:type="dxa" w:w="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D-10</w:t>
            </w:r>
          </w:p>
        </w:tc>
        <w:tc>
          <w:tcPr>
            <w:tcW w:type="dxa" w:w="46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PLC Functional Design Specification (FDS)</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AFC</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W14</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TSA sequencer logic</w:t>
            </w:r>
          </w:p>
        </w:tc>
      </w:tr>
      <w:tr>
        <w:tc>
          <w:tcPr>
            <w:tcW w:type="dxa" w:w="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D-11</w:t>
            </w:r>
          </w:p>
        </w:tc>
        <w:tc>
          <w:tcPr>
            <w:tcW w:type="dxa" w:w="46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SIL Assessment Report (IEC 61511)</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AFC</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W16</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SIL 2 ESD functions</w:t>
            </w:r>
          </w:p>
        </w:tc>
      </w:tr>
      <w:tr>
        <w:tc>
          <w:tcPr>
            <w:tcW w:type="dxa" w:w="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D-12</w:t>
            </w:r>
          </w:p>
        </w:tc>
        <w:tc>
          <w:tcPr>
            <w:tcW w:type="dxa" w:w="46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ATEX Area Classification Drawing</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AFC</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W8</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Zone 1 / Zone 2 / Zone 0</w:t>
            </w:r>
          </w:p>
        </w:tc>
      </w:tr>
      <w:tr>
        <w:tc>
          <w:tcPr>
            <w:tcW w:type="dxa" w:w="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D-13</w:t>
            </w:r>
          </w:p>
        </w:tc>
        <w:tc>
          <w:tcPr>
            <w:tcW w:type="dxa" w:w="46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General Arrangement Drawing (GAD)</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AFC</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W12</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3D model preferred</w:t>
            </w:r>
          </w:p>
        </w:tc>
      </w:tr>
      <w:tr>
        <w:tc>
          <w:tcPr>
            <w:tcW w:type="dxa" w:w="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D-14</w:t>
            </w:r>
          </w:p>
        </w:tc>
        <w:tc>
          <w:tcPr>
            <w:tcW w:type="dxa" w:w="46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Piping Isometrics (H₂ service)</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AFC</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W18</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100% RT welds noted</w:t>
            </w:r>
          </w:p>
        </w:tc>
      </w:tr>
      <w:tr>
        <w:tc>
          <w:tcPr>
            <w:tcW w:type="dxa" w:w="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D-15</w:t>
            </w:r>
          </w:p>
        </w:tc>
        <w:tc>
          <w:tcPr>
            <w:tcW w:type="dxa" w:w="46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Electrical Single Line Diagram (SLD)</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AFC</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W14</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D-16</w:t>
            </w:r>
          </w:p>
        </w:tc>
        <w:tc>
          <w:tcPr>
            <w:tcW w:type="dxa" w:w="46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Inspection and Test Plan (ITP)</w:t>
            </w:r>
          </w:p>
        </w:tc>
        <w:tc>
          <w:tcPr>
            <w:tcW w:type="dxa" w:w="1200"/>
            <w:gridSpan w:val="1"/>
            <w:tcBorders>
              <w:top w:val="single" w:color="B0BEC5" w:sz="1"/>
              <w:left w:val="single" w:color="B0BEC5" w:sz="1"/>
              <w:bottom w:val="single" w:color="B0BEC5" w:sz="1"/>
              <w:right w:val="single" w:color="B0BEC5" w:sz="1"/>
            </w:tcBorders>
            <w:shd w:fill="FFF9C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AFR</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W6</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HOLD points listed</w:t>
            </w:r>
          </w:p>
        </w:tc>
      </w:tr>
      <w:tr>
        <w:tc>
          <w:tcPr>
            <w:tcW w:type="dxa" w:w="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D-17</w:t>
            </w:r>
          </w:p>
        </w:tc>
        <w:tc>
          <w:tcPr>
            <w:tcW w:type="dxa" w:w="46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Catalyst Technical Data Sheet + MSDS</w:t>
            </w:r>
          </w:p>
        </w:tc>
        <w:tc>
          <w:tcPr>
            <w:tcW w:type="dxa" w:w="1200"/>
            <w:gridSpan w:val="1"/>
            <w:tcBorders>
              <w:top w:val="single" w:color="B0BEC5" w:sz="1"/>
              <w:left w:val="single" w:color="B0BEC5" w:sz="1"/>
              <w:bottom w:val="single" w:color="B0BEC5" w:sz="1"/>
              <w:right w:val="single" w:color="B0BEC5" w:sz="1"/>
            </w:tcBorders>
            <w:shd w:fill="EAF5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AFI</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W4</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Both catalysts</w:t>
            </w:r>
          </w:p>
        </w:tc>
      </w:tr>
      <w:tr>
        <w:tc>
          <w:tcPr>
            <w:tcW w:type="dxa" w:w="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D-18</w:t>
            </w:r>
          </w:p>
        </w:tc>
        <w:tc>
          <w:tcPr>
            <w:tcW w:type="dxa" w:w="46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Sieve / Adsorbent Technical Data Sheets + MSDS</w:t>
            </w:r>
          </w:p>
        </w:tc>
        <w:tc>
          <w:tcPr>
            <w:tcW w:type="dxa" w:w="1200"/>
            <w:gridSpan w:val="1"/>
            <w:tcBorders>
              <w:top w:val="single" w:color="B0BEC5" w:sz="1"/>
              <w:left w:val="single" w:color="B0BEC5" w:sz="1"/>
              <w:bottom w:val="single" w:color="B0BEC5" w:sz="1"/>
              <w:right w:val="single" w:color="B0BEC5" w:sz="1"/>
            </w:tcBorders>
            <w:shd w:fill="EAF5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AFI</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W4</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adsorbents</w:t>
            </w:r>
          </w:p>
        </w:tc>
      </w:tr>
      <w:tr>
        <w:tc>
          <w:tcPr>
            <w:tcW w:type="dxa" w:w="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D-19</w:t>
            </w:r>
          </w:p>
        </w:tc>
        <w:tc>
          <w:tcPr>
            <w:tcW w:type="dxa" w:w="46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Piping Material Class (PMC) – H₂ service</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AFC</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W8</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B31.12 compliant</w:t>
            </w:r>
          </w:p>
        </w:tc>
      </w:tr>
      <w:tr>
        <w:tc>
          <w:tcPr>
            <w:tcW w:type="dxa" w:w="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D-20</w:t>
            </w:r>
          </w:p>
        </w:tc>
        <w:tc>
          <w:tcPr>
            <w:tcW w:type="dxa" w:w="46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Painting / Coating Specification</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AFC</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W10</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C3 ISO 12944</w:t>
            </w:r>
          </w:p>
        </w:tc>
      </w:tr>
      <w:tr>
        <w:tc>
          <w:tcPr>
            <w:tcW w:type="dxa" w:w="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D-21</w:t>
            </w:r>
          </w:p>
        </w:tc>
        <w:tc>
          <w:tcPr>
            <w:tcW w:type="dxa" w:w="46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FAT Procedure</w:t>
            </w:r>
          </w:p>
        </w:tc>
        <w:tc>
          <w:tcPr>
            <w:tcW w:type="dxa" w:w="1200"/>
            <w:gridSpan w:val="1"/>
            <w:tcBorders>
              <w:top w:val="single" w:color="B0BEC5" w:sz="1"/>
              <w:left w:val="single" w:color="B0BEC5" w:sz="1"/>
              <w:bottom w:val="single" w:color="B0BEC5" w:sz="1"/>
              <w:right w:val="single" w:color="B0BEC5" w:sz="1"/>
            </w:tcBorders>
            <w:shd w:fill="FFF9C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AFR</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W28</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MPE to review/approve</w:t>
            </w:r>
          </w:p>
        </w:tc>
      </w:tr>
      <w:tr>
        <w:tc>
          <w:tcPr>
            <w:tcW w:type="dxa" w:w="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D-22</w:t>
            </w:r>
          </w:p>
        </w:tc>
        <w:tc>
          <w:tcPr>
            <w:tcW w:type="dxa" w:w="46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O&amp;M Manual (English + Arabic)</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AFC</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W36</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Before shipment</w:t>
            </w:r>
          </w:p>
        </w:tc>
      </w:tr>
      <w:tr>
        <w:tc>
          <w:tcPr>
            <w:tcW w:type="dxa" w:w="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D-23</w:t>
            </w:r>
          </w:p>
        </w:tc>
        <w:tc>
          <w:tcPr>
            <w:tcW w:type="dxa" w:w="46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As-Built Drawings (AFC + redlines)</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AFC</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W38</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At shipment</w:t>
            </w:r>
          </w:p>
        </w:tc>
      </w:tr>
      <w:tr>
        <w:tc>
          <w:tcPr>
            <w:tcW w:type="dxa" w:w="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D-24</w:t>
            </w:r>
          </w:p>
        </w:tc>
        <w:tc>
          <w:tcPr>
            <w:tcW w:type="dxa" w:w="46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MDR – Manufacturer's Data Record (complete documentation package)</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AFC</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W38</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 10204 3.1 certs incl.</w:t>
            </w:r>
          </w:p>
        </w:tc>
      </w:tr>
      <w:tr>
        <w:tc>
          <w:tcPr>
            <w:tcW w:type="dxa" w:w="5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D-25</w:t>
            </w:r>
          </w:p>
        </w:tc>
        <w:tc>
          <w:tcPr>
            <w:tcW w:type="dxa" w:w="46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Spent Catalyst Handling / Disposal Procedure</w:t>
            </w:r>
          </w:p>
        </w:tc>
        <w:tc>
          <w:tcPr>
            <w:tcW w:type="dxa" w:w="1200"/>
            <w:gridSpan w:val="1"/>
            <w:tcBorders>
              <w:top w:val="single" w:color="B0BEC5" w:sz="1"/>
              <w:left w:val="single" w:color="B0BEC5" w:sz="1"/>
              <w:bottom w:val="single" w:color="B0BEC5" w:sz="1"/>
              <w:right w:val="single" w:color="B0BEC5" w:sz="1"/>
            </w:tcBorders>
            <w:shd w:fill="DFF0D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AFC</w:t>
            </w:r>
          </w:p>
        </w:tc>
        <w:tc>
          <w:tcPr>
            <w:tcW w:type="dxa" w:w="12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W20</w:t>
            </w:r>
          </w:p>
        </w:tc>
        <w:tc>
          <w:tcPr>
            <w:tcW w:type="dxa" w:w="180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H₂ safety critical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E8F4FD" w:val="clear"/>
            <w:tcMar>
              <w:top w:type="dxa" w:w="100"/>
              <w:left w:type="dxa" w:w="200"/>
              <w:bottom w:type="dxa" w:w="100"/>
              <w:right w:type="dxa" w:w="200"/>
            </w:tcMar>
          </w:tcPr>
          <w:p>
            <w:r>
              <w:rPr>
                <w:rFonts w:ascii="Arial" w:cs="Arial" w:eastAsia="Arial" w:hAnsi="Arial"/>
                <w:b/>
                <w:bCs/>
                <w:color w:val="0A2240"/>
                <w:sz w:val="18"/>
                <w:szCs w:val="18"/>
              </w:rPr>
              <w:t xml:space="preserve">📝 NOTE: </w:t>
            </w:r>
            <w:r>
              <w:rPr>
                <w:rFonts w:ascii="Arial" w:cs="Arial" w:eastAsia="Arial" w:hAnsi="Arial"/>
                <w:color w:val="333333"/>
                <w:sz w:val="18"/>
                <w:szCs w:val="18"/>
              </w:rPr>
              <w:t xml:space="preserve">PURPOSE CODES: AFC = Approved for Construction; AFR = Approved for Review; AFI = Approved for Information. All documents to be submitted via MPE document control system (DMS). W-numbers indicate weeks from PO award.</w:t>
            </w:r>
          </w:p>
        </w:tc>
      </w:tr>
    </w:tbl>
    <w:p>
      <w:pPr>
        <w:spacing w:after="60" w:before="60"/>
      </w:pPr>
      <w:r>
        <w:t xml:space="preserve"/>
      </w:r>
    </w:p>
    <w:p>
      <w:r>
        <w:br w:type="page"/>
      </w:r>
    </w:p>
    <w:p>
      <w:pPr>
        <w:pStyle w:val="Heading1"/>
        <w:pBdr>
          <w:bottom w:val="single" w:color="007A7C" w:sz="10" w:space="4"/>
        </w:pBdr>
        <w:spacing w:after="180" w:before="360"/>
      </w:pPr>
      <w:r>
        <w:rPr>
          <w:rFonts w:ascii="Arial" w:cs="Arial" w:eastAsia="Arial" w:hAnsi="Arial"/>
          <w:b/>
          <w:bCs/>
          <w:color w:val="0A2240"/>
          <w:sz w:val="28"/>
          <w:szCs w:val="28"/>
        </w:rPr>
        <w:t xml:space="preserve">10. CONTACTS AND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B0BEC5" w:sz="1"/>
              <w:left w:val="single" w:color="B0BEC5" w:sz="1"/>
              <w:bottom w:val="single" w:color="B0BEC5" w:sz="1"/>
              <w:right w:val="single" w:color="B0BEC5" w:sz="1"/>
            </w:tcBorders>
            <w:shd w:fill="0A224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Contact Role</w:t>
            </w:r>
          </w:p>
        </w:tc>
        <w:tc>
          <w:tcPr>
            <w:tcW w:type="dxa" w:w="6360"/>
            <w:gridSpan w:val="1"/>
            <w:tcBorders>
              <w:top w:val="single" w:color="B0BEC5" w:sz="1"/>
              <w:left w:val="single" w:color="B0BEC5" w:sz="1"/>
              <w:bottom w:val="single" w:color="B0BEC5" w:sz="1"/>
              <w:right w:val="single" w:color="B0BEC5" w:sz="1"/>
            </w:tcBorders>
            <w:shd w:fill="0A224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3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Technical Lead (Process)</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Dr. Fatima Al-Rashidi, Process Engineering Lead
f.alrashidi@mpeabudhabi.ae  |  +971 2 501 9200</w:t>
            </w:r>
          </w:p>
        </w:tc>
      </w:tr>
      <w:tr>
        <w:tc>
          <w:tcPr>
            <w:tcW w:type="dxa" w:w="3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Technical Support (Mechanical)</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Eng. Omar Haddad, Senior Mechanical Engineer
o.haddad@mpeabudhabi.ae  |  +971 2 501 9210</w:t>
            </w:r>
          </w:p>
        </w:tc>
      </w:tr>
      <w:tr>
        <w:tc>
          <w:tcPr>
            <w:tcW w:type="dxa" w:w="3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Procurement Lead</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Mr. Khalid Nasser, Senior Procurement Manager
k.nasser@mpeabudhabi.ae  |  +971 2 501 9300</w:t>
            </w:r>
          </w:p>
        </w:tc>
      </w:tr>
      <w:tr>
        <w:tc>
          <w:tcPr>
            <w:tcW w:type="dxa" w:w="3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Document Control</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MPE DMS Portal: https://tenders.mpeabudhabi.ae
(credentials provided to registered vendors)</w:t>
            </w:r>
          </w:p>
        </w:tc>
      </w:tr>
      <w:tr>
        <w:tc>
          <w:tcPr>
            <w:tcW w:type="dxa" w:w="3000"/>
            <w:gridSpan w:val="1"/>
            <w:tcBorders>
              <w:top w:val="single" w:color="B0BEC5" w:sz="1"/>
              <w:left w:val="single" w:color="B0BEC5" w:sz="1"/>
              <w:bottom w:val="single" w:color="B0BEC5" w:sz="1"/>
              <w:right w:val="single" w:color="B0BEC5" w:sz="1"/>
            </w:tcBorders>
            <w:shd w:fill="E6EFF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MPE Office Address</w:t>
            </w:r>
          </w:p>
        </w:tc>
        <w:tc>
          <w:tcPr>
            <w:tcW w:type="dxa" w:w="6360"/>
            <w:gridSpan w:val="1"/>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MENA Process Engineering LLC, Mussafah Industrial Area M-44,
Abu Dhabi, UAE, P.O. Box 47282</w:t>
            </w:r>
          </w:p>
        </w:tc>
      </w:tr>
    </w:tbl>
    <w:p>
      <w:pPr>
        <w:spacing w:after="60" w:before="60"/>
      </w:pPr>
      <w:r>
        <w:t xml:space="preserve"/>
      </w:r>
    </w:p>
    <w:p>
      <w:pPr>
        <w:spacing w:after="80" w:before="80"/>
      </w:pPr>
      <w:r>
        <w:rPr>
          <w:rFonts w:ascii="Arial" w:cs="Arial" w:eastAsia="Arial" w:hAnsi="Arial"/>
          <w:sz w:val="20"/>
          <w:szCs w:val="20"/>
        </w:rPr>
        <w:t xml:space="preserve">All technical queries must be submitted through the MPE Tender Portal as formal RFIs. Telephone queries will not constitute official responses. MPE will issue consolidated clarification addenda to all registered bidders. No direct communication between Vendor and Client (Masdar) is permitted during the bid period — all communication must be routed through MPE Procurement.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3CD" w:val="clear"/>
            <w:tcMar>
              <w:top w:type="dxa" w:w="100"/>
              <w:left w:type="dxa" w:w="200"/>
              <w:bottom w:type="dxa" w:w="100"/>
              <w:right w:type="dxa" w:w="200"/>
            </w:tcMar>
          </w:tcPr>
          <w:p>
            <w:r>
              <w:rPr>
                <w:rFonts w:ascii="Arial" w:cs="Arial" w:eastAsia="Arial" w:hAnsi="Arial"/>
                <w:b/>
                <w:bCs/>
                <w:color w:val="7B4F00"/>
                <w:sz w:val="19"/>
                <w:szCs w:val="19"/>
              </w:rPr>
              <w:t xml:space="preserve">⚠ CAUTION: </w:t>
            </w:r>
            <w:r>
              <w:rPr>
                <w:rFonts w:ascii="Arial" w:cs="Arial" w:eastAsia="Arial" w:hAnsi="Arial"/>
                <w:color w:val="7B4F00"/>
                <w:sz w:val="18"/>
                <w:szCs w:val="18"/>
              </w:rPr>
              <w:t xml:space="preserve">This RFQ document and all technical information contained herein are CONFIDENTIAL and proprietary to MENA Process Engineering LLC and Masdar Green Hydrogen Co. LLC. Disclosure to third parties is prohibited without written consent. Return all documents if a bid is not submitted.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A7C" w:sz="6" w:space="4"/>
      </w:pBdr>
      <w:jc w:val="center"/>
    </w:pPr>
    <w:r>
      <w:rPr>
        <w:rFonts w:ascii="Arial" w:cs="Arial" w:eastAsia="Arial" w:hAnsi="Arial"/>
        <w:color w:val="555555"/>
        <w:sz w:val="16"/>
        <w:szCs w:val="16"/>
      </w:rPr>
      <w:t xml:space="preserve">CONFIDENTIAL – FOR VENDOR BID USE ONLY    |    Page </w:t>
    </w:r>
    <w:fldSimple w:instr="PAGE"/>
    <w:r>
      <w:rPr>
        <w:rFonts w:ascii="Arial" w:cs="Arial" w:eastAsia="Arial" w:hAnsi="Arial"/>
        <w:color w:val="555555"/>
        <w:sz w:val="16"/>
        <w:szCs w:val="16"/>
      </w:rPr>
      <w:t xml:space="preserve"> of </w:t>
    </w:r>
    <w:fldSimple w:instr="NUMPAGES"/>
    <w:r>
      <w:rPr>
        <w:rFonts w:ascii="Arial" w:cs="Arial" w:eastAsia="Arial" w:hAnsi="Arial"/>
        <w:color w:val="555555"/>
        <w:sz w:val="16"/>
        <w:szCs w:val="16"/>
      </w:rPr>
      <w:t xml:space="preserve">    |    © 2026 MENA Process Engineering LLC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A7C" w:sz="6" w:space="4"/>
      </w:pBdr>
    </w:pPr>
    <w:r>
      <w:rPr>
        <w:rFonts w:ascii="Arial" w:cs="Arial" w:eastAsia="Arial" w:hAnsi="Arial"/>
        <w:b/>
        <w:bCs/>
        <w:color w:val="0A2240"/>
        <w:sz w:val="18"/>
        <w:szCs w:val="18"/>
      </w:rPr>
      <w:t xml:space="preserve">MASDAR GREEN HYDROGEN CO. LLC  /  MENA PROCESS ENGINEERING LLC    |    </w:t>
    </w:r>
    <w:r>
      <w:rPr>
        <w:rFonts w:ascii="Arial" w:cs="Arial" w:eastAsia="Arial" w:hAnsi="Arial"/>
        <w:color w:val="555555"/>
        <w:sz w:val="16"/>
        <w:szCs w:val="16"/>
      </w:rPr>
      <w:t xml:space="preserve">RFQ – Hydrogen Purification &amp; Drying Unit    |    MPE-AGHP-2026-003-RFQ-HPDU-001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224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070B8"/>
      <w:sz w:val="24"/>
      <w:szCs w:val="24"/>
    </w:rPr>
  </w:style>
  <w:style w:type="paragraph" w:styleId="Heading3">
    <w:name w:val="Heading 3"/>
    <w:basedOn w:val="Normal"/>
    <w:next w:val="Normal"/>
    <w:qFormat/>
    <w:pPr>
      <w:spacing w:after="80" w:before="160"/>
      <w:outlineLvl w:val="2"/>
    </w:pPr>
    <w:rPr>
      <w:rFonts w:ascii="Arial" w:cs="Arial" w:eastAsia="Arial" w:hAnsi="Arial"/>
      <w:b/>
      <w:bCs/>
      <w:color w:val="0A22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2026-03-12T11:57:16.216Z</dcterms:created>
  <dcterms:modified xsi:type="dcterms:W3CDTF">2026-03-12T11:57:16.219Z</dcterms:modified>
</cp:coreProperties>
</file>

<file path=docProps/custom.xml><?xml version="1.0" encoding="utf-8"?>
<Properties xmlns="http://schemas.openxmlformats.org/officeDocument/2006/custom-properties" xmlns:vt="http://schemas.openxmlformats.org/officeDocument/2006/docPropsVTypes"/>
</file>