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300"/>
        <w:jc w:val="center"/>
      </w:pPr>
      <w:r>
        <w:rPr>
          <w:b/>
          <w:bCs/>
          <w:color w:val="1F4E6B"/>
          <w:spacing w:val="70"/>
          <w:sz w:val="40"/>
          <w:szCs w:val="40"/>
        </w:rPr>
        <w:t xml:space="preserve">TUTORIUM</w:t>
      </w:r>
    </w:p>
    <w:p>
      <w:pPr>
        <w:spacing w:after="380"/>
        <w:jc w:val="center"/>
      </w:pPr>
      <w:r>
        <w:rPr>
          <w:color w:val="5A6B7E"/>
          <w:sz w:val="21"/>
          <w:szCs w:val="21"/>
        </w:rPr>
        <w:t xml:space="preserve">Cohort management platform for tutoring centres, language schools and training institutes</w:t>
      </w:r>
    </w:p>
    <w:p>
      <w:pPr>
        <w:pBdr>
          <w:top w:val="single" w:color="DCE3EA" w:sz="8"/>
          <w:bottom w:val="single" w:color="DCE3EA" w:sz="8"/>
        </w:pBdr>
        <w:spacing w:after="180"/>
        <w:jc w:val="center"/>
      </w:pPr>
      <w:r>
        <w:rPr>
          <w:b/>
          <w:bCs/>
          <w:color w:val="13323F"/>
          <w:sz w:val="42"/>
          <w:szCs w:val="42"/>
        </w:rPr>
        <w:t xml:space="preserve">Product Vision &amp; Business Requirements</w:t>
      </w:r>
    </w:p>
    <w:p>
      <w:pPr>
        <w:spacing w:after="1100"/>
        <w:jc w:val="center"/>
      </w:pPr>
      <w:r>
        <w:rPr>
          <w:i/>
          <w:iCs/>
          <w:color w:val="5A6B7E"/>
          <w:sz w:val="23"/>
          <w:szCs w:val="23"/>
        </w:rPr>
        <w:t xml:space="preserve">What we are building, for whom, why it wins, and how it makes money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Field</w:t>
            </w:r>
          </w:p>
        </w:tc>
        <w:tc>
          <w:tcPr>
            <w:tcW w:type="dxa" w:w="72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Value</w:t>
            </w:r>
          </w:p>
        </w:tc>
      </w:tr>
      <w:tr>
        <w:trPr>
          <w:tblHeader w:val="false"/>
        </w:trPr>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Document ID</w:t>
            </w:r>
          </w:p>
        </w:tc>
        <w:tc>
          <w:tcPr>
            <w:tcW w:type="dxa" w:w="7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SL-PRD-000</w:t>
            </w:r>
          </w:p>
        </w:tc>
      </w:tr>
      <w:tr>
        <w:trPr>
          <w:tblHeader w:val="false"/>
        </w:trPr>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Version</w:t>
            </w:r>
          </w:p>
        </w:tc>
        <w:tc>
          <w:tcPr>
            <w:tcW w:type="dxa" w:w="7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0.1 — draft for review</w:t>
            </w:r>
          </w:p>
        </w:tc>
      </w:tr>
      <w:tr>
        <w:trPr>
          <w:tblHeader w:val="false"/>
        </w:trPr>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Date</w:t>
            </w:r>
          </w:p>
        </w:tc>
        <w:tc>
          <w:tcPr>
            <w:tcW w:type="dxa" w:w="7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16 August 2026</w:t>
            </w:r>
          </w:p>
        </w:tc>
      </w:tr>
      <w:tr>
        <w:trPr>
          <w:tblHeader w:val="false"/>
        </w:trPr>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Owner</w:t>
            </w:r>
          </w:p>
        </w:tc>
        <w:tc>
          <w:tcPr>
            <w:tcW w:type="dxa" w:w="7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snova · github.com/snova-labs</w:t>
            </w:r>
          </w:p>
        </w:tc>
      </w:tr>
      <w:tr>
        <w:trPr>
          <w:tblHeader w:val="false"/>
        </w:trPr>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Product name</w:t>
            </w:r>
          </w:p>
        </w:tc>
        <w:tc>
          <w:tcPr>
            <w:tcW w:type="dxa" w:w="7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Tutorium — </w:t>
            </w:r>
            <w:r>
              <w:rPr>
                <w:b/>
                <w:bCs/>
                <w:sz w:val="19"/>
                <w:szCs w:val="19"/>
              </w:rPr>
              <w:t xml:space="preserve">provisional</w:t>
            </w:r>
            <w:r>
              <w:rPr>
                <w:sz w:val="19"/>
                <w:szCs w:val="19"/>
              </w:rPr>
              <w:t xml:space="preserve">; trademark and domain clearance pending. The codebase uses no product name (see SL-ARC-002 §1), so a rename is a configuration change.</w:t>
            </w:r>
          </w:p>
        </w:tc>
      </w:tr>
      <w:tr>
        <w:trPr>
          <w:tblHeader w:val="false"/>
        </w:trPr>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Status</w:t>
            </w:r>
          </w:p>
        </w:tc>
        <w:tc>
          <w:tcPr>
            <w:tcW w:type="dxa" w:w="7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Draft — open for edits and additions</w:t>
            </w:r>
          </w:p>
        </w:tc>
      </w:tr>
      <w:tr>
        <w:trPr>
          <w:tblHeader w:val="false"/>
        </w:trPr>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Related</w:t>
            </w:r>
          </w:p>
        </w:tc>
        <w:tc>
          <w:tcPr>
            <w:tcW w:type="dxa" w:w="7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SL-SRS-001 (Requirements), SL-ARC-002 (Architecture), SL-DAT-003 (Data Model), SL-SEC-004 (Tenancy, Security &amp; Compliance), SL-LOC-005 (Localization), SL-BIL-006 (Billing &amp; Metering), SL-OPS-007 (Integrations &amp; DevOps), SL-PLN-008 (Roadmap &amp; Delivery)</w:t>
            </w:r>
          </w:p>
        </w:tc>
      </w:tr>
    </w:tbl>
    <w:p>
      <w:r>
        <w:br w:type="page"/>
      </w:r>
    </w:p>
    <w:p>
      <w:pPr>
        <w:pStyle w:val="Heading1"/>
        <w:spacing w:after="150" w:before="320"/>
      </w:pPr>
      <w:r>
        <w:rPr>
          <w:b/>
          <w:bCs/>
          <w:color w:val="13323F"/>
          <w:sz w:val="30"/>
          <w:szCs w:val="30"/>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20"/>
      </w:pPr>
      <w:r>
        <w:rPr>
          <w:b/>
          <w:bCs/>
          <w:color w:val="13323F"/>
          <w:sz w:val="30"/>
          <w:szCs w:val="30"/>
        </w:rPr>
        <w:t xml:space="preserve">1. Product Summary</w:t>
      </w:r>
    </w:p>
    <w:p>
      <w:pPr>
        <w:spacing w:after="120" w:line="276"/>
        <w:jc w:val="both"/>
      </w:pPr>
      <w:r>
        <w:rPr>
          <w:b/>
          <w:bCs/>
        </w:rPr>
        <w:t xml:space="preserve">Tutorium is the operating system for cohort-based training businesses.</w:t>
      </w:r>
      <w:r>
        <w:t xml:space="preserve"> It manages learners, batches, attendance, assessment and progress reporting for organizations that teach in groups over a fixed period — tutoring centres, language schools, and IT/skills institutes — and it proves to whoever pays the fees that learning is happening.</w:t>
      </w:r>
    </w:p>
    <w:p>
      <w:pPr>
        <w:spacing w:after="120" w:line="276"/>
        <w:jc w:val="both"/>
      </w:pPr>
      <w:r>
        <w:t xml:space="preserve">The product is multi-tenant SaaS, sold per active learner per month, deployable to any country, and offered as a self-hosted licence for institutions that require it. It is built and owned by </w:t>
      </w:r>
      <w:r>
        <w:rPr>
          <w:b/>
          <w:bCs/>
        </w:rPr>
        <w:t xml:space="preserve">snova-labs</w:t>
      </w:r>
      <w:r>
        <w:t xml:space="preserve">.</w:t>
      </w:r>
    </w:p>
    <w:p>
      <w:pPr>
        <w:pStyle w:val="Heading2"/>
        <w:spacing w:after="110" w:before="250"/>
      </w:pPr>
      <w:r>
        <w:rPr>
          <w:b/>
          <w:bCs/>
          <w:color w:val="1F4E6B"/>
          <w:sz w:val="25"/>
          <w:szCs w:val="25"/>
        </w:rPr>
        <w:t xml:space="preserve">1.1 The one-sentence pitch</w:t>
      </w:r>
    </w:p>
    <w:p>
      <w:pPr>
        <w:pBdr>
          <w:left w:val="single" w:color="C2761E" w:sz="18"/>
        </w:pBdr>
        <w:shd w:fill="FBF4EA" w:val="clear"/>
        <w:spacing w:after="140" w:before="100"/>
        <w:ind w:left="220"/>
      </w:pPr>
      <w:r>
        <w:rPr>
          <w:sz w:val="20"/>
          <w:szCs w:val="20"/>
        </w:rPr>
        <w:t xml:space="preserve">  Run every branch, batch and teacher from one place — and send parents or sponsors a professional progress report every period without anyone touching a spreadsheet.</w:t>
      </w:r>
    </w:p>
    <w:p>
      <w:pPr>
        <w:pStyle w:val="Heading2"/>
        <w:spacing w:after="110" w:before="250"/>
      </w:pPr>
      <w:r>
        <w:rPr>
          <w:b/>
          <w:bCs/>
          <w:color w:val="1F4E6B"/>
          <w:sz w:val="25"/>
          <w:szCs w:val="25"/>
        </w:rPr>
        <w:t xml:space="preserve">1.2 What it is not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Not this</w:t>
            </w:r>
          </w:p>
        </w:tc>
        <w:tc>
          <w:tcPr>
            <w:tcW w:type="dxa" w:w="71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Why we stay out</w:t>
            </w:r>
          </w:p>
        </w:tc>
      </w:tr>
      <w:tr>
        <w:trPr>
          <w:tblHeader w:val="false"/>
        </w:trPr>
        <w:tc>
          <w:tcPr>
            <w:tcW w:type="dxa" w:w="2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A K-12 school SIS</w:t>
            </w:r>
          </w:p>
        </w:tc>
        <w:tc>
          <w:tcPr>
            <w:tcW w:type="dxa" w:w="71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National curriculum reporting, transcripts, complex timetabling and statutory returns are a different product with a 3-year sales cycle. We would lose on features and on procurement.</w:t>
            </w:r>
          </w:p>
        </w:tc>
      </w:tr>
      <w:tr>
        <w:trPr>
          <w:tblHeader w:val="false"/>
        </w:trPr>
        <w:tc>
          <w:tcPr>
            <w:tcW w:type="dxa" w:w="2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An LMS (content, video, quizzes)</w:t>
            </w:r>
          </w:p>
        </w:tc>
        <w:tc>
          <w:tcPr>
            <w:tcW w:type="dxa" w:w="71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The market is saturated and content hosting is a cost centre. We integrate with whatever content tool the customer already uses.</w:t>
            </w:r>
          </w:p>
        </w:tc>
      </w:tr>
      <w:tr>
        <w:trPr>
          <w:tblHeader w:val="false"/>
        </w:trPr>
        <w:tc>
          <w:tcPr>
            <w:tcW w:type="dxa" w:w="2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Accounting software</w:t>
            </w:r>
          </w:p>
        </w:tc>
        <w:tc>
          <w:tcPr>
            <w:tcW w:type="dxa" w:w="71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We will track fees and invoices eventually, but ledgers, payroll and tax filing belong to the customer’s accountant.</w:t>
            </w:r>
          </w:p>
        </w:tc>
      </w:tr>
      <w:tr>
        <w:trPr>
          <w:tblHeader w:val="false"/>
        </w:trPr>
        <w:tc>
          <w:tcPr>
            <w:tcW w:type="dxa" w:w="2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A marketing/CRM funnel tool</w:t>
            </w:r>
          </w:p>
        </w:tc>
        <w:tc>
          <w:tcPr>
            <w:tcW w:type="dxa" w:w="71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Lead capture and admissions marketing are adjacent; we start after the learner enrolls.</w:t>
            </w:r>
          </w:p>
        </w:tc>
      </w:tr>
    </w:tbl>
    <w:p>
      <w:r>
        <w:br w:type="page"/>
      </w:r>
    </w:p>
    <w:p>
      <w:pPr>
        <w:pStyle w:val="Heading1"/>
        <w:spacing w:after="150" w:before="320"/>
      </w:pPr>
      <w:r>
        <w:rPr>
          <w:b/>
          <w:bCs/>
          <w:color w:val="13323F"/>
          <w:sz w:val="30"/>
          <w:szCs w:val="30"/>
        </w:rPr>
        <w:t xml:space="preserve">2. Problem</w:t>
      </w:r>
    </w:p>
    <w:p>
      <w:pPr>
        <w:spacing w:after="120" w:line="276"/>
        <w:jc w:val="both"/>
      </w:pPr>
      <w:r>
        <w:t xml:space="preserve">Small and mid-size training businesses run on spreadsheets, WhatsApp groups and the memory of one overworked coordinator. Three failures repeat everywhere:</w:t>
      </w:r>
    </w:p>
    <w:p>
      <w:pPr>
        <w:pStyle w:val="ListParagraph"/>
        <w:numPr>
          <w:ilvl w:val="0"/>
          <w:numId w:val="2"/>
        </w:numPr>
        <w:spacing w:after="60" w:line="264"/>
      </w:pPr>
      <w:r>
        <w:rPr>
          <w:b/>
          <w:bCs/>
        </w:rPr>
        <w:t xml:space="preserve">Nothing is provable.</w:t>
      </w:r>
      <w:r>
        <w:t xml:space="preserve"> When a parent or a corporate sponsor asks "is this working?", the centre has attendance ticks in one sheet, marks in another, and an opinion. Reports, if they exist, are hand-assembled the night before.</w:t>
      </w:r>
    </w:p>
    <w:p>
      <w:pPr>
        <w:pStyle w:val="ListParagraph"/>
        <w:numPr>
          <w:ilvl w:val="0"/>
          <w:numId w:val="2"/>
        </w:numPr>
        <w:spacing w:after="60" w:line="264"/>
      </w:pPr>
      <w:r>
        <w:rPr>
          <w:b/>
          <w:bCs/>
        </w:rPr>
        <w:t xml:space="preserve">Nothing survives growth.</w:t>
      </w:r>
      <w:r>
        <w:t xml:space="preserve"> A second branch, a second brand, or a teacher in another timezone breaks the spreadsheet model immediately: duplicate IDs, conflicting "current month" columns, no access control, and no audit trail when a mark changes.</w:t>
      </w:r>
    </w:p>
    <w:p>
      <w:pPr>
        <w:pStyle w:val="ListParagraph"/>
        <w:numPr>
          <w:ilvl w:val="0"/>
          <w:numId w:val="2"/>
        </w:numPr>
        <w:spacing w:after="60" w:line="264"/>
      </w:pPr>
      <w:r>
        <w:rPr>
          <w:b/>
          <w:bCs/>
        </w:rPr>
        <w:t xml:space="preserve">Existing software fits badly.</w:t>
      </w:r>
      <w:r>
        <w:t xml:space="preserve"> School information systems assume a K-12 structure the customer does not have. LMS platforms assume the value is in content, not in the cohort. Both assume one country’s calendar, grading convention and school year.</w:t>
      </w:r>
    </w:p>
    <w:p>
      <w:pPr>
        <w:spacing w:after="120" w:line="276"/>
        <w:jc w:val="both"/>
      </w:pPr>
      <w:r>
        <w:t xml:space="preserve">The result is that the fastest-growing segment of private education runs its operations on tools it has outgrown, and cannot demonstrate outcomes to the people paying the bills.</w:t>
      </w:r>
    </w:p>
    <w:p>
      <w:pPr>
        <w:pStyle w:val="Heading1"/>
        <w:spacing w:after="150" w:before="320"/>
      </w:pPr>
      <w:r>
        <w:rPr>
          <w:b/>
          <w:bCs/>
          <w:color w:val="13323F"/>
          <w:sz w:val="30"/>
          <w:szCs w:val="30"/>
        </w:rPr>
        <w:t xml:space="preserve">3. Target Customer</w:t>
      </w:r>
    </w:p>
    <w:p>
      <w:pPr>
        <w:pStyle w:val="Heading2"/>
        <w:spacing w:after="110" w:before="250"/>
      </w:pPr>
      <w:r>
        <w:rPr>
          <w:b/>
          <w:bCs/>
          <w:color w:val="1F4E6B"/>
          <w:sz w:val="25"/>
          <w:szCs w:val="25"/>
        </w:rPr>
        <w:t xml:space="preserve">3.1 Ideal customer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Attribute</w:t>
            </w:r>
          </w:p>
        </w:tc>
        <w:tc>
          <w:tcPr>
            <w:tcW w:type="dxa" w:w="75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Profile</w:t>
            </w:r>
          </w:p>
        </w:tc>
      </w:tr>
      <w:tr>
        <w:trPr>
          <w:tblHeader w:val="false"/>
        </w:trPr>
        <w:tc>
          <w:tcPr>
            <w:tcW w:type="dxa" w:w="22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Type</w:t>
            </w:r>
          </w:p>
        </w:tc>
        <w:tc>
          <w:tcPr>
            <w:tcW w:type="dxa" w:w="75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Private training business teaching in cohorts over a fixed period</w:t>
            </w:r>
          </w:p>
        </w:tc>
      </w:tr>
      <w:tr>
        <w:trPr>
          <w:tblHeader w:val="false"/>
        </w:trPr>
        <w:tc>
          <w:tcPr>
            <w:tcW w:type="dxa" w:w="22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Verticals</w:t>
            </w:r>
          </w:p>
        </w:tc>
        <w:tc>
          <w:tcPr>
            <w:tcW w:type="dxa" w:w="75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Tutoring / after-school centres · Language schools · IT, tech and professional skills institutes</w:t>
            </w:r>
          </w:p>
        </w:tc>
      </w:tr>
      <w:tr>
        <w:trPr>
          <w:tblHeader w:val="false"/>
        </w:trPr>
        <w:tc>
          <w:tcPr>
            <w:tcW w:type="dxa" w:w="22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Size</w:t>
            </w:r>
          </w:p>
        </w:tc>
        <w:tc>
          <w:tcPr>
            <w:tcW w:type="dxa" w:w="75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30–500 active learners; 2–30 staff; 1–5 locations (physical, online, or both)</w:t>
            </w:r>
          </w:p>
        </w:tc>
      </w:tr>
      <w:tr>
        <w:trPr>
          <w:tblHeader w:val="false"/>
        </w:trPr>
        <w:tc>
          <w:tcPr>
            <w:tcW w:type="dxa" w:w="22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Buyer</w:t>
            </w:r>
          </w:p>
        </w:tc>
        <w:tc>
          <w:tcPr>
            <w:tcW w:type="dxa" w:w="75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Owner-director or academic head — non-technical, hands-on, pays from operating budget</w:t>
            </w:r>
          </w:p>
        </w:tc>
      </w:tr>
      <w:tr>
        <w:trPr>
          <w:tblHeader w:val="false"/>
        </w:trPr>
        <w:tc>
          <w:tcPr>
            <w:tcW w:type="dxa" w:w="22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Current tooling</w:t>
            </w:r>
          </w:p>
        </w:tc>
        <w:tc>
          <w:tcPr>
            <w:tcW w:type="dxa" w:w="75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Spreadsheets + messaging apps, or an SIS/LMS they only use 20% of</w:t>
            </w:r>
          </w:p>
        </w:tc>
      </w:tr>
      <w:tr>
        <w:trPr>
          <w:tblHeader w:val="false"/>
        </w:trPr>
        <w:tc>
          <w:tcPr>
            <w:tcW w:type="dxa" w:w="22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Trigger to buy</w:t>
            </w:r>
          </w:p>
        </w:tc>
        <w:tc>
          <w:tcPr>
            <w:tcW w:type="dxa" w:w="75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Opening a second branch · a parent complaint they could not answer with evidence · a corporate client demanding attendance and completion reports</w:t>
            </w:r>
          </w:p>
        </w:tc>
      </w:tr>
    </w:tbl>
    <w:p>
      <w:pPr>
        <w:pStyle w:val="Heading2"/>
        <w:spacing w:after="110" w:before="250"/>
      </w:pPr>
      <w:r>
        <w:rPr>
          <w:b/>
          <w:bCs/>
          <w:color w:val="1F4E6B"/>
          <w:sz w:val="25"/>
          <w:szCs w:val="25"/>
        </w:rPr>
        <w:t xml:space="preserve">3.2 Why these three verticals are one product</w:t>
      </w:r>
    </w:p>
    <w:p>
      <w:pPr>
        <w:spacing w:after="120" w:line="276"/>
        <w:jc w:val="both"/>
      </w:pPr>
      <w:r>
        <w:t xml:space="preserve">All three enroll learners into a scheduled group, run sessions on a timetable, assess work, and must report progress to a third party. The differences are vocabulary and policy, not structure — which is exactly what a configuration layer solves: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50"/>
        <w:gridCol w:w="2600"/>
        <w:gridCol w:w="2596"/>
      </w:tblGrid>
      <w:tr>
        <w:trPr>
          <w:tblHeader/>
        </w:trPr>
        <w:tc>
          <w:tcPr>
            <w:tcW w:type="dxa" w:w="19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Dimension</w:t>
            </w:r>
          </w:p>
        </w:tc>
        <w:tc>
          <w:tcPr>
            <w:tcW w:type="dxa" w:w="265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Tutoring centre</w:t>
            </w:r>
          </w:p>
        </w:tc>
        <w:tc>
          <w:tcPr>
            <w:tcW w:type="dxa" w:w="26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Language school</w:t>
            </w:r>
          </w:p>
        </w:tc>
        <w:tc>
          <w:tcPr>
            <w:tcW w:type="dxa" w:w="259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IT / skills institute</w:t>
            </w:r>
          </w:p>
        </w:tc>
      </w:tr>
      <w:tr>
        <w:trPr>
          <w:tblHeader w:val="false"/>
        </w:trPr>
        <w:tc>
          <w:tcPr>
            <w:tcW w:type="dxa" w:w="1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Learner is called</w:t>
            </w:r>
          </w:p>
        </w:tc>
        <w:tc>
          <w:tcPr>
            <w:tcW w:type="dxa" w:w="265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Student</w:t>
            </w:r>
          </w:p>
        </w:tc>
        <w:tc>
          <w:tcPr>
            <w:tcW w:type="dxa" w:w="2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Learner / participant</w:t>
            </w:r>
          </w:p>
        </w:tc>
        <w:tc>
          <w:tcPr>
            <w:tcW w:type="dxa" w:w="259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Trainee / participant</w:t>
            </w:r>
          </w:p>
        </w:tc>
      </w:tr>
      <w:tr>
        <w:trPr>
          <w:tblHeader w:val="false"/>
        </w:trPr>
        <w:tc>
          <w:tcPr>
            <w:tcW w:type="dxa" w:w="1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Report goes to</w:t>
            </w:r>
          </w:p>
        </w:tc>
        <w:tc>
          <w:tcPr>
            <w:tcW w:type="dxa" w:w="265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Parent or guardian</w:t>
            </w:r>
          </w:p>
        </w:tc>
        <w:tc>
          <w:tcPr>
            <w:tcW w:type="dxa" w:w="2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Learner (adult) or sponsor</w:t>
            </w:r>
          </w:p>
        </w:tc>
        <w:tc>
          <w:tcPr>
            <w:tcW w:type="dxa" w:w="259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Learner and/or employer</w:t>
            </w:r>
          </w:p>
        </w:tc>
      </w:tr>
      <w:tr>
        <w:trPr>
          <w:tblHeader w:val="false"/>
        </w:trPr>
        <w:tc>
          <w:tcPr>
            <w:tcW w:type="dxa" w:w="1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Guardians module</w:t>
            </w:r>
          </w:p>
        </w:tc>
        <w:tc>
          <w:tcPr>
            <w:tcW w:type="dxa" w:w="265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Essential</w:t>
            </w:r>
          </w:p>
        </w:tc>
        <w:tc>
          <w:tcPr>
            <w:tcW w:type="dxa" w:w="2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Off for adult classes</w:t>
            </w:r>
          </w:p>
        </w:tc>
        <w:tc>
          <w:tcPr>
            <w:tcW w:type="dxa" w:w="259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Usually off</w:t>
            </w:r>
          </w:p>
        </w:tc>
      </w:tr>
      <w:tr>
        <w:trPr>
          <w:tblHeader w:val="false"/>
        </w:trPr>
        <w:tc>
          <w:tcPr>
            <w:tcW w:type="dxa" w:w="1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Assessment style</w:t>
            </w:r>
          </w:p>
        </w:tc>
        <w:tc>
          <w:tcPr>
            <w:tcW w:type="dxa" w:w="265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Homework, classwork, projects</w:t>
            </w:r>
          </w:p>
        </w:tc>
        <w:tc>
          <w:tcPr>
            <w:tcW w:type="dxa" w:w="2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CEFR level tests, speaking rubrics</w:t>
            </w:r>
          </w:p>
        </w:tc>
        <w:tc>
          <w:tcPr>
            <w:tcW w:type="dxa" w:w="259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Labs, projects, certifications</w:t>
            </w:r>
          </w:p>
        </w:tc>
      </w:tr>
      <w:tr>
        <w:trPr>
          <w:tblHeader w:val="false"/>
        </w:trPr>
        <w:tc>
          <w:tcPr>
            <w:tcW w:type="dxa" w:w="1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Attendance stakes</w:t>
            </w:r>
          </w:p>
        </w:tc>
        <w:tc>
          <w:tcPr>
            <w:tcW w:type="dxa" w:w="265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Parents care per session</w:t>
            </w:r>
          </w:p>
        </w:tc>
        <w:tc>
          <w:tcPr>
            <w:tcW w:type="dxa" w:w="2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Often flexible / make-up classes</w:t>
            </w:r>
          </w:p>
        </w:tc>
        <w:tc>
          <w:tcPr>
            <w:tcW w:type="dxa" w:w="259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Employer-mandated minimums</w:t>
            </w:r>
          </w:p>
        </w:tc>
      </w:tr>
      <w:tr>
        <w:trPr>
          <w:tblHeader w:val="false"/>
        </w:trPr>
        <w:tc>
          <w:tcPr>
            <w:tcW w:type="dxa" w:w="1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Period</w:t>
            </w:r>
          </w:p>
        </w:tc>
        <w:tc>
          <w:tcPr>
            <w:tcW w:type="dxa" w:w="265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Monthly</w:t>
            </w:r>
          </w:p>
        </w:tc>
        <w:tc>
          <w:tcPr>
            <w:tcW w:type="dxa" w:w="2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Term / course block</w:t>
            </w:r>
          </w:p>
        </w:tc>
        <w:tc>
          <w:tcPr>
            <w:tcW w:type="dxa" w:w="259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Cohort / module</w:t>
            </w:r>
          </w:p>
        </w:tc>
      </w:tr>
    </w:tbl>
    <w:p>
      <w:pPr>
        <w:pBdr>
          <w:left w:val="single" w:color="C2761E" w:sz="18"/>
        </w:pBdr>
        <w:shd w:fill="FBF4EA" w:val="clear"/>
        <w:spacing w:after="140" w:before="100"/>
        <w:ind w:left="220"/>
      </w:pPr>
      <w:r>
        <w:rPr>
          <w:sz w:val="20"/>
          <w:szCs w:val="20"/>
        </w:rPr>
        <w:t xml:space="preserve">  Product consequence: terminology, module toggles, attendance policy, period structure and report layout must all be tenant configuration. A vertical is a preset, not a code branch.</w:t>
      </w:r>
    </w:p>
    <w:p>
      <w:pPr>
        <w:pStyle w:val="Heading2"/>
        <w:spacing w:after="110" w:before="250"/>
      </w:pPr>
      <w:r>
        <w:rPr>
          <w:b/>
          <w:bCs/>
          <w:color w:val="1F4E6B"/>
          <w:sz w:val="25"/>
          <w:szCs w:val="25"/>
        </w:rPr>
        <w:t xml:space="preserve">3.3 Jobs to be done</w:t>
      </w:r>
    </w:p>
    <w:p>
      <w:pPr>
        <w:pStyle w:val="ListParagraph"/>
        <w:numPr>
          <w:ilvl w:val="0"/>
          <w:numId w:val="2"/>
        </w:numPr>
        <w:spacing w:after="60" w:line="264"/>
      </w:pPr>
      <w:r>
        <w:t xml:space="preserve">"Let my teachers take attendance in under a minute per session, from a phone if needed."</w:t>
      </w:r>
    </w:p>
    <w:p>
      <w:pPr>
        <w:pStyle w:val="ListParagraph"/>
        <w:numPr>
          <w:ilvl w:val="0"/>
          <w:numId w:val="2"/>
        </w:numPr>
        <w:spacing w:after="60" w:line="264"/>
      </w:pPr>
      <w:r>
        <w:t xml:space="preserve">"Give me one screen that tells me which learners are slipping, before the parent calls."</w:t>
      </w:r>
    </w:p>
    <w:p>
      <w:pPr>
        <w:pStyle w:val="ListParagraph"/>
        <w:numPr>
          <w:ilvl w:val="0"/>
          <w:numId w:val="2"/>
        </w:numPr>
        <w:spacing w:after="60" w:line="264"/>
      </w:pPr>
      <w:r>
        <w:t xml:space="preserve">"Send every parent a professional progress report at the end of the period, in our branding, without me proofreading 40 documents."</w:t>
      </w:r>
    </w:p>
    <w:p>
      <w:pPr>
        <w:pStyle w:val="ListParagraph"/>
        <w:numPr>
          <w:ilvl w:val="0"/>
          <w:numId w:val="2"/>
        </w:numPr>
        <w:spacing w:after="60" w:line="264"/>
      </w:pPr>
      <w:r>
        <w:t xml:space="preserve">"Let me open a second branch without cloning a spreadsheet."</w:t>
      </w:r>
    </w:p>
    <w:p>
      <w:pPr>
        <w:pStyle w:val="ListParagraph"/>
        <w:numPr>
          <w:ilvl w:val="0"/>
          <w:numId w:val="2"/>
        </w:numPr>
        <w:spacing w:after="60" w:line="264"/>
      </w:pPr>
      <w:r>
        <w:t xml:space="preserve">"Stop teachers from seeing or editing data outside their own batches."</w:t>
      </w:r>
    </w:p>
    <w:p>
      <w:pPr>
        <w:pStyle w:val="ListParagraph"/>
        <w:numPr>
          <w:ilvl w:val="0"/>
          <w:numId w:val="2"/>
        </w:numPr>
        <w:spacing w:after="60" w:line="264"/>
      </w:pPr>
      <w:r>
        <w:t xml:space="preserve">"Show me proof, with a date and a name, of who changed a mark."</w:t>
      </w:r>
    </w:p>
    <w:p>
      <w:r>
        <w:br w:type="page"/>
      </w:r>
    </w:p>
    <w:p>
      <w:pPr>
        <w:pStyle w:val="Heading1"/>
        <w:spacing w:after="150" w:before="320"/>
      </w:pPr>
      <w:r>
        <w:rPr>
          <w:b/>
          <w:bCs/>
          <w:color w:val="13323F"/>
          <w:sz w:val="30"/>
          <w:szCs w:val="30"/>
        </w:rPr>
        <w:t xml:space="preserve">4. Product Pillars</w:t>
      </w:r>
    </w:p>
    <w:p>
      <w:pPr>
        <w:spacing w:after="120" w:line="276"/>
        <w:jc w:val="both"/>
      </w:pPr>
      <w:r>
        <w:t xml:space="preserve">Five commitments define the product. Every roadmap decision is tested against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3246"/>
      </w:tblGrid>
      <w:tr>
        <w:trPr>
          <w:tblHeader/>
        </w:trPr>
        <w:tc>
          <w:tcPr>
            <w:tcW w:type="dxa" w:w="19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Pillar</w:t>
            </w:r>
          </w:p>
        </w:tc>
        <w:tc>
          <w:tcPr>
            <w:tcW w:type="dxa" w:w="46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Commitment</w:t>
            </w:r>
          </w:p>
        </w:tc>
        <w:tc>
          <w:tcPr>
            <w:tcW w:type="dxa" w:w="32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What it rules out</w:t>
            </w:r>
          </w:p>
        </w:tc>
      </w:tr>
      <w:tr>
        <w:trPr>
          <w:tblHeader w:val="false"/>
        </w:trPr>
        <w:tc>
          <w:tcPr>
            <w:tcW w:type="dxa" w:w="1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Configurable, not custom</w:t>
            </w:r>
          </w:p>
        </w:tc>
        <w:tc>
          <w:tcPr>
            <w:tcW w:type="dxa" w:w="4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Terminology, ID formats, statuses, session types, attendance rules, assessment types, grading schemes, periods and report blocks are data with an admin UI.</w:t>
            </w:r>
          </w:p>
        </w:tc>
        <w:tc>
          <w:tcPr>
            <w:tcW w:type="dxa" w:w="3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Per-customer code branches; hard-coded "Homework/Classwork"; a fixed 0–100 score</w:t>
            </w:r>
          </w:p>
        </w:tc>
      </w:tr>
      <w:tr>
        <w:trPr>
          <w:tblHeader w:val="false"/>
        </w:trPr>
        <w:tc>
          <w:tcPr>
            <w:tcW w:type="dxa" w:w="1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Proof of progress</w:t>
            </w:r>
          </w:p>
        </w:tc>
        <w:tc>
          <w:tcPr>
            <w:tcW w:type="dxa" w:w="4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The report is the product’s output, not an afterthought: branded, evidence-backed, delivered on schedule, and logged.</w:t>
            </w:r>
          </w:p>
        </w:tc>
        <w:tc>
          <w:tcPr>
            <w:tcW w:type="dxa" w:w="3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Reporting as a CSV dump</w:t>
            </w:r>
          </w:p>
        </w:tc>
      </w:tr>
      <w:tr>
        <w:trPr>
          <w:tblHeader w:val="false"/>
        </w:trPr>
        <w:tc>
          <w:tcPr>
            <w:tcW w:type="dxa" w:w="1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Built for many places</w:t>
            </w:r>
          </w:p>
        </w:tc>
        <w:tc>
          <w:tcPr>
            <w:tcW w:type="dxa" w:w="4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Multi-brand, multi-branch, multi-timezone, multi-calendar, multi-currency from the schema up.</w:t>
            </w:r>
          </w:p>
        </w:tc>
        <w:tc>
          <w:tcPr>
            <w:tcW w:type="dxa" w:w="3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One "current month" setting; a single national calendar</w:t>
            </w:r>
          </w:p>
        </w:tc>
      </w:tr>
      <w:tr>
        <w:trPr>
          <w:tblHeader w:val="false"/>
        </w:trPr>
        <w:tc>
          <w:tcPr>
            <w:tcW w:type="dxa" w:w="1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Fits the customer’s ecosystem</w:t>
            </w:r>
          </w:p>
        </w:tc>
        <w:tc>
          <w:tcPr>
            <w:tcW w:type="dxa" w:w="4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Microsoft-friendly by default (Outlook, Teams, Excel, Bookings, Entra ID), with every external service behind a swappable driver.</w:t>
            </w:r>
          </w:p>
        </w:tc>
        <w:tc>
          <w:tcPr>
            <w:tcW w:type="dxa" w:w="3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Lock-in to one mail or storage vendor</w:t>
            </w:r>
          </w:p>
        </w:tc>
      </w:tr>
      <w:tr>
        <w:trPr>
          <w:tblHeader w:val="false"/>
        </w:trPr>
        <w:tc>
          <w:tcPr>
            <w:tcW w:type="dxa" w:w="1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Ownable</w:t>
            </w:r>
          </w:p>
        </w:tc>
        <w:tc>
          <w:tcPr>
            <w:tcW w:type="dxa" w:w="4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Cloud SaaS for most; a self-hosted licence for institutions that require data on their own infrastructure.</w:t>
            </w:r>
          </w:p>
        </w:tc>
        <w:tc>
          <w:tcPr>
            <w:tcW w:type="dxa" w:w="3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Cloud-only assumptions anywhere in the architecture</w:t>
            </w:r>
          </w:p>
        </w:tc>
      </w:tr>
    </w:tbl>
    <w:p>
      <w:pPr>
        <w:pStyle w:val="Heading1"/>
        <w:spacing w:after="150" w:before="320"/>
      </w:pPr>
      <w:r>
        <w:rPr>
          <w:b/>
          <w:bCs/>
          <w:color w:val="13323F"/>
          <w:sz w:val="30"/>
          <w:szCs w:val="30"/>
        </w:rPr>
        <w:t xml:space="preserve">5. Positioning</w:t>
      </w:r>
    </w:p>
    <w:p>
      <w:pPr>
        <w:spacing w:after="120" w:line="276"/>
        <w:jc w:val="both"/>
      </w:pPr>
      <w:r>
        <w:t xml:space="preserve">For </w:t>
      </w:r>
      <w:r>
        <w:rPr>
          <w:b/>
          <w:bCs/>
        </w:rPr>
        <w:t xml:space="preserve">owners of cohort-based training businesses</w:t>
      </w:r>
      <w:r>
        <w:t xml:space="preserve"> who have outgrown spreadsheets but do not need a school information system, </w:t>
      </w:r>
      <w:r>
        <w:rPr>
          <w:b/>
          <w:bCs/>
        </w:rPr>
        <w:t xml:space="preserve">Tutorium</w:t>
      </w:r>
      <w:r>
        <w:t xml:space="preserve"> is the operations platform that runs branches, batches, attendance and grading, and turns them into progress reports parents and sponsors trust. Unlike an SIS (built for K-12 statutory reporting) or an LMS (built to host content), Tutorium is built around the cohort and configures itself to the customer’s vocabulary, calendar and grading conventions rather than imposing another country’s.</w:t>
      </w:r>
    </w:p>
    <w:p>
      <w:pPr>
        <w:pStyle w:val="Heading2"/>
        <w:spacing w:after="110" w:before="250"/>
      </w:pPr>
      <w:r>
        <w:rPr>
          <w:b/>
          <w:bCs/>
          <w:color w:val="1F4E6B"/>
          <w:sz w:val="25"/>
          <w:szCs w:val="25"/>
        </w:rPr>
        <w:t xml:space="preserve">5.1 Competitive stance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946"/>
      </w:tblGrid>
      <w:tr>
        <w:trPr>
          <w:tblHeader/>
        </w:trPr>
        <w:tc>
          <w:tcPr>
            <w:tcW w:type="dxa" w:w="19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Category</w:t>
            </w:r>
          </w:p>
        </w:tc>
        <w:tc>
          <w:tcPr>
            <w:tcW w:type="dxa" w:w="39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They win when</w:t>
            </w:r>
          </w:p>
        </w:tc>
        <w:tc>
          <w:tcPr>
            <w:tcW w:type="dxa" w:w="39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We win when</w:t>
            </w:r>
          </w:p>
        </w:tc>
      </w:tr>
      <w:tr>
        <w:trPr>
          <w:tblHeader w:val="false"/>
        </w:trPr>
        <w:tc>
          <w:tcPr>
            <w:tcW w:type="dxa" w:w="1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K-12 SIS</w:t>
            </w:r>
          </w:p>
        </w:tc>
        <w:tc>
          <w:tcPr>
            <w:tcW w:type="dxa" w:w="3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Customer is an accredited school with statutory reporting</w:t>
            </w:r>
          </w:p>
        </w:tc>
        <w:tc>
          <w:tcPr>
            <w:tcW w:type="dxa" w:w="39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Customer is a private centre that finds an SIS 80% irrelevant and too expensive</w:t>
            </w:r>
          </w:p>
        </w:tc>
      </w:tr>
      <w:tr>
        <w:trPr>
          <w:tblHeader w:val="false"/>
        </w:trPr>
        <w:tc>
          <w:tcPr>
            <w:tcW w:type="dxa" w:w="1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LMS platforms</w:t>
            </w:r>
          </w:p>
        </w:tc>
        <w:tc>
          <w:tcPr>
            <w:tcW w:type="dxa" w:w="3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The value is content delivery and self-paced learning</w:t>
            </w:r>
          </w:p>
        </w:tc>
        <w:tc>
          <w:tcPr>
            <w:tcW w:type="dxa" w:w="39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The value is live cohorts, attendance and human assessment</w:t>
            </w:r>
          </w:p>
        </w:tc>
      </w:tr>
      <w:tr>
        <w:trPr>
          <w:tblHeader w:val="false"/>
        </w:trPr>
        <w:tc>
          <w:tcPr>
            <w:tcW w:type="dxa" w:w="1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Class/booking software</w:t>
            </w:r>
          </w:p>
        </w:tc>
        <w:tc>
          <w:tcPr>
            <w:tcW w:type="dxa" w:w="3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The business is drop-in classes billed per session</w:t>
            </w:r>
          </w:p>
        </w:tc>
        <w:tc>
          <w:tcPr>
            <w:tcW w:type="dxa" w:w="39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The business is enrolled cohorts assessed over a period</w:t>
            </w:r>
          </w:p>
        </w:tc>
      </w:tr>
      <w:tr>
        <w:trPr>
          <w:tblHeader w:val="false"/>
        </w:trPr>
        <w:tc>
          <w:tcPr>
            <w:tcW w:type="dxa" w:w="1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Spreadsheets</w:t>
            </w:r>
          </w:p>
        </w:tc>
        <w:tc>
          <w:tcPr>
            <w:tcW w:type="dxa" w:w="3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One branch, one teacher, no reporting expectations</w:t>
            </w:r>
          </w:p>
        </w:tc>
        <w:tc>
          <w:tcPr>
            <w:tcW w:type="dxa" w:w="39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Second branch, staff turnover, or anyone asking for evidence</w:t>
            </w:r>
          </w:p>
        </w:tc>
      </w:tr>
    </w:tbl>
    <w:p>
      <w:r>
        <w:br w:type="page"/>
      </w:r>
    </w:p>
    <w:p>
      <w:pPr>
        <w:pStyle w:val="Heading1"/>
        <w:spacing w:after="150" w:before="320"/>
      </w:pPr>
      <w:r>
        <w:rPr>
          <w:b/>
          <w:bCs/>
          <w:color w:val="13323F"/>
          <w:sz w:val="30"/>
          <w:szCs w:val="30"/>
        </w:rPr>
        <w:t xml:space="preserve">6. Packaging &amp; Pricing</w:t>
      </w:r>
    </w:p>
    <w:p>
      <w:pPr>
        <w:pStyle w:val="Heading2"/>
        <w:spacing w:after="110" w:before="250"/>
      </w:pPr>
      <w:r>
        <w:rPr>
          <w:b/>
          <w:bCs/>
          <w:color w:val="1F4E6B"/>
          <w:sz w:val="25"/>
          <w:szCs w:val="25"/>
        </w:rPr>
        <w:t xml:space="preserve">6.1 Metric: per active learner per month</w:t>
      </w:r>
    </w:p>
    <w:p>
      <w:pPr>
        <w:spacing w:after="120" w:line="276"/>
        <w:jc w:val="both"/>
      </w:pPr>
      <w:r>
        <w:t xml:space="preserve">The price scales with the value delivered and with the customer’s own revenue, which makes it defensible in a negotiation. It requires one precise definition, published in the contract and visible in the app:</w:t>
      </w:r>
    </w:p>
    <w:p>
      <w:pPr>
        <w:pBdr>
          <w:left w:val="single" w:color="C2761E" w:sz="18"/>
        </w:pBdr>
        <w:shd w:fill="FBF4EA" w:val="clear"/>
        <w:spacing w:after="140" w:before="100"/>
        <w:ind w:left="220"/>
      </w:pPr>
      <w:r>
        <w:rPr>
          <w:sz w:val="20"/>
          <w:szCs w:val="20"/>
        </w:rPr>
        <w:t xml:space="preserve">  </w:t>
      </w:r>
      <w:r>
        <w:rPr>
          <w:b/>
          <w:bCs/>
          <w:sz w:val="20"/>
          <w:szCs w:val="20"/>
        </w:rPr>
        <w:t xml:space="preserve">Active learner</w:t>
      </w:r>
      <w:r>
        <w:rPr>
          <w:sz w:val="20"/>
          <w:szCs w:val="20"/>
        </w:rPr>
        <w:t xml:space="preserve"> = a learner with at least one enrollment in Active status for one or more days during the billing period. Counted from a daily snapshot; the invoice uses the </w:t>
      </w:r>
      <w:r>
        <w:rPr>
          <w:b/>
          <w:bCs/>
          <w:sz w:val="20"/>
          <w:szCs w:val="20"/>
        </w:rPr>
        <w:t xml:space="preserve">peak</w:t>
      </w:r>
      <w:r>
        <w:rPr>
          <w:sz w:val="20"/>
          <w:szCs w:val="20"/>
        </w:rPr>
        <w:t xml:space="preserve"> daily count in the period. Learners with Withdrawn, Completed or Graduated enrollments are never billed, and historical records are always free to keep.</w:t>
      </w:r>
    </w:p>
    <w:p>
      <w:pPr>
        <w:pStyle w:val="ListParagraph"/>
        <w:numPr>
          <w:ilvl w:val="0"/>
          <w:numId w:val="2"/>
        </w:numPr>
        <w:spacing w:after="60" w:line="264"/>
      </w:pPr>
      <w:r>
        <w:rPr>
          <w:b/>
          <w:bCs/>
        </w:rPr>
        <w:t xml:space="preserve">Peak, not average</w:t>
      </w:r>
      <w:r>
        <w:t xml:space="preserve"> — simpler to explain and to audit; a customer can verify it from their own roster.</w:t>
      </w:r>
    </w:p>
    <w:p>
      <w:pPr>
        <w:pStyle w:val="ListParagraph"/>
        <w:numPr>
          <w:ilvl w:val="0"/>
          <w:numId w:val="2"/>
        </w:numPr>
        <w:spacing w:after="60" w:line="264"/>
      </w:pPr>
      <w:r>
        <w:rPr>
          <w:b/>
          <w:bCs/>
        </w:rPr>
        <w:t xml:space="preserve">Live usage meter in-app</w:t>
      </w:r>
      <w:r>
        <w:t xml:space="preserve"> — current count, peak so far, and the projected invoice. An invoice must never be the first time a customer sees the number.</w:t>
      </w:r>
    </w:p>
    <w:p>
      <w:pPr>
        <w:pStyle w:val="ListParagraph"/>
        <w:numPr>
          <w:ilvl w:val="0"/>
          <w:numId w:val="2"/>
        </w:numPr>
        <w:spacing w:after="60" w:line="264"/>
      </w:pPr>
      <w:r>
        <w:rPr>
          <w:b/>
          <w:bCs/>
        </w:rPr>
        <w:t xml:space="preserve">Never charge for history</w:t>
      </w:r>
      <w:r>
        <w:t xml:space="preserve"> — if archiving costs money, customers delete data, and the audit trail dies with it.</w:t>
      </w:r>
    </w:p>
    <w:p>
      <w:pPr>
        <w:pStyle w:val="Heading2"/>
        <w:spacing w:after="110" w:before="250"/>
      </w:pPr>
      <w:r>
        <w:rPr>
          <w:b/>
          <w:bCs/>
          <w:color w:val="1F4E6B"/>
          <w:sz w:val="25"/>
          <w:szCs w:val="25"/>
        </w:rPr>
        <w:t xml:space="preserve">6.2 Indicative tiers (to be validated with real customers)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500"/>
        <w:gridCol w:w="3646"/>
      </w:tblGrid>
      <w:tr>
        <w:trPr>
          <w:tblHeader/>
        </w:trPr>
        <w:tc>
          <w:tcPr>
            <w:tcW w:type="dxa" w:w="15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Plan</w:t>
            </w:r>
          </w:p>
        </w:tc>
        <w:tc>
          <w:tcPr>
            <w:tcW w:type="dxa" w:w="21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For</w:t>
            </w:r>
          </w:p>
        </w:tc>
        <w:tc>
          <w:tcPr>
            <w:tcW w:type="dxa" w:w="25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Shape</w:t>
            </w:r>
          </w:p>
        </w:tc>
        <w:tc>
          <w:tcPr>
            <w:tcW w:type="dxa" w:w="36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Key limits</w:t>
            </w:r>
          </w:p>
        </w:tc>
      </w:tr>
      <w:tr>
        <w:trPr>
          <w:tblHeader w:val="false"/>
        </w:trPr>
        <w:tc>
          <w:tcPr>
            <w:tcW w:type="dxa" w:w="1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Starter</w:t>
            </w:r>
          </w:p>
        </w:tc>
        <w:tc>
          <w:tcPr>
            <w:tcW w:type="dxa" w:w="21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Single-branch centre</w:t>
            </w:r>
          </w:p>
        </w:tc>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Low per-learner rate, minimum monthly fee</w:t>
            </w:r>
          </w:p>
        </w:tc>
        <w:tc>
          <w:tcPr>
            <w:tcW w:type="dxa" w:w="36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1 brand, 1 branch, core modules, email support</w:t>
            </w:r>
          </w:p>
        </w:tc>
      </w:tr>
      <w:tr>
        <w:trPr>
          <w:tblHeader w:val="false"/>
        </w:trPr>
        <w:tc>
          <w:tcPr>
            <w:tcW w:type="dxa" w:w="1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Growth</w:t>
            </w:r>
          </w:p>
        </w:tc>
        <w:tc>
          <w:tcPr>
            <w:tcW w:type="dxa" w:w="21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Multi-branch / multi-brand</w:t>
            </w:r>
          </w:p>
        </w:tc>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Same metric, higher ceiling features</w:t>
            </w:r>
          </w:p>
        </w:tc>
        <w:tc>
          <w:tcPr>
            <w:tcW w:type="dxa" w:w="36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Unlimited branches, custom domain, API access, Microsoft integrations</w:t>
            </w:r>
          </w:p>
        </w:tc>
      </w:tr>
      <w:tr>
        <w:trPr>
          <w:tblHeader w:val="false"/>
        </w:trPr>
        <w:tc>
          <w:tcPr>
            <w:tcW w:type="dxa" w:w="1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Institution</w:t>
            </w:r>
          </w:p>
        </w:tc>
        <w:tc>
          <w:tcPr>
            <w:tcW w:type="dxa" w:w="21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Large or compliance-driven</w:t>
            </w:r>
          </w:p>
        </w:tc>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Annual contract</w:t>
            </w:r>
          </w:p>
        </w:tc>
        <w:tc>
          <w:tcPr>
            <w:tcW w:type="dxa" w:w="36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SSO (Entra ID), data residency choice, DPA, priority support</w:t>
            </w:r>
          </w:p>
        </w:tc>
      </w:tr>
      <w:tr>
        <w:trPr>
          <w:tblHeader w:val="false"/>
        </w:trPr>
        <w:tc>
          <w:tcPr>
            <w:tcW w:type="dxa" w:w="1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Self-hosted licence</w:t>
            </w:r>
          </w:p>
        </w:tc>
        <w:tc>
          <w:tcPr>
            <w:tcW w:type="dxa" w:w="21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Institutions requiring on-premises</w:t>
            </w:r>
          </w:p>
        </w:tc>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Annual term licence, learner-cap tier</w:t>
            </w:r>
          </w:p>
        </w:tc>
        <w:tc>
          <w:tcPr>
            <w:tcW w:type="dxa" w:w="36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Signed licence key enforces cap and expiry; support contract separate</w:t>
            </w:r>
          </w:p>
        </w:tc>
      </w:tr>
    </w:tbl>
    <w:p>
      <w:pPr>
        <w:pStyle w:val="ListParagraph"/>
        <w:numPr>
          <w:ilvl w:val="0"/>
          <w:numId w:val="2"/>
        </w:numPr>
        <w:spacing w:after="60" w:line="264"/>
      </w:pPr>
      <w:r>
        <w:rPr>
          <w:b/>
          <w:bCs/>
        </w:rPr>
        <w:t xml:space="preserve">Free trial:</w:t>
      </w:r>
      <w:r>
        <w:t xml:space="preserve"> 14–30 days, full features, no card required, capped learner count. Trial data converts to a paid tenant untouched.</w:t>
      </w:r>
    </w:p>
    <w:p>
      <w:pPr>
        <w:pStyle w:val="ListParagraph"/>
        <w:numPr>
          <w:ilvl w:val="0"/>
          <w:numId w:val="2"/>
        </w:numPr>
        <w:spacing w:after="60" w:line="264"/>
      </w:pPr>
      <w:r>
        <w:rPr>
          <w:b/>
          <w:bCs/>
        </w:rPr>
        <w:t xml:space="preserve">Not gated:</w:t>
      </w:r>
      <w:r>
        <w:t xml:space="preserve"> audit logging, backups, and security features. Selling safety as an upsell is how a product loses trust.</w:t>
      </w:r>
    </w:p>
    <w:p>
      <w:pPr>
        <w:pStyle w:val="Heading2"/>
        <w:spacing w:after="110" w:before="250"/>
      </w:pPr>
      <w:r>
        <w:rPr>
          <w:b/>
          <w:bCs/>
          <w:color w:val="1F4E6B"/>
          <w:sz w:val="25"/>
          <w:szCs w:val="25"/>
        </w:rPr>
        <w:t xml:space="preserve">6.3 Payments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546"/>
      </w:tblGrid>
      <w:tr>
        <w:trPr>
          <w:tblHeader/>
        </w:trPr>
        <w:tc>
          <w:tcPr>
            <w:tcW w:type="dxa" w:w="26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Driver</w:t>
            </w:r>
          </w:p>
        </w:tc>
        <w:tc>
          <w:tcPr>
            <w:tcW w:type="dxa" w:w="46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Role</w:t>
            </w:r>
          </w:p>
        </w:tc>
        <w:tc>
          <w:tcPr>
            <w:tcW w:type="dxa" w:w="25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Status</w:t>
            </w:r>
          </w:p>
        </w:tc>
      </w:tr>
      <w:tr>
        <w:trPr>
          <w:tblHeader w:val="false"/>
        </w:trPr>
        <w:tc>
          <w:tcPr>
            <w:tcW w:type="dxa" w:w="2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Stripe (direct)</w:t>
            </w:r>
          </w:p>
        </w:tc>
        <w:tc>
          <w:tcPr>
            <w:tcW w:type="dxa" w:w="4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Default for card-paying cloud tenants; Stripe Tax handles VAT/GST</w:t>
            </w:r>
          </w:p>
        </w:tc>
        <w:tc>
          <w:tcPr>
            <w:tcW w:type="dxa" w:w="25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Build first</w:t>
            </w:r>
          </w:p>
        </w:tc>
      </w:tr>
      <w:tr>
        <w:trPr>
          <w:tblHeader w:val="false"/>
        </w:trPr>
        <w:tc>
          <w:tcPr>
            <w:tcW w:type="dxa" w:w="2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Merchant of record (Paddle / Lemon Squeezy)</w:t>
            </w:r>
          </w:p>
        </w:tc>
        <w:tc>
          <w:tcPr>
            <w:tcW w:type="dxa" w:w="4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Fallback if the operating entity cannot use Stripe, or to outsource worldwide tax handling</w:t>
            </w:r>
          </w:p>
        </w:tc>
        <w:tc>
          <w:tcPr>
            <w:tcW w:type="dxa" w:w="25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Interface only, driver deferred</w:t>
            </w:r>
          </w:p>
        </w:tc>
      </w:tr>
      <w:tr>
        <w:trPr>
          <w:tblHeader w:val="false"/>
        </w:trPr>
        <w:tc>
          <w:tcPr>
            <w:tcW w:type="dxa" w:w="2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Manual / offline invoice</w:t>
            </w:r>
          </w:p>
        </w:tc>
        <w:tc>
          <w:tcPr>
            <w:tcW w:type="dxa" w:w="4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Bank transfer for institutional buyers, on-premises licences, and markets without card payment</w:t>
            </w:r>
          </w:p>
        </w:tc>
        <w:tc>
          <w:tcPr>
            <w:tcW w:type="dxa" w:w="25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Build with Stripe — required from day one</w:t>
            </w:r>
          </w:p>
        </w:tc>
      </w:tr>
      <w:tr>
        <w:trPr>
          <w:tblHeader w:val="false"/>
        </w:trPr>
        <w:tc>
          <w:tcPr>
            <w:tcW w:type="dxa" w:w="2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Local gateways (eSewa, Khalti, Razorpay, ...)</w:t>
            </w:r>
          </w:p>
        </w:tc>
        <w:tc>
          <w:tcPr>
            <w:tcW w:type="dxa" w:w="4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Regional expansion</w:t>
            </w:r>
          </w:p>
        </w:tc>
        <w:tc>
          <w:tcPr>
            <w:tcW w:type="dxa" w:w="25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Later phase</w:t>
            </w:r>
          </w:p>
        </w:tc>
      </w:tr>
    </w:tbl>
    <w:p>
      <w:pPr>
        <w:pBdr>
          <w:left w:val="single" w:color="C2761E" w:sz="18"/>
        </w:pBdr>
        <w:shd w:fill="FBF4EA" w:val="clear"/>
        <w:spacing w:after="140" w:before="100"/>
        <w:ind w:left="220"/>
      </w:pPr>
      <w:r>
        <w:rPr>
          <w:sz w:val="20"/>
          <w:szCs w:val="20"/>
        </w:rPr>
        <w:t xml:space="preserve">  Open commercial decision: the operating entity is undecided. Stripe requires an entity in a supported country — Nepal is not supported. If the entity ends up in Nepal, the default driver becomes a merchant of record. This decision is required before the first paid customer, not before the first line of code.</w:t>
      </w:r>
    </w:p>
    <w:p>
      <w:r>
        <w:br w:type="page"/>
      </w:r>
    </w:p>
    <w:p>
      <w:pPr>
        <w:pStyle w:val="Heading1"/>
        <w:spacing w:after="150" w:before="320"/>
      </w:pPr>
      <w:r>
        <w:rPr>
          <w:b/>
          <w:bCs/>
          <w:color w:val="13323F"/>
          <w:sz w:val="30"/>
          <w:szCs w:val="30"/>
        </w:rPr>
        <w:t xml:space="preserve">7. Presets — the anti-configuration-fatigue mechanism</w:t>
      </w:r>
    </w:p>
    <w:p>
      <w:pPr>
        <w:spacing w:after="120" w:line="276"/>
        <w:jc w:val="both"/>
      </w:pPr>
      <w:r>
        <w:t xml:space="preserve">A fully configurable product with empty defaults is unusable on day one. Presets are opinionated bundles chosen during signup that pre-populate everything; the customer adjusts later. </w:t>
      </w:r>
      <w:r>
        <w:rPr>
          <w:b/>
          <w:bCs/>
        </w:rPr>
        <w:t xml:space="preserve">Target: a working tenant in under 15 minutes.</w:t>
      </w:r>
    </w:p>
    <w:p>
      <w:pPr>
        <w:pStyle w:val="Heading2"/>
        <w:spacing w:after="110" w:before="250"/>
      </w:pPr>
      <w:r>
        <w:rPr>
          <w:b/>
          <w:bCs/>
          <w:color w:val="1F4E6B"/>
          <w:sz w:val="25"/>
          <w:szCs w:val="25"/>
        </w:rPr>
        <w:t xml:space="preserve">7.1 What a preset sets</w:t>
      </w:r>
    </w:p>
    <w:p>
      <w:pPr>
        <w:shd w:fill="F5F7F9" w:val="clear"/>
        <w:spacing w:after="0"/>
        <w:ind w:left="220"/>
      </w:pPr>
      <w:r>
        <w:rPr>
          <w:rFonts w:ascii="Consolas" w:cs="Consolas" w:eastAsia="Consolas" w:hAnsi="Consolas"/>
          <w:color w:val="15314F"/>
          <w:sz w:val="18"/>
          <w:szCs w:val="18"/>
        </w:rPr>
        <w:t xml:space="preserve">preset = {</w:t>
      </w:r>
    </w:p>
    <w:p>
      <w:pPr>
        <w:shd w:fill="F5F7F9" w:val="clear"/>
        <w:spacing w:after="0"/>
        <w:ind w:left="220"/>
      </w:pPr>
      <w:r>
        <w:rPr>
          <w:rFonts w:ascii="Consolas" w:cs="Consolas" w:eastAsia="Consolas" w:hAnsi="Consolas"/>
          <w:color w:val="15314F"/>
          <w:sz w:val="18"/>
          <w:szCs w:val="18"/>
        </w:rPr>
        <w:t xml:space="preserve">  terminology     : learner|student|trainee, guardian on/off, batch|class|cohort</w:t>
      </w:r>
    </w:p>
    <w:p>
      <w:pPr>
        <w:shd w:fill="F5F7F9" w:val="clear"/>
        <w:spacing w:after="0"/>
        <w:ind w:left="220"/>
      </w:pPr>
      <w:r>
        <w:rPr>
          <w:rFonts w:ascii="Consolas" w:cs="Consolas" w:eastAsia="Consolas" w:hAnsi="Consolas"/>
          <w:color w:val="15314F"/>
          <w:sz w:val="18"/>
          <w:szCs w:val="18"/>
        </w:rPr>
        <w:t xml:space="preserve">  modules         : guardians, hangout-style sessions, rubrics, ...</w:t>
      </w:r>
    </w:p>
    <w:p>
      <w:pPr>
        <w:shd w:fill="F5F7F9" w:val="clear"/>
        <w:spacing w:after="0"/>
        <w:ind w:left="220"/>
      </w:pPr>
      <w:r>
        <w:rPr>
          <w:rFonts w:ascii="Consolas" w:cs="Consolas" w:eastAsia="Consolas" w:hAnsi="Consolas"/>
          <w:color w:val="15314F"/>
          <w:sz w:val="18"/>
          <w:szCs w:val="18"/>
        </w:rPr>
        <w:t xml:space="preserve">  session_types   : e.g. Class, Lab, Workshop, Make-up</w:t>
      </w:r>
    </w:p>
    <w:p>
      <w:pPr>
        <w:shd w:fill="F5F7F9" w:val="clear"/>
        <w:spacing w:after="0"/>
        <w:ind w:left="220"/>
      </w:pPr>
      <w:r>
        <w:rPr>
          <w:rFonts w:ascii="Consolas" w:cs="Consolas" w:eastAsia="Consolas" w:hAnsi="Consolas"/>
          <w:color w:val="15314F"/>
          <w:sz w:val="18"/>
          <w:szCs w:val="18"/>
        </w:rPr>
        <w:t xml:space="preserve">  attendance      : compulsory?, late-join?, grace minutes, counted types</w:t>
      </w:r>
    </w:p>
    <w:p>
      <w:pPr>
        <w:shd w:fill="F5F7F9" w:val="clear"/>
        <w:spacing w:after="0"/>
        <w:ind w:left="220"/>
      </w:pPr>
      <w:r>
        <w:rPr>
          <w:rFonts w:ascii="Consolas" w:cs="Consolas" w:eastAsia="Consolas" w:hAnsi="Consolas"/>
          <w:color w:val="15314F"/>
          <w:sz w:val="18"/>
          <w:szCs w:val="18"/>
        </w:rPr>
        <w:t xml:space="preserve">  assessment_types: e.g. Homework, Project, Quiz  (+ weights)</w:t>
      </w:r>
    </w:p>
    <w:p>
      <w:pPr>
        <w:shd w:fill="F5F7F9" w:val="clear"/>
        <w:spacing w:after="0"/>
        <w:ind w:left="220"/>
      </w:pPr>
      <w:r>
        <w:rPr>
          <w:rFonts w:ascii="Consolas" w:cs="Consolas" w:eastAsia="Consolas" w:hAnsi="Consolas"/>
          <w:color w:val="15314F"/>
          <w:sz w:val="18"/>
          <w:szCs w:val="18"/>
        </w:rPr>
        <w:t xml:space="preserve">  grading_scheme  : points | percentage | letter | pass-fail | rubric | CEFR</w:t>
      </w:r>
    </w:p>
    <w:p>
      <w:pPr>
        <w:shd w:fill="F5F7F9" w:val="clear"/>
        <w:spacing w:after="0"/>
        <w:ind w:left="220"/>
      </w:pPr>
      <w:r>
        <w:rPr>
          <w:rFonts w:ascii="Consolas" w:cs="Consolas" w:eastAsia="Consolas" w:hAnsi="Consolas"/>
          <w:color w:val="15314F"/>
          <w:sz w:val="18"/>
          <w:szCs w:val="18"/>
        </w:rPr>
        <w:t xml:space="preserve">  period_type     : monthly | term | quarter | cohort-block</w:t>
      </w:r>
    </w:p>
    <w:p>
      <w:pPr>
        <w:shd w:fill="F5F7F9" w:val="clear"/>
        <w:spacing w:after="0"/>
        <w:ind w:left="220"/>
      </w:pPr>
      <w:r>
        <w:rPr>
          <w:rFonts w:ascii="Consolas" w:cs="Consolas" w:eastAsia="Consolas" w:hAnsi="Consolas"/>
          <w:color w:val="15314F"/>
          <w:sz w:val="18"/>
          <w:szCs w:val="18"/>
        </w:rPr>
        <w:t xml:space="preserve">  calendar        : gregorian | bikram-sambat | hijri | jalali | buddhist</w:t>
      </w:r>
    </w:p>
    <w:p>
      <w:pPr>
        <w:shd w:fill="F5F7F9" w:val="clear"/>
        <w:spacing w:after="0"/>
        <w:ind w:left="220"/>
      </w:pPr>
      <w:r>
        <w:rPr>
          <w:rFonts w:ascii="Consolas" w:cs="Consolas" w:eastAsia="Consolas" w:hAnsi="Consolas"/>
          <w:color w:val="15314F"/>
          <w:sz w:val="18"/>
          <w:szCs w:val="18"/>
        </w:rPr>
        <w:t xml:space="preserve">  week_start      : Sun | Mon | Sat        weekend_days: [...]</w:t>
      </w:r>
    </w:p>
    <w:p>
      <w:pPr>
        <w:shd w:fill="F5F7F9" w:val="clear"/>
        <w:spacing w:after="0"/>
        <w:ind w:left="220"/>
      </w:pPr>
      <w:r>
        <w:rPr>
          <w:rFonts w:ascii="Consolas" w:cs="Consolas" w:eastAsia="Consolas" w:hAnsi="Consolas"/>
          <w:color w:val="15314F"/>
          <w:sz w:val="18"/>
          <w:szCs w:val="18"/>
        </w:rPr>
        <w:t xml:space="preserve">  id_sequences    : prefix / padding per entity</w:t>
      </w:r>
    </w:p>
    <w:p>
      <w:pPr>
        <w:shd w:fill="F5F7F9" w:val="clear"/>
        <w:spacing w:after="0"/>
        <w:ind w:left="220"/>
      </w:pPr>
      <w:r>
        <w:rPr>
          <w:rFonts w:ascii="Consolas" w:cs="Consolas" w:eastAsia="Consolas" w:hAnsi="Consolas"/>
          <w:color w:val="15314F"/>
          <w:sz w:val="18"/>
          <w:szCs w:val="18"/>
        </w:rPr>
        <w:t xml:space="preserve">  report_template : blocks, tone, language</w:t>
      </w:r>
    </w:p>
    <w:p>
      <w:pPr>
        <w:shd w:fill="F5F7F9" w:val="clear"/>
        <w:spacing w:after="0"/>
        <w:ind w:left="220"/>
      </w:pPr>
      <w:r>
        <w:rPr>
          <w:rFonts w:ascii="Consolas" w:cs="Consolas" w:eastAsia="Consolas" w:hAnsi="Consolas"/>
          <w:color w:val="15314F"/>
          <w:sz w:val="18"/>
          <w:szCs w:val="18"/>
        </w:rPr>
        <w:t xml:space="preserve">  locale/currency : en-GB, EUR, ...        retention defaults</w:t>
      </w:r>
    </w:p>
    <w:p>
      <w:pPr>
        <w:shd w:fill="F5F7F9" w:val="clear"/>
        <w:spacing w:after="140"/>
        <w:ind w:left="220"/>
      </w:pPr>
      <w:r>
        <w:rPr>
          <w:rFonts w:ascii="Consolas" w:cs="Consolas" w:eastAsia="Consolas" w:hAnsi="Consolas"/>
          <w:color w:val="15314F"/>
          <w:sz w:val="18"/>
          <w:szCs w:val="18"/>
        </w:rPr>
        <w:t xml:space="preserve">}</w:t>
      </w:r>
    </w:p>
    <w:p>
      <w:pPr>
        <w:pStyle w:val="Heading2"/>
        <w:spacing w:after="110" w:before="250"/>
      </w:pPr>
      <w:r>
        <w:rPr>
          <w:b/>
          <w:bCs/>
          <w:color w:val="1F4E6B"/>
          <w:sz w:val="25"/>
          <w:szCs w:val="25"/>
        </w:rPr>
        <w:t xml:space="preserve">7.2 Launch preset catalogue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246"/>
      </w:tblGrid>
      <w:tr>
        <w:trPr>
          <w:tblHeader/>
        </w:trPr>
        <w:tc>
          <w:tcPr>
            <w:tcW w:type="dxa" w:w="30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Preset</w:t>
            </w:r>
          </w:p>
        </w:tc>
        <w:tc>
          <w:tcPr>
            <w:tcW w:type="dxa" w:w="15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Vertical</w:t>
            </w:r>
          </w:p>
        </w:tc>
        <w:tc>
          <w:tcPr>
            <w:tcW w:type="dxa" w:w="52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Notable defaults</w:t>
            </w:r>
          </w:p>
        </w:tc>
      </w:tr>
      <w:tr>
        <w:trPr>
          <w:tblHeader w:val="false"/>
        </w:trPr>
        <w:tc>
          <w:tcPr>
            <w:tcW w:type="dxa" w:w="30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Kids tutoring centre — South Asia</w:t>
            </w:r>
          </w:p>
        </w:tc>
        <w:tc>
          <w:tcPr>
            <w:tcW w:type="dxa" w:w="1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Tutoring</w:t>
            </w:r>
          </w:p>
        </w:tc>
        <w:tc>
          <w:tcPr>
            <w:tcW w:type="dxa" w:w="5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Guardians on, monthly periods, points grading, Bikram Sambat option, Sunday week start</w:t>
            </w:r>
          </w:p>
        </w:tc>
      </w:tr>
      <w:tr>
        <w:trPr>
          <w:tblHeader w:val="false"/>
        </w:trPr>
        <w:tc>
          <w:tcPr>
            <w:tcW w:type="dxa" w:w="30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After-school programme — North America</w:t>
            </w:r>
          </w:p>
        </w:tc>
        <w:tc>
          <w:tcPr>
            <w:tcW w:type="dxa" w:w="1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Tutoring</w:t>
            </w:r>
          </w:p>
        </w:tc>
        <w:tc>
          <w:tcPr>
            <w:tcW w:type="dxa" w:w="5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Guardians on, monthly periods, letter grades, Sunday week start, COPPA-aware retention</w:t>
            </w:r>
          </w:p>
        </w:tc>
      </w:tr>
      <w:tr>
        <w:trPr>
          <w:tblHeader w:val="false"/>
        </w:trPr>
        <w:tc>
          <w:tcPr>
            <w:tcW w:type="dxa" w:w="30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Language school — Europe</w:t>
            </w:r>
          </w:p>
        </w:tc>
        <w:tc>
          <w:tcPr>
            <w:tcW w:type="dxa" w:w="1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Language</w:t>
            </w:r>
          </w:p>
        </w:tc>
        <w:tc>
          <w:tcPr>
            <w:tcW w:type="dxa" w:w="5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Guardians off by default, term periods, CEFR levels, Monday week start, GDPR retention</w:t>
            </w:r>
          </w:p>
        </w:tc>
      </w:tr>
      <w:tr>
        <w:trPr>
          <w:tblHeader w:val="false"/>
        </w:trPr>
        <w:tc>
          <w:tcPr>
            <w:tcW w:type="dxa" w:w="30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Language school — Gulf</w:t>
            </w:r>
          </w:p>
        </w:tc>
        <w:tc>
          <w:tcPr>
            <w:tcW w:type="dxa" w:w="1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Language</w:t>
            </w:r>
          </w:p>
        </w:tc>
        <w:tc>
          <w:tcPr>
            <w:tcW w:type="dxa" w:w="5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Fri–Sat weekend, Hijri calendar option, term periods</w:t>
            </w:r>
          </w:p>
        </w:tc>
      </w:tr>
      <w:tr>
        <w:trPr>
          <w:tblHeader w:val="false"/>
        </w:trPr>
        <w:tc>
          <w:tcPr>
            <w:tcW w:type="dxa" w:w="30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IT / skills institute</w:t>
            </w:r>
          </w:p>
        </w:tc>
        <w:tc>
          <w:tcPr>
            <w:tcW w:type="dxa" w:w="1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Tech</w:t>
            </w:r>
          </w:p>
        </w:tc>
        <w:tc>
          <w:tcPr>
            <w:tcW w:type="dxa" w:w="5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Guardians off, cohort-block periods, project + lab assessment types, employer as report recipient</w:t>
            </w:r>
          </w:p>
        </w:tc>
      </w:tr>
      <w:tr>
        <w:trPr>
          <w:tblHeader w:val="false"/>
        </w:trPr>
        <w:tc>
          <w:tcPr>
            <w:tcW w:type="dxa" w:w="30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Corporate training provider</w:t>
            </w:r>
          </w:p>
        </w:tc>
        <w:tc>
          <w:tcPr>
            <w:tcW w:type="dxa" w:w="1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Tech</w:t>
            </w:r>
          </w:p>
        </w:tc>
        <w:tc>
          <w:tcPr>
            <w:tcW w:type="dxa" w:w="5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Participants, completion-focused reporting, employer sponsor records, compulsory attendance</w:t>
            </w:r>
          </w:p>
        </w:tc>
      </w:tr>
      <w:tr>
        <w:trPr>
          <w:tblHeader w:val="false"/>
        </w:trPr>
        <w:tc>
          <w:tcPr>
            <w:tcW w:type="dxa" w:w="30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Blank / custom</w:t>
            </w:r>
          </w:p>
        </w:tc>
        <w:tc>
          <w:tcPr>
            <w:tcW w:type="dxa" w:w="1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Any</w:t>
            </w:r>
          </w:p>
        </w:tc>
        <w:tc>
          <w:tcPr>
            <w:tcW w:type="dxa" w:w="5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Minimal defaults for customers who want to configure from scratch</w:t>
            </w:r>
          </w:p>
        </w:tc>
      </w:tr>
    </w:tbl>
    <w:p>
      <w:pPr>
        <w:spacing w:after="120" w:line="276"/>
        <w:jc w:val="both"/>
      </w:pPr>
      <w:r>
        <w:t xml:space="preserve">Presets are versioned data, editable without a deploy, and a tenant may re-apply parts of a preset later (e.g., adopt a new report template) without losing customizations.</w:t>
      </w:r>
    </w:p>
    <w:p>
      <w:r>
        <w:br w:type="page"/>
      </w:r>
    </w:p>
    <w:p>
      <w:pPr>
        <w:pStyle w:val="Heading1"/>
        <w:spacing w:after="150" w:before="320"/>
      </w:pPr>
      <w:r>
        <w:rPr>
          <w:b/>
          <w:bCs/>
          <w:color w:val="13323F"/>
          <w:sz w:val="30"/>
          <w:szCs w:val="30"/>
        </w:rPr>
        <w:t xml:space="preserve">8. Go-to-Market</w:t>
      </w:r>
    </w:p>
    <w:p>
      <w:pPr>
        <w:pStyle w:val="Heading2"/>
        <w:spacing w:after="110" w:before="250"/>
      </w:pPr>
      <w:r>
        <w:rPr>
          <w:b/>
          <w:bCs/>
          <w:color w:val="1F4E6B"/>
          <w:sz w:val="25"/>
          <w:szCs w:val="25"/>
        </w:rPr>
        <w:t xml:space="preserve">8.1 Sequence</w:t>
      </w:r>
    </w:p>
    <w:p>
      <w:pPr>
        <w:pStyle w:val="ListParagraph"/>
        <w:numPr>
          <w:ilvl w:val="0"/>
          <w:numId w:val="3"/>
        </w:numPr>
        <w:spacing w:after="60" w:line="264"/>
      </w:pPr>
      <w:r>
        <w:rPr>
          <w:b/>
          <w:bCs/>
        </w:rPr>
        <w:t xml:space="preserve">Design partners (3–5 centres).</w:t>
      </w:r>
      <w:r>
        <w:t xml:space="preserve"> Manually provisioned, free or heavily discounted, in exchange for weekly feedback and a reference quote. These shape onboarding before it is automated.</w:t>
      </w:r>
    </w:p>
    <w:p>
      <w:pPr>
        <w:pStyle w:val="ListParagraph"/>
        <w:numPr>
          <w:ilvl w:val="0"/>
          <w:numId w:val="3"/>
        </w:numPr>
        <w:spacing w:after="60" w:line="264"/>
      </w:pPr>
      <w:r>
        <w:rPr>
          <w:b/>
          <w:bCs/>
        </w:rPr>
        <w:t xml:space="preserve">Manual paid onboarding.</w:t>
      </w:r>
      <w:r>
        <w:t xml:space="preserve"> Real invoices, sales-assisted setup, presets refined per vertical. This is where pricing gets validated — not in a spreadsheet.</w:t>
      </w:r>
    </w:p>
    <w:p>
      <w:pPr>
        <w:pStyle w:val="ListParagraph"/>
        <w:numPr>
          <w:ilvl w:val="0"/>
          <w:numId w:val="3"/>
        </w:numPr>
        <w:spacing w:after="60" w:line="264"/>
      </w:pPr>
      <w:r>
        <w:rPr>
          <w:b/>
          <w:bCs/>
        </w:rPr>
        <w:t xml:space="preserve">Self-serve signup.</w:t>
      </w:r>
      <w:r>
        <w:t xml:space="preserve"> Public trial, subdomain provisioning, card checkout, in-product onboarding. Only worth building once step 2 proves people pay.</w:t>
      </w:r>
    </w:p>
    <w:p>
      <w:pPr>
        <w:pStyle w:val="ListParagraph"/>
        <w:numPr>
          <w:ilvl w:val="0"/>
          <w:numId w:val="3"/>
        </w:numPr>
        <w:spacing w:after="60" w:line="264"/>
      </w:pPr>
      <w:r>
        <w:rPr>
          <w:b/>
          <w:bCs/>
        </w:rPr>
        <w:t xml:space="preserve">Channel and vertical expansion.</w:t>
      </w:r>
      <w:r>
        <w:t xml:space="preserve"> Partnerships with franchise networks and teacher associations; localized presets per new market; self-hosted licence for institutions.</w:t>
      </w:r>
    </w:p>
    <w:p>
      <w:pPr>
        <w:pStyle w:val="Heading2"/>
        <w:spacing w:after="110" w:before="250"/>
      </w:pPr>
      <w:r>
        <w:rPr>
          <w:b/>
          <w:bCs/>
          <w:color w:val="1F4E6B"/>
          <w:sz w:val="25"/>
          <w:szCs w:val="25"/>
        </w:rPr>
        <w:t xml:space="preserve">8.2 First-market logic</w:t>
      </w:r>
    </w:p>
    <w:p>
      <w:pPr>
        <w:spacing w:after="120" w:line="276"/>
        <w:jc w:val="both"/>
      </w:pPr>
      <w:r>
        <w:t xml:space="preserve">Start where the founder has network and can visit customers in person — the first five customers are won by trust, not by a landing page. Expand to English-speaking and European markets once presets and reports are proven, because those markets pay more per learner and are better served by the multi-timezone and compliance work already in the product.</w:t>
      </w:r>
    </w:p>
    <w:p>
      <w:pPr>
        <w:pStyle w:val="Heading1"/>
        <w:spacing w:after="150" w:before="320"/>
      </w:pPr>
      <w:r>
        <w:rPr>
          <w:b/>
          <w:bCs/>
          <w:color w:val="13323F"/>
          <w:sz w:val="30"/>
          <w:szCs w:val="30"/>
        </w:rPr>
        <w:t xml:space="preserve">9. Success 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5100"/>
        <w:gridCol w:w="2846"/>
      </w:tblGrid>
      <w:tr>
        <w:trPr>
          <w:tblHeader/>
        </w:trPr>
        <w:tc>
          <w:tcPr>
            <w:tcW w:type="dxa" w:w="18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Stage</w:t>
            </w:r>
          </w:p>
        </w:tc>
        <w:tc>
          <w:tcPr>
            <w:tcW w:type="dxa" w:w="51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Metric</w:t>
            </w:r>
          </w:p>
        </w:tc>
        <w:tc>
          <w:tcPr>
            <w:tcW w:type="dxa" w:w="28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Target</w:t>
            </w:r>
          </w:p>
        </w:tc>
      </w:tr>
      <w:tr>
        <w:trPr>
          <w:tblHeader w:val="false"/>
        </w:trPr>
        <w:tc>
          <w:tcPr>
            <w:tcW w:type="dxa" w:w="18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Activation</w:t>
            </w:r>
          </w:p>
        </w:tc>
        <w:tc>
          <w:tcPr>
            <w:tcW w:type="dxa" w:w="51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Tenant reaches "first report sent" within 7 days of signup</w:t>
            </w:r>
          </w:p>
        </w:tc>
        <w:tc>
          <w:tcPr>
            <w:tcW w:type="dxa" w:w="28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&gt; 60% of trials</w:t>
            </w:r>
          </w:p>
        </w:tc>
      </w:tr>
      <w:tr>
        <w:trPr>
          <w:tblHeader w:val="false"/>
        </w:trPr>
        <w:tc>
          <w:tcPr>
            <w:tcW w:type="dxa" w:w="18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Time to value</w:t>
            </w:r>
          </w:p>
        </w:tc>
        <w:tc>
          <w:tcPr>
            <w:tcW w:type="dxa" w:w="51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Signup → first attendance recorded</w:t>
            </w:r>
          </w:p>
        </w:tc>
        <w:tc>
          <w:tcPr>
            <w:tcW w:type="dxa" w:w="28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&lt; 60 minutes</w:t>
            </w:r>
          </w:p>
        </w:tc>
      </w:tr>
      <w:tr>
        <w:trPr>
          <w:tblHeader w:val="false"/>
        </w:trPr>
        <w:tc>
          <w:tcPr>
            <w:tcW w:type="dxa" w:w="18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Engagement</w:t>
            </w:r>
          </w:p>
        </w:tc>
        <w:tc>
          <w:tcPr>
            <w:tcW w:type="dxa" w:w="51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Batches with attendance recorded in the last 7 days</w:t>
            </w:r>
          </w:p>
        </w:tc>
        <w:tc>
          <w:tcPr>
            <w:tcW w:type="dxa" w:w="28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&gt; 80% of active batches</w:t>
            </w:r>
          </w:p>
        </w:tc>
      </w:tr>
      <w:tr>
        <w:trPr>
          <w:tblHeader w:val="false"/>
        </w:trPr>
        <w:tc>
          <w:tcPr>
            <w:tcW w:type="dxa" w:w="18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Retention</w:t>
            </w:r>
          </w:p>
        </w:tc>
        <w:tc>
          <w:tcPr>
            <w:tcW w:type="dxa" w:w="51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Logo retention after 12 months</w:t>
            </w:r>
          </w:p>
        </w:tc>
        <w:tc>
          <w:tcPr>
            <w:tcW w:type="dxa" w:w="28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&gt; 85% (annual cycles make churn seasonal)</w:t>
            </w:r>
          </w:p>
        </w:tc>
      </w:tr>
      <w:tr>
        <w:trPr>
          <w:tblHeader w:val="false"/>
        </w:trPr>
        <w:tc>
          <w:tcPr>
            <w:tcW w:type="dxa" w:w="18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Revenue quality</w:t>
            </w:r>
          </w:p>
        </w:tc>
        <w:tc>
          <w:tcPr>
            <w:tcW w:type="dxa" w:w="51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Net revenue retention (learner growth within accounts)</w:t>
            </w:r>
          </w:p>
        </w:tc>
        <w:tc>
          <w:tcPr>
            <w:tcW w:type="dxa" w:w="28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&gt; 100%</w:t>
            </w:r>
          </w:p>
        </w:tc>
      </w:tr>
      <w:tr>
        <w:trPr>
          <w:tblHeader w:val="false"/>
        </w:trPr>
        <w:tc>
          <w:tcPr>
            <w:tcW w:type="dxa" w:w="18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Efficiency</w:t>
            </w:r>
          </w:p>
        </w:tc>
        <w:tc>
          <w:tcPr>
            <w:tcW w:type="dxa" w:w="51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Infrastructure cost per active learner per month</w:t>
            </w:r>
          </w:p>
        </w:tc>
        <w:tc>
          <w:tcPr>
            <w:tcW w:type="dxa" w:w="28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&lt; 2% of price</w:t>
            </w:r>
          </w:p>
        </w:tc>
      </w:tr>
      <w:tr>
        <w:trPr>
          <w:tblHeader w:val="false"/>
        </w:trPr>
        <w:tc>
          <w:tcPr>
            <w:tcW w:type="dxa" w:w="18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Support load</w:t>
            </w:r>
          </w:p>
        </w:tc>
        <w:tc>
          <w:tcPr>
            <w:tcW w:type="dxa" w:w="51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Tickets per tenant per month</w:t>
            </w:r>
          </w:p>
        </w:tc>
        <w:tc>
          <w:tcPr>
            <w:tcW w:type="dxa" w:w="28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&lt; 1 after month two</w:t>
            </w:r>
          </w:p>
        </w:tc>
      </w:tr>
    </w:tbl>
    <w:p>
      <w:pPr>
        <w:pStyle w:val="Heading1"/>
        <w:spacing w:after="150" w:before="320"/>
      </w:pPr>
      <w:r>
        <w:rPr>
          <w:b/>
          <w:bCs/>
          <w:color w:val="13323F"/>
          <w:sz w:val="30"/>
          <w:szCs w:val="30"/>
        </w:rPr>
        <w:t xml:space="preserve">10. Business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846"/>
      </w:tblGrid>
      <w:tr>
        <w:trPr>
          <w:tblHeader/>
        </w:trPr>
        <w:tc>
          <w:tcPr>
            <w:tcW w:type="dxa" w:w="30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Risk</w:t>
            </w:r>
          </w:p>
        </w:tc>
        <w:tc>
          <w:tcPr>
            <w:tcW w:type="dxa" w:w="19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Impact</w:t>
            </w:r>
          </w:p>
        </w:tc>
        <w:tc>
          <w:tcPr>
            <w:tcW w:type="dxa" w:w="48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Response</w:t>
            </w:r>
          </w:p>
        </w:tc>
      </w:tr>
      <w:tr>
        <w:trPr>
          <w:tblHeader w:val="false"/>
        </w:trPr>
        <w:tc>
          <w:tcPr>
            <w:tcW w:type="dxa" w:w="30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Configurability becomes complexity; customers stall in setup</w:t>
            </w:r>
          </w:p>
        </w:tc>
        <w:tc>
          <w:tcPr>
            <w:tcW w:type="dxa" w:w="1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High — kills activation</w:t>
            </w:r>
          </w:p>
        </w:tc>
        <w:tc>
          <w:tcPr>
            <w:tcW w:type="dxa" w:w="48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Presets, progressive disclosure, "effective value" display, in-product checklist. Activation metric is the canary.</w:t>
            </w:r>
          </w:p>
        </w:tc>
      </w:tr>
      <w:tr>
        <w:trPr>
          <w:tblHeader w:val="false"/>
        </w:trPr>
        <w:tc>
          <w:tcPr>
            <w:tcW w:type="dxa" w:w="30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Single-founder bandwidth vs. support load</w:t>
            </w:r>
          </w:p>
        </w:tc>
        <w:tc>
          <w:tcPr>
            <w:tcW w:type="dxa" w:w="1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High</w:t>
            </w:r>
          </w:p>
        </w:tc>
        <w:tc>
          <w:tcPr>
            <w:tcW w:type="dxa" w:w="48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Ship fewer modules, better; self-serve docs; deliberate cap on design partners</w:t>
            </w:r>
          </w:p>
        </w:tc>
      </w:tr>
      <w:tr>
        <w:trPr>
          <w:tblHeader w:val="false"/>
        </w:trPr>
        <w:tc>
          <w:tcPr>
            <w:tcW w:type="dxa" w:w="30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Undefined operating entity blocks payment collection</w:t>
            </w:r>
          </w:p>
        </w:tc>
        <w:tc>
          <w:tcPr>
            <w:tcW w:type="dxa" w:w="1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Blocking at first sale</w:t>
            </w:r>
          </w:p>
        </w:tc>
        <w:tc>
          <w:tcPr>
            <w:tcW w:type="dxa" w:w="48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Decide before P3; manual invoicing works in the interim</w:t>
            </w:r>
          </w:p>
        </w:tc>
      </w:tr>
      <w:tr>
        <w:trPr>
          <w:tblHeader w:val="false"/>
        </w:trPr>
        <w:tc>
          <w:tcPr>
            <w:tcW w:type="dxa" w:w="30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Compliance burden (minors’ data across GDPR/COPPA)</w:t>
            </w:r>
          </w:p>
        </w:tc>
        <w:tc>
          <w:tcPr>
            <w:tcW w:type="dxa" w:w="1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Blocks EU/US customers</w:t>
            </w:r>
          </w:p>
        </w:tc>
        <w:tc>
          <w:tcPr>
            <w:tcW w:type="dxa" w:w="48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SL-SEC-004 covers DPA, DSAR, retention and residency; ship the paperwork with the product</w:t>
            </w:r>
          </w:p>
        </w:tc>
      </w:tr>
      <w:tr>
        <w:trPr>
          <w:tblHeader w:val="false"/>
        </w:trPr>
        <w:tc>
          <w:tcPr>
            <w:tcW w:type="dxa" w:w="30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Price metric disputes ("what is active?")</w:t>
            </w:r>
          </w:p>
        </w:tc>
        <w:tc>
          <w:tcPr>
            <w:tcW w:type="dxa" w:w="1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Medium — trust damage</w:t>
            </w:r>
          </w:p>
        </w:tc>
        <w:tc>
          <w:tcPr>
            <w:tcW w:type="dxa" w:w="48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Published definition, in-app meter, exportable usage history</w:t>
            </w:r>
          </w:p>
        </w:tc>
      </w:tr>
      <w:tr>
        <w:trPr>
          <w:tblHeader w:val="false"/>
        </w:trPr>
        <w:tc>
          <w:tcPr>
            <w:tcW w:type="dxa" w:w="30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Provisional product name proves unusable</w:t>
            </w:r>
          </w:p>
        </w:tc>
        <w:tc>
          <w:tcPr>
            <w:tcW w:type="dxa" w:w="1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Low — cosmetic</w:t>
            </w:r>
          </w:p>
        </w:tc>
        <w:tc>
          <w:tcPr>
            <w:tcW w:type="dxa" w:w="48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No product name in code, namespaces, or document IDs</w:t>
            </w:r>
          </w:p>
        </w:tc>
      </w:tr>
    </w:tbl>
    <w:p>
      <w:pPr>
        <w:pStyle w:val="Heading1"/>
        <w:spacing w:after="150" w:before="320"/>
      </w:pPr>
      <w:r>
        <w:rPr>
          <w:b/>
          <w:bCs/>
          <w:color w:val="13323F"/>
          <w:sz w:val="30"/>
          <w:szCs w:val="30"/>
        </w:rPr>
        <w:t xml:space="preserve">11. Delivery Phases (summary)</w:t>
      </w:r>
    </w:p>
    <w:p>
      <w:pPr>
        <w:spacing w:after="120" w:line="276"/>
        <w:jc w:val="both"/>
      </w:pPr>
      <w:r>
        <w:t xml:space="preserve">Detailed plan in SL-PLN-008. Requirements in SL-SRS-001 are tagged with these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646"/>
      </w:tblGrid>
      <w:tr>
        <w:trPr>
          <w:tblHeader/>
        </w:trPr>
        <w:tc>
          <w:tcPr>
            <w:tcW w:type="dxa" w:w="17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Phase</w:t>
            </w:r>
          </w:p>
        </w:tc>
        <w:tc>
          <w:tcPr>
            <w:tcW w:type="dxa" w:w="54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Outcome</w:t>
            </w:r>
          </w:p>
        </w:tc>
        <w:tc>
          <w:tcPr>
            <w:tcW w:type="dxa" w:w="26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Sellable?</w:t>
            </w:r>
          </w:p>
        </w:tc>
      </w:tr>
      <w:tr>
        <w:trPr>
          <w:tblHeader w:val="false"/>
        </w:trPr>
        <w:tc>
          <w:tcPr>
            <w:tcW w:type="dxa" w:w="17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P1 — Academic core</w:t>
            </w:r>
          </w:p>
        </w:tc>
        <w:tc>
          <w:tcPr>
            <w:tcW w:type="dxa" w:w="54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Tenant-scoped platform: org hierarchy, courses, batches, sessions, people, attendance, dynamic grading, notes, reports, audit</w:t>
            </w:r>
          </w:p>
        </w:tc>
        <w:tc>
          <w:tcPr>
            <w:tcW w:type="dxa" w:w="26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No — internal / design partners</w:t>
            </w:r>
          </w:p>
        </w:tc>
      </w:tr>
      <w:tr>
        <w:trPr>
          <w:tblHeader w:val="false"/>
        </w:trPr>
        <w:tc>
          <w:tcPr>
            <w:tcW w:type="dxa" w:w="17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P2 — Tenant-ready</w:t>
            </w:r>
          </w:p>
        </w:tc>
        <w:tc>
          <w:tcPr>
            <w:tcW w:type="dxa" w:w="54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Presets, first-run onboarding, terminology, per-brand branding and email, platform-admin console with impersonation</w:t>
            </w:r>
          </w:p>
        </w:tc>
        <w:tc>
          <w:tcPr>
            <w:tcW w:type="dxa" w:w="26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Yes — manually onboarded</w:t>
            </w:r>
          </w:p>
        </w:tc>
      </w:tr>
      <w:tr>
        <w:trPr>
          <w:tblHeader w:val="false"/>
        </w:trPr>
        <w:tc>
          <w:tcPr>
            <w:tcW w:type="dxa" w:w="17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P3 — Commercial</w:t>
            </w:r>
          </w:p>
        </w:tc>
        <w:tc>
          <w:tcPr>
            <w:tcW w:type="dxa" w:w="54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Plans, entitlements, metering, Stripe + manual invoicing, trials, dunning, usage meter</w:t>
            </w:r>
          </w:p>
        </w:tc>
        <w:tc>
          <w:tcPr>
            <w:tcW w:type="dxa" w:w="26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Yes — real money, sales-assisted</w:t>
            </w:r>
          </w:p>
        </w:tc>
      </w:tr>
      <w:tr>
        <w:trPr>
          <w:tblHeader w:val="false"/>
        </w:trPr>
        <w:tc>
          <w:tcPr>
            <w:tcW w:type="dxa" w:w="17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P4 — Self-serve</w:t>
            </w:r>
          </w:p>
        </w:tc>
        <w:tc>
          <w:tcPr>
            <w:tcW w:type="dxa" w:w="54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Public signup, subdomains, custom domains, billing portal, in-product onboarding</w:t>
            </w:r>
          </w:p>
        </w:tc>
        <w:tc>
          <w:tcPr>
            <w:tcW w:type="dxa" w:w="26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Yes — scalable acquisition</w:t>
            </w:r>
          </w:p>
        </w:tc>
      </w:tr>
      <w:tr>
        <w:trPr>
          <w:tblHeader w:val="false"/>
        </w:trPr>
        <w:tc>
          <w:tcPr>
            <w:tcW w:type="dxa" w:w="17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P5 — Distribution</w:t>
            </w:r>
          </w:p>
        </w:tc>
        <w:tc>
          <w:tcPr>
            <w:tcW w:type="dxa" w:w="54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On-premises packaging and licensing, Microsoft Teams/Outlook/Entra drivers, learner &amp; guardian portals</w:t>
            </w:r>
          </w:p>
        </w:tc>
        <w:tc>
          <w:tcPr>
            <w:tcW w:type="dxa" w:w="26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Yes — enterprise and channel</w:t>
            </w:r>
          </w:p>
        </w:tc>
      </w:tr>
    </w:tbl>
    <w:p>
      <w:pPr>
        <w:pStyle w:val="Heading1"/>
        <w:spacing w:after="150" w:before="320"/>
      </w:pPr>
      <w:r>
        <w:rPr>
          <w:b/>
          <w:bCs/>
          <w:color w:val="13323F"/>
          <w:sz w:val="30"/>
          <w:szCs w:val="30"/>
        </w:rPr>
        <w:t xml:space="preserve">12. Open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500"/>
        <w:gridCol w:w="2846"/>
      </w:tblGrid>
      <w:tr>
        <w:trPr>
          <w:tblHeader/>
        </w:trPr>
        <w:tc>
          <w:tcPr>
            <w:tcW w:type="dxa" w:w="5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w:t>
            </w:r>
          </w:p>
        </w:tc>
        <w:tc>
          <w:tcPr>
            <w:tcW w:type="dxa" w:w="39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Decision</w:t>
            </w:r>
          </w:p>
        </w:tc>
        <w:tc>
          <w:tcPr>
            <w:tcW w:type="dxa" w:w="25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Needed by</w:t>
            </w:r>
          </w:p>
        </w:tc>
        <w:tc>
          <w:tcPr>
            <w:tcW w:type="dxa" w:w="28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Current default</w:t>
            </w:r>
          </w:p>
        </w:tc>
      </w:tr>
      <w:tr>
        <w:trPr>
          <w:tblHeader w:val="false"/>
        </w:trPr>
        <w:tc>
          <w:tcPr>
            <w:tcW w:type="dxa" w:w="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D1</w:t>
            </w:r>
          </w:p>
        </w:tc>
        <w:tc>
          <w:tcPr>
            <w:tcW w:type="dxa" w:w="3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Final product name and trademark clearance</w:t>
            </w:r>
          </w:p>
        </w:tc>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Before public launch (P4)</w:t>
            </w:r>
          </w:p>
        </w:tc>
        <w:tc>
          <w:tcPr>
            <w:tcW w:type="dxa" w:w="28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Tutorium (provisional)</w:t>
            </w:r>
          </w:p>
        </w:tc>
      </w:tr>
      <w:tr>
        <w:trPr>
          <w:tblHeader w:val="false"/>
        </w:trPr>
        <w:tc>
          <w:tcPr>
            <w:tcW w:type="dxa" w:w="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D2</w:t>
            </w:r>
          </w:p>
        </w:tc>
        <w:tc>
          <w:tcPr>
            <w:tcW w:type="dxa" w:w="3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Operating entity and jurisdiction</w:t>
            </w:r>
          </w:p>
        </w:tc>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Before first paid invoice (P3)</w:t>
            </w:r>
          </w:p>
        </w:tc>
        <w:tc>
          <w:tcPr>
            <w:tcW w:type="dxa" w:w="28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Assume EU entity; revisit</w:t>
            </w:r>
          </w:p>
        </w:tc>
      </w:tr>
      <w:tr>
        <w:trPr>
          <w:tblHeader w:val="false"/>
        </w:trPr>
        <w:tc>
          <w:tcPr>
            <w:tcW w:type="dxa" w:w="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D3</w:t>
            </w:r>
          </w:p>
        </w:tc>
        <w:tc>
          <w:tcPr>
            <w:tcW w:type="dxa" w:w="3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Stripe direct vs merchant of record</w:t>
            </w:r>
          </w:p>
        </w:tc>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Follows D2</w:t>
            </w:r>
          </w:p>
        </w:tc>
        <w:tc>
          <w:tcPr>
            <w:tcW w:type="dxa" w:w="28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Stripe direct + manual invoicing</w:t>
            </w:r>
          </w:p>
        </w:tc>
      </w:tr>
      <w:tr>
        <w:trPr>
          <w:tblHeader w:val="false"/>
        </w:trPr>
        <w:tc>
          <w:tcPr>
            <w:tcW w:type="dxa" w:w="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D4</w:t>
            </w:r>
          </w:p>
        </w:tc>
        <w:tc>
          <w:tcPr>
            <w:tcW w:type="dxa" w:w="3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Launch pricing points per tier</w:t>
            </w:r>
          </w:p>
        </w:tc>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Before P3, from design-partner conversations</w:t>
            </w:r>
          </w:p>
        </w:tc>
        <w:tc>
          <w:tcPr>
            <w:tcW w:type="dxa" w:w="28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Placeholder tiers in §6.2</w:t>
            </w:r>
          </w:p>
        </w:tc>
      </w:tr>
      <w:tr>
        <w:trPr>
          <w:tblHeader w:val="false"/>
        </w:trPr>
        <w:tc>
          <w:tcPr>
            <w:tcW w:type="dxa" w:w="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D5</w:t>
            </w:r>
          </w:p>
        </w:tc>
        <w:tc>
          <w:tcPr>
            <w:tcW w:type="dxa" w:w="3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First hosting region</w:t>
            </w:r>
          </w:p>
        </w:tc>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Before first production tenant</w:t>
            </w:r>
          </w:p>
        </w:tc>
        <w:tc>
          <w:tcPr>
            <w:tcW w:type="dxa" w:w="28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Single region; per-tenant region field exists from P1</w:t>
            </w:r>
          </w:p>
        </w:tc>
      </w:tr>
      <w:tr>
        <w:trPr>
          <w:tblHeader w:val="false"/>
        </w:trPr>
        <w:tc>
          <w:tcPr>
            <w:tcW w:type="dxa" w:w="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D6</w:t>
            </w:r>
          </w:p>
        </w:tc>
        <w:tc>
          <w:tcPr>
            <w:tcW w:type="dxa" w:w="3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Vertical to lead with in marketing</w:t>
            </w:r>
          </w:p>
        </w:tc>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Before P4</w:t>
            </w:r>
          </w:p>
        </w:tc>
        <w:tc>
          <w:tcPr>
            <w:tcW w:type="dxa" w:w="28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Tutoring centres (fastest to demo)</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A" w:sz="4"/>
      </w:pBdr>
      <w:jc w:val="center"/>
    </w:pPr>
    <w:r>
      <w:rPr>
        <w:color w:val="5A6B7E"/>
        <w:sz w:val="17"/>
        <w:szCs w:val="17"/>
      </w:rPr>
      <w:t xml:space="preserve">SL-PRD-000 · Product Vision &amp; Business Requirements · snova-labs   |   Page </w:t>
    </w:r>
    <w:r>
      <w:rPr>
        <w:color w:val="5A6B7E"/>
        <w:sz w:val="17"/>
        <w:szCs w:val="17"/>
      </w:rPr>
      <w:fldChar w:fldCharType="begin"/>
      <w:instrText xml:space="preserve">PAGE</w:instrText>
      <w:fldChar w:fldCharType="separate"/>
      <w:fldChar w:fldCharType="end"/>
    </w:r>
    <w:r>
      <w:rPr>
        <w:color w:val="5A6B7E"/>
        <w:sz w:val="17"/>
        <w:szCs w:val="17"/>
      </w:rPr>
      <w:t xml:space="preserve"> of </w:t>
    </w:r>
    <w:r>
      <w:rPr>
        <w:color w:val="5A6B7E"/>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2026-08-16T13:23:19.498Z</dcterms:created>
  <dcterms:modified xsi:type="dcterms:W3CDTF">2026-08-16T13:23:19.498Z</dcterms:modified>
</cp:coreProperties>
</file>

<file path=docProps/custom.xml><?xml version="1.0" encoding="utf-8"?>
<Properties xmlns="http://schemas.openxmlformats.org/officeDocument/2006/custom-properties" xmlns:vt="http://schemas.openxmlformats.org/officeDocument/2006/docPropsVTypes"/>
</file>