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300"/>
        <w:jc w:val="center"/>
      </w:pPr>
      <w:r>
        <w:rPr>
          <w:b/>
          <w:bCs/>
          <w:color w:val="1F4E6B"/>
          <w:spacing w:val="70"/>
          <w:sz w:val="40"/>
          <w:szCs w:val="40"/>
        </w:rPr>
        <w:t xml:space="preserve">TUTORIUM</w:t>
      </w:r>
    </w:p>
    <w:p>
      <w:pPr>
        <w:spacing w:after="380"/>
        <w:jc w:val="center"/>
      </w:pPr>
      <w:r>
        <w:rPr>
          <w:color w:val="5A6B7E"/>
          <w:sz w:val="21"/>
          <w:szCs w:val="21"/>
        </w:rPr>
        <w:t xml:space="preserve">Cohort management platform for tutoring centres, language schools and training institutes</w:t>
      </w:r>
    </w:p>
    <w:p>
      <w:pPr>
        <w:pBdr>
          <w:top w:val="single" w:color="DCE3EA" w:sz="8"/>
          <w:bottom w:val="single" w:color="DCE3EA" w:sz="8"/>
        </w:pBdr>
        <w:spacing w:after="180"/>
        <w:jc w:val="center"/>
      </w:pPr>
      <w:r>
        <w:rPr>
          <w:b/>
          <w:bCs/>
          <w:color w:val="13323F"/>
          <w:sz w:val="42"/>
          <w:szCs w:val="42"/>
        </w:rPr>
        <w:t xml:space="preserve">Multi-Tenancy, Security &amp; Compliance</w:t>
      </w:r>
    </w:p>
    <w:p>
      <w:pPr>
        <w:spacing w:after="1100"/>
        <w:jc w:val="center"/>
      </w:pPr>
      <w:r>
        <w:rPr>
          <w:i/>
          <w:iCs/>
          <w:color w:val="5A6B7E"/>
          <w:sz w:val="23"/>
          <w:szCs w:val="23"/>
        </w:rPr>
        <w:t xml:space="preserve">Isolation guarantees, access control, minors’ data protection, and the paperwork required to sell internationally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SL-SEC-004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0.1 — draft for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16 August 2026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snova · github.com/snova-labs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Tutorium — </w:t>
            </w:r>
            <w:r>
              <w:rPr>
                <w:b/>
                <w:bCs/>
                <w:sz w:val="19"/>
                <w:szCs w:val="19"/>
              </w:rPr>
              <w:t xml:space="preserve">provisional</w:t>
            </w:r>
            <w:r>
              <w:rPr>
                <w:sz w:val="19"/>
                <w:szCs w:val="19"/>
              </w:rPr>
              <w:t xml:space="preserve">; trademark and domain clearance pending. The codebase uses no product name (see SL-ARC-002 §1), so a rename is a configuration change.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— open for edits and additions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Parent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SL-SRS-001 §6.2 and §6.4 · SL-ARC-002 §3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1. Why This Document Exists</w:t>
      </w:r>
    </w:p>
    <w:p>
      <w:pPr>
        <w:spacing w:after="120" w:line="276"/>
        <w:jc w:val="both"/>
      </w:pPr>
      <w:r>
        <w:t xml:space="preserve">Tutorium processes personal data about </w:t>
      </w:r>
      <w:r>
        <w:rPr>
          <w:b/>
          <w:bCs/>
        </w:rPr>
        <w:t xml:space="preserve">children</w:t>
      </w:r>
      <w:r>
        <w:t xml:space="preserve">, on behalf of customers, across jurisdictions with strict and differing rules. Two failure modes would end the business rather than merely damage it: one tenant seeing another’s data, and a breach of minors’ data handled badly. Everything here is written to make those two outcomes structurally unlikely — and to make the second survivable if it ever happens.</w:t>
      </w:r>
    </w:p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This document describes engineering and operational controls. It is not legal advice; the contractual artifacts in §11 must be reviewed by a qualified adviser in the operating jurisdiction before the first EU or US customer signs.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2. Threat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1400"/>
        <w:gridCol w:w="3946"/>
      </w:tblGrid>
      <w:tr>
        <w:trPr>
          <w:tblHeader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control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Cross-tenant data exposure via a missing query filter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 — the classic multi-tenant bug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Catastrophic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Automatic scoping at the data layer + per-resource isolation tests (§3)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Privilege escalation inside a tenant (teacher reads other branches)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Permission checks plus scope enforcement on every route (§5)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Credential stuffing / weak staff passwords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Throttling, breach-password rejection, optional and enforceable 2FA (§4)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Operator misuse of impersonation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 — trust destroying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Reason required, time-limited, visible to the tenant, audited both sides (§6)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PII leaking through logs, URLs or error reports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PII policy: no identifiers in paths or logs; scrubbed error reporting (§7)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Unauthorized access to generated report PDFs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Tenant-scoped storage paths, no public buckets, expiring signed links (§7)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Backup exposure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Catastrophic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Encrypted backups, restricted access, tested restores (§12)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Dependency vulnerability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Medium–High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Automated scanning in CI, patch SLA (§13)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Insider access by the operator to customer data without cause</w:t>
            </w:r>
          </w:p>
        </w:tc>
        <w:tc>
          <w:tcPr>
            <w:tcW w:type="dxa" w:w="1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Least privilege, audited access, no routine production data browsing (§6)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3. Tenant Isolation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3.1 Layered controls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646"/>
      </w:tblGrid>
      <w:tr>
        <w:trPr>
          <w:tblHeader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Failure mode it stops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 resolved once from the authenticated identity (later: domain) and bound to the request context before any query runs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Code guessing the tenant from user input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Global scope on every tenant-owned model filters by the bound tenant and stamps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tenant_id</w:t>
            </w:r>
            <w:r>
              <w:rPr>
                <w:sz w:val="19"/>
                <w:szCs w:val="19"/>
              </w:rPr>
              <w:t xml:space="preserve"> on create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 developer forgetting a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where</w:t>
            </w:r>
            <w:r>
              <w:rPr>
                <w:sz w:val="19"/>
                <w:szCs w:val="19"/>
              </w:rPr>
              <w:t xml:space="preserve"> clause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Policies re-verify ownership on read and write; foreign identifiers resolve as not-found rather than forbidden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Existence leakage through error differences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Background work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Jobs carry the tenant identifier and re-bind context; a job with no resolvable tenant fails loudly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Unscoped queries in queued work — the most common real-world leak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Files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Storage paths include the tenant; access only through authorized, expiring links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Guessable file URLs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Every resource has an isolation test across UI, API and export routes; required before merge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Regression after a refactor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3.2 Isolation test pattern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for each resource R: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given tenant A with record X, tenant B with user U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assert U cannot read X            (UI route)   -&gt; 404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assert U cannot read X            (API route)  -&gt; 404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assert U cannot update/delete X                -&gt; 404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assert X never appears in U's list/search/export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assert a queued job for tenant A never touches tenant B rows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These tests are generated from the resource registry so that adding a resource without its test is a build failure, not a review oversight.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4. Authentication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Passwords hashed with a modern adaptive algorithm; minimum length enforced with a check against known-breached password lists; no forced rotation (which harms security in practice).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Login throttling per account and per address; generic failure messages; alert email on new-device sign-in.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Sessions: secure, HTTP-only, same-site cookies; absolute and idle expiry; all sessions invalidated on password change; visible session list with remote revoke (P3).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Password reset tokens single-use, short-lived, and invalidated on use or on password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Staff invitations use expiring single-use tokens; a pending invitation grants nothing until accepted.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Two-factor (TOTP) optional per user from P3, and requirable by role — mandatory for any role holding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settings.manage</w:t>
      </w:r>
      <w:r>
        <w:t xml:space="preserve"> or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billing.manage</w:t>
      </w:r>
      <w:r>
        <w:t xml:space="preserve"> is the recommended tenant default.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Operator accounts require two-factor unconditionally from the first release.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Entra ID SSO (P5) is configured per tenant; local passwords can then be disabled for that tenant.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5. Authorization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5.1 Permission catalogue (initial)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People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learners.view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learners.create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learners.update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learners.archive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learners.delete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guardians.*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Academic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courses.*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batches.*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sessions.manage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enrollments.manage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Attendance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attendance.view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attendance.record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attendance.amend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Grading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assessments.manage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grades.view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grades.enter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grades.amend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notes.view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notes.write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notes.view_internal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reports.generate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reports.send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reports.view_archive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dashboard.branch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dashboard.tenant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8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users.manage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roles.manage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settings.manage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branding.manage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audit.view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data.export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billing.manage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5.2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code may branch on a user "type". Every decision reads a named permission (FR-IAM-2), which is what allows the Tenant Owner to invent roles without a deployment.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Scope is orthogonal to permission: a user with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attendance.record</w:t>
      </w:r>
      <w:r>
        <w:t xml:space="preserve"> still only reaches their assigned branches and, for teachers, their assigned batches. Both are checked server-side (FR-IAM-3).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interface hides what a user cannot do, but hiding is never the control — every action re-authorizes on the server.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Sensitive reads have their own permissions (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notes.view_internal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audit.view</w:t>
      </w:r>
      <w:r>
        <w:t xml:space="preserve">) rather than riding on a general admin flag.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6. Operator Access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Operators hold no standing access to tenant application data. Support access happens through impersonation, which requires a stated reason, is time-limited, and ends automatically.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 active impersonation is visually obvious in the interface, cannot perform billing changes, and is recorded in </w:t>
      </w:r>
      <w:r>
        <w:rPr>
          <w:b/>
          <w:bCs/>
        </w:rPr>
        <w:t xml:space="preserve">both</w:t>
      </w:r>
      <w:r>
        <w:t xml:space="preserve"> the operator log and the tenant’s own audit log so customers can see when we looked (FR-AUD-3).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Production database access for engineers is exceptional, logged, and never the routine debugging path; application-level observability is built well enough that it does not need to be.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Operator accounts are individually named — no shared credentials — and are deprovisioned as part of an offboarding checklist.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7. Data Protection by Design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7.1 Personal data inventory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900"/>
        <w:gridCol w:w="3446"/>
      </w:tblGrid>
      <w:tr>
        <w:trPr>
          <w:tblHeader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identity</w:t>
            </w:r>
          </w:p>
        </w:tc>
        <w:tc>
          <w:tcPr>
            <w:tcW w:type="dxa" w:w="2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Name, date of birth, photo, country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Sensitive (minors)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Access requires scope grant; never in logs or URLs; export/erase supported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Guardian contact</w:t>
            </w:r>
          </w:p>
        </w:tc>
        <w:tc>
          <w:tcPr>
            <w:tcW w:type="dxa" w:w="2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Name, email, phone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Personal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Same as above; used only for delivery and notification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Academic records</w:t>
            </w:r>
          </w:p>
        </w:tc>
        <w:tc>
          <w:tcPr>
            <w:tcW w:type="dxa" w:w="2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Attendance, grades, notes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Sensitive (opinion about a child)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Internal notes never leave the tenant; report-visible flag is explicit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Staff data</w:t>
            </w:r>
          </w:p>
        </w:tc>
        <w:tc>
          <w:tcPr>
            <w:tcW w:type="dxa" w:w="2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Name, email, role, activity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Personal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Audit entries retained per policy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Operational</w:t>
            </w:r>
          </w:p>
        </w:tc>
        <w:tc>
          <w:tcPr>
            <w:tcW w:type="dxa" w:w="2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Logs, error reports, metrics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Pseudonymous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Identifiers only; personal data scrubbed at source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Billing</w:t>
            </w:r>
          </w:p>
        </w:tc>
        <w:tc>
          <w:tcPr>
            <w:tcW w:type="dxa" w:w="2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Company details, tax IDs; card data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3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Card data never touches our systems — held by the payment provider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7.2 Standing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learner or guardian personal data in URLs, query strings, log lines, error tracking payloads, or support tickets. Identifiers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Error reporting is configured with scrubbing rules and reviewed whenever a new field is added.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Generated PDFs and uploads live under tenant-scoped paths in private storage and are served only through short-lived signed links.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 and demo environments never contain production personal data; presets and seeded fixtures use neutral names ("Sample Learner").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Data minimization: optional fields stay optional, and no field is collected because it might be useful later.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8. Data Subject Rights</w:t>
      </w:r>
    </w:p>
    <w:p>
      <w:pPr>
        <w:spacing w:after="120" w:line="276"/>
        <w:jc w:val="both"/>
      </w:pPr>
      <w:r>
        <w:t xml:space="preserve">In the usual arrangement the </w:t>
      </w:r>
      <w:r>
        <w:rPr>
          <w:b/>
          <w:bCs/>
        </w:rPr>
        <w:t xml:space="preserve">tenant is the data controller</w:t>
      </w:r>
      <w:r>
        <w:t xml:space="preserve"> and </w:t>
      </w:r>
      <w:r>
        <w:rPr>
          <w:b/>
          <w:bCs/>
        </w:rPr>
        <w:t xml:space="preserve">snova-labs is the processor</w:t>
      </w:r>
      <w:r>
        <w:t xml:space="preserve">. Requests therefore arrive at the customer, who must be able to satisfy them without contacting us — so the capability is a product feature, not a support process (NFR-SEC-3).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1646"/>
      </w:tblGrid>
      <w:tr>
        <w:trPr>
          <w:tblHeader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Right</w:t>
            </w:r>
          </w:p>
        </w:tc>
        <w:tc>
          <w:tcPr>
            <w:tcW w:type="dxa" w:w="6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 capability</w:t>
            </w:r>
          </w:p>
        </w:tc>
        <w:tc>
          <w:tcPr>
            <w:tcW w:type="dxa" w:w="1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Access / portability</w:t>
            </w:r>
          </w:p>
        </w:tc>
        <w:tc>
          <w:tcPr>
            <w:tcW w:type="dxa" w:w="6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Per-learner data package and full-tenant export in open formats</w:t>
            </w:r>
          </w:p>
        </w:tc>
        <w:tc>
          <w:tcPr>
            <w:tcW w:type="dxa" w:w="1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Rectification</w:t>
            </w:r>
          </w:p>
        </w:tc>
        <w:tc>
          <w:tcPr>
            <w:tcW w:type="dxa" w:w="6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Standard editing with audit trail</w:t>
            </w:r>
          </w:p>
        </w:tc>
        <w:tc>
          <w:tcPr>
            <w:tcW w:type="dxa" w:w="1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Erasure</w:t>
            </w:r>
          </w:p>
        </w:tc>
        <w:tc>
          <w:tcPr>
            <w:tcW w:type="dxa" w:w="6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Learner/guardian deletion workflow with configurable handling of dependent academic records; deletion itself is audited</w:t>
            </w:r>
          </w:p>
        </w:tc>
        <w:tc>
          <w:tcPr>
            <w:tcW w:type="dxa" w:w="1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Restriction / objection</w:t>
            </w:r>
          </w:p>
        </w:tc>
        <w:tc>
          <w:tcPr>
            <w:tcW w:type="dxa" w:w="6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 change to suspend processing while retaining the record</w:t>
            </w:r>
          </w:p>
        </w:tc>
        <w:tc>
          <w:tcPr>
            <w:tcW w:type="dxa" w:w="1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Information</w:t>
            </w:r>
          </w:p>
        </w:tc>
        <w:tc>
          <w:tcPr>
            <w:tcW w:type="dxa" w:w="6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Retention settings and a privacy summary the tenant can share with families</w:t>
            </w:r>
          </w:p>
        </w:tc>
        <w:tc>
          <w:tcPr>
            <w:tcW w:type="dxa" w:w="1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9. Retention &amp; Deletion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2446"/>
      </w:tblGrid>
      <w:tr>
        <w:trPr>
          <w:tblHeader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retention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Configurable?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Active academic records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Life of the tenant account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 — the customer’s data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Withdrawn learner records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Tenant-defined; default retain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Yes — per tenant, expressed in years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Audit logs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24 months online, then archive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Yes (P3)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 PDFs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Retained; storage lifecycle may move old periods to cold storage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Operational logs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30–90 days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30 daily, 12 monthly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Cancelled tenant data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Retention window (default 30 days) then irreversible purge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Yes, by agreement</w:t>
            </w:r>
          </w:p>
        </w:tc>
      </w:tr>
    </w:tbl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Deletion must be genuine: a purge removes rows, files and backup inclusion going forward, and is recorded. "Soft deleted forever" is not a retention policy and will not satisfy a regulator.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10. Jurisdictional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200"/>
        <w:gridCol w:w="2746"/>
      </w:tblGrid>
      <w:tr>
        <w:trPr>
          <w:tblHeader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Regime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Applies when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obligations for us</w:t>
            </w:r>
          </w:p>
        </w:tc>
        <w:tc>
          <w:tcPr>
            <w:tcW w:type="dxa" w:w="2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 implication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GDPR (EU) / UK GDPR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Any learner or guardian in the EU/UK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Act only on documented instructions; processing agreement; sub-processor transparency; assist with subject rights; breach notification to the controller without undue delay</w:t>
            </w:r>
          </w:p>
        </w:tc>
        <w:tc>
          <w:tcPr>
            <w:tcW w:type="dxa" w:w="2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DPA template, sub-processor page, export/erase features, breach runbook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UK Age Appropriate Design Code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Services processing children’s data in the UK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 minimization, high-privacy defaults, no nudging toward weaker settings</w:t>
            </w:r>
          </w:p>
        </w:tc>
        <w:tc>
          <w:tcPr>
            <w:tcW w:type="dxa" w:w="2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Conservative defaults; no behavioral profiling; no third-party trackers in the app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COPPA (US)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Under-13 learners in the US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Verifiable parental consent obtained by the operator of the service to the child — normally the school/centre</w:t>
            </w:r>
          </w:p>
        </w:tc>
        <w:tc>
          <w:tcPr>
            <w:tcW w:type="dxa" w:w="2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We support the tenant’s consent record-keeping; we do not market to children or collect beyond need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FERPA-adjacent expectations (US)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Education records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Act as a "school official" under the customer’s direction</w:t>
            </w:r>
          </w:p>
        </w:tc>
        <w:tc>
          <w:tcPr>
            <w:tcW w:type="dxa" w:w="2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Contractual language; no secondary use of customer data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PIPEDA (Canada) / Privacy Act (Australia)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Learners in those countries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Consent, access, correction, breach reporting</w:t>
            </w:r>
          </w:p>
        </w:tc>
        <w:tc>
          <w:tcPr>
            <w:tcW w:type="dxa" w:w="2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Same feature set satisfies these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Local data-residency requests</w:t>
            </w:r>
          </w:p>
        </w:tc>
        <w:tc>
          <w:tcPr>
            <w:tcW w:type="dxa" w:w="19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Institutional or public-sector buyers</w:t>
            </w:r>
          </w:p>
        </w:tc>
        <w:tc>
          <w:tcPr>
            <w:tcW w:type="dxa" w:w="3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Store and process in a stated region</w:t>
            </w:r>
          </w:p>
        </w:tc>
        <w:tc>
          <w:tcPr>
            <w:tcW w:type="dxa" w:w="2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Per-tenant region attribute exists from P1 (FR-TEN-5)</w:t>
            </w:r>
          </w:p>
        </w:tc>
      </w:tr>
    </w:tbl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Standing commitment: customer data is never used to train models, sold, or shared for advertising. This is stated in the agreement and is a competitive advantage in this segment — say it plainly on the website.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11. Contractual &amp; Documentary Artifacts</w:t>
      </w:r>
    </w:p>
    <w:p>
      <w:pPr>
        <w:spacing w:after="120" w:line="276"/>
        <w:jc w:val="both"/>
      </w:pPr>
      <w:r>
        <w:t xml:space="preserve">These must exist before the first EU or institutional customer signs. They are product deliverables, not paperwork to improvise later: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446"/>
      </w:tblGrid>
      <w:tr>
        <w:trPr>
          <w:tblHeader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Needed by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Terms of Service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Commercial relationship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First paid customer (P3)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Our own processing (staff accounts, marketing site)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 Processing Agreement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Controller–processor terms; required by EU customers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First EU customer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Sub-processor list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Hosting, storage, email, payments — with notice-of-change commitment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First EU customer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Record of processing activities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Article 30 obligation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First EU customer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Security overview (one page)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Answers 80% of buyer security questions before they ask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 — sales accelerator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Breach response runbook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Who does what, in what order, with what timings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Before production data exists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Retention &amp; deletion schedule</w:t>
            </w:r>
          </w:p>
        </w:tc>
        <w:tc>
          <w:tcPr>
            <w:tcW w:type="dxa" w:w="4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Published operational commitment</w:t>
            </w:r>
          </w:p>
        </w:tc>
        <w:tc>
          <w:tcPr>
            <w:tcW w:type="dxa" w:w="24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12. Infrastructure 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TLS everywhere with modern configuration; HSTS; the application is reachable only through the proxy layer.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Encryption at rest for database volumes, object storage and backups; keys held by the platform provider or a managed key service, never in the repository.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Backups encrypted and access-restricted; </w:t>
      </w:r>
      <w:r>
        <w:rPr>
          <w:b/>
          <w:bCs/>
        </w:rPr>
        <w:t xml:space="preserve">restore is rehearsed on a schedule</w:t>
      </w:r>
      <w:r>
        <w:t xml:space="preserve"> — an untested backup is a belief, not a control.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Least-privilege service accounts: the application database user holds no UPDATE or DELETE grant on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audit_logs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Administrative access to servers by key only, no password authentication, with an offboarding checklist.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13. Secure Development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Automated in CI: dependency vulnerability scanning, static analysis, secret scanning, and the full test suite including isolation and authorization-denial cases.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policy: critical dependency advisories addressed within 7 days, high within 30.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Security-relevant changes (authentication, authorization, tenancy, file access) require an explicit review note in the pull request describing what was verified.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published security contact and disclosure policy, with a commitment to acknowledge reports within 72 hours, from public launch (P4).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14. Incident Response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Detect</w:t>
      </w:r>
      <w:r>
        <w:t xml:space="preserve"> — alerting on error-rate spikes, authentication anomalies, and failed job surges; any report from a customer or researcher enters the same process.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Contain</w:t>
      </w:r>
      <w:r>
        <w:t xml:space="preserve"> — revoke credentials, disable affected paths, or suspend the impacted tenant; preserve logs before remediation.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Assess</w:t>
      </w:r>
      <w:r>
        <w:t xml:space="preserve"> — determine what data was involved, whose, and over what window, using the audit log as the primary evidence source.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Notify</w:t>
      </w:r>
      <w:r>
        <w:t xml:space="preserve"> — inform affected tenants (as controllers) without undue delay, with facts, scope and remediation; support their regulator notification with the detail they need.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Remediate and record</w:t>
      </w:r>
      <w:r>
        <w:t xml:space="preserve"> — fix, add the regression test, and publish a post-incident summary to affected customers.</w:t>
      </w:r>
    </w:p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The audit log is the reason this process can work at all. It is append-only, tenant-visible, and covers operator access — which is precisely why it is not a feature to be trimmed under schedule pressure.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/>
      </w:pBdr>
      <w:jc w:val="center"/>
    </w:pPr>
    <w:r>
      <w:rPr>
        <w:color w:val="5A6B7E"/>
        <w:sz w:val="17"/>
        <w:szCs w:val="17"/>
      </w:rPr>
      <w:t xml:space="preserve">SL-SEC-004 · Multi-Tenancy, Security &amp; Compliance · snova-labs   |   Page </w:t>
    </w:r>
    <w:r>
      <w:rPr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6B7E"/>
        <w:sz w:val="17"/>
        <w:szCs w:val="17"/>
      </w:rPr>
      <w:t xml:space="preserve"> of </w:t>
    </w:r>
    <w:r>
      <w:rPr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2026-08-18T10:55:50.517Z</dcterms:created>
  <dcterms:modified xsi:type="dcterms:W3CDTF">2026-08-18T10:55:50.517Z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