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300"/>
        <w:jc w:val="center"/>
      </w:pPr>
      <w:r>
        <w:rPr>
          <w:b/>
          <w:bCs/>
          <w:color w:val="1F4E6B"/>
          <w:spacing w:val="70"/>
          <w:sz w:val="40"/>
          <w:szCs w:val="40"/>
        </w:rPr>
        <w:t xml:space="preserve">TUTORIUM</w:t>
      </w:r>
    </w:p>
    <w:p>
      <w:pPr>
        <w:spacing w:after="380"/>
        <w:jc w:val="center"/>
      </w:pPr>
      <w:r>
        <w:rPr>
          <w:color w:val="5A6B7E"/>
          <w:sz w:val="21"/>
          <w:szCs w:val="21"/>
        </w:rPr>
        <w:t xml:space="preserve">Cohort management platform for tutoring centres, language schools and training institutes</w:t>
      </w:r>
    </w:p>
    <w:p>
      <w:pPr>
        <w:pBdr>
          <w:top w:val="single" w:color="DCE3EA" w:sz="8"/>
          <w:bottom w:val="single" w:color="DCE3EA" w:sz="8"/>
        </w:pBdr>
        <w:spacing w:after="180"/>
        <w:jc w:val="center"/>
      </w:pPr>
      <w:r>
        <w:rPr>
          <w:b/>
          <w:bCs/>
          <w:color w:val="13323F"/>
          <w:sz w:val="42"/>
          <w:szCs w:val="42"/>
        </w:rPr>
        <w:t xml:space="preserve">Billing, Plans, Entitlements &amp; Metering</w:t>
      </w:r>
    </w:p>
    <w:p>
      <w:pPr>
        <w:spacing w:after="1100"/>
        <w:jc w:val="center"/>
      </w:pPr>
      <w:r>
        <w:rPr>
          <w:i/>
          <w:iCs/>
          <w:color w:val="5A6B7E"/>
          <w:sz w:val="23"/>
          <w:szCs w:val="23"/>
        </w:rPr>
        <w:t xml:space="preserve">How usage is measured, what customers are charged, and how entitlements work in cloud and self-hosted modes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SL-BIL-006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0.1 — draft for review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16 August 2026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snova · github.com/snova-labs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Product name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Tutorium — </w:t>
            </w:r>
            <w:r>
              <w:rPr>
                <w:b/>
                <w:bCs/>
                <w:sz w:val="19"/>
                <w:szCs w:val="19"/>
              </w:rPr>
              <w:t xml:space="preserve">provisional</w:t>
            </w:r>
            <w:r>
              <w:rPr>
                <w:sz w:val="19"/>
                <w:szCs w:val="19"/>
              </w:rPr>
              <w:t xml:space="preserve">; trademark and domain clearance pending. The codebase uses no product name (see SL-ARC-002 §1), so a rename is a configuration change.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Draft — open for edits and additions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Parent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SL-PRD-000 §6 (pricing model) · SL-SRS-001 §4.2–4.6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1. Model Overview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plan ──&lt; plan_features            (limits + feature flags, data-defined)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│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subscription ── tenant ──&lt; usage_snapshots  (immutable daily counts)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│                              │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└──&lt; invoices ─────────────────┘  quantity = peak snapshot in period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EntitlementService  ← the ONLY way the app asks "can this tenant do X?"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cloud      : resolves from subscription + plan_features + overrides</w:t>
      </w:r>
    </w:p>
    <w:p>
      <w:pPr>
        <w:shd w:fill="F5F7F9" w:val="clear"/>
        <w:spacing w:after="14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self-hosted: resolves from a signed licence file</w:t>
      </w:r>
    </w:p>
    <w:p>
      <w:pPr>
        <w:spacing w:after="120" w:line="276"/>
        <w:jc w:val="both"/>
      </w:pPr>
      <w:r>
        <w:t xml:space="preserve">Two rules keep this from leaking into the product: </w:t>
      </w:r>
      <w:r>
        <w:rPr>
          <w:b/>
          <w:bCs/>
        </w:rPr>
        <w:t xml:space="preserve">no feature check ever queries billing tables directly</w:t>
      </w:r>
      <w:r>
        <w:t xml:space="preserve">, and </w:t>
      </w:r>
      <w:r>
        <w:rPr>
          <w:b/>
          <w:bCs/>
        </w:rPr>
        <w:t xml:space="preserve">no invoice is ever computed from live data</w:t>
      </w:r>
      <w:r>
        <w:t xml:space="preserve"> — only from immutable snapshots.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2. The Metric: Active Learners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2.1 Definition</w:t>
      </w:r>
    </w:p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An </w:t>
      </w:r>
      <w:r>
        <w:rPr>
          <w:b/>
          <w:bCs/>
          <w:sz w:val="20"/>
          <w:szCs w:val="20"/>
        </w:rPr>
        <w:t xml:space="preserve">active learner</w:t>
      </w:r>
      <w:r>
        <w:rPr>
          <w:sz w:val="20"/>
          <w:szCs w:val="20"/>
        </w:rPr>
        <w:t xml:space="preserve"> is a learner holding at least one enrollment whose status is flagged </w:t>
      </w:r>
      <w:r>
        <w:rPr>
          <w:rFonts w:ascii="Consolas" w:cs="Consolas" w:eastAsia="Consolas" w:hAnsi="Consolas"/>
          <w:color w:val="13323F"/>
          <w:sz w:val="20"/>
          <w:szCs w:val="20"/>
        </w:rPr>
        <w:t xml:space="preserve">is_active_for_billing</w:t>
      </w:r>
      <w:r>
        <w:rPr>
          <w:sz w:val="20"/>
          <w:szCs w:val="20"/>
        </w:rPr>
        <w:t xml:space="preserve"> for one or more days within the billing period. The billable quantity is the </w:t>
      </w:r>
      <w:r>
        <w:rPr>
          <w:b/>
          <w:bCs/>
          <w:sz w:val="20"/>
          <w:szCs w:val="20"/>
        </w:rPr>
        <w:t xml:space="preserve">peak</w:t>
      </w:r>
      <w:r>
        <w:rPr>
          <w:sz w:val="20"/>
          <w:szCs w:val="20"/>
        </w:rPr>
        <w:t xml:space="preserve"> daily count in that period. Learners are counted once regardless of how many batches they are enrolled in.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2.2 Why these choices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Peak rather than average</w:t>
      </w:r>
      <w:r>
        <w:t xml:space="preserve"> — a customer can verify it against their own roster without arithmetic, and it cannot be gamed by shuffling enrollment dates.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Learner-level, not enrollment-level</w:t>
      </w:r>
      <w:r>
        <w:t xml:space="preserve"> — a centre that upsells a second course to the same child is not punished for it, which keeps the metric aligned with their growth rather than their packaging.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Status-flag driven</w:t>
      </w:r>
      <w:r>
        <w:t xml:space="preserve"> — the lookup flag (SL-DAT-003 §4) means the tenant can see exactly which statuses cost money, and can add "On hold" without billing code changing.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History is free forever</w:t>
      </w:r>
      <w:r>
        <w:t xml:space="preserve"> — withdrawn, completed and graduated learners cost nothing. Charging for archives teaches customers to delete evidence, which destroys the product’s core value.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2.3 Edge cases (resolved, not left to interpretation)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Treatment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 joins mid-period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Counted from their first active day; may raise the peak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 withdraws mid-period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Still counted for the period — they consumed the service; not counted next period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 transferred between batches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One learner, counted once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 re-enrolls after a gap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Counted again in the period they return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Enrollment marked "On hold"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Depends on the tenant’s flag for that status — visible in settings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Trial tenant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Metered normally, invoiced at zero; conversion carries the history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Suspended tenant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Metering pauses; read-only access remains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 below the plan minimum</w:t>
            </w:r>
          </w:p>
        </w:tc>
        <w:tc>
          <w:tcPr>
            <w:tcW w:type="dxa" w:w="6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Minimum monthly charge applies; the invoice shows both figures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3. Metering Implementation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scheduled job runs once daily per region at a fixed UTC hour, writing one immutable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usage_snapshots</w:t>
      </w:r>
      <w:r>
        <w:t xml:space="preserve"> row per tenant with the count and a breakdown by brand and branch.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job is idempotent: re-running for a date replaces nothing and logs a skip, so a retry after a failure cannot double-count.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missed day is backfilled from enrollment status history, which is why that history table exists (SL-DAT-003 §6).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Snapshots are never edited. A correction writes a new row flagged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is_corrected</w:t>
      </w:r>
      <w:r>
        <w:t xml:space="preserve"> with a reason and the operator’s identity, and any affected invoice shows the correction (FR-MTR-4).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Tenants see a live meter — current count, period peak to date, projected invoice — plus a downloadable usage history. The invoice must never be the first time they see the number (FR-MTR-3).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4. Plans &amp; Entitlements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4.1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946"/>
      </w:tblGrid>
      <w:tr>
        <w:trPr>
          <w:tblHeader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unit_price per active learner, interval, minimum charge, currency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Data; multiple currencies supported per plan family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Limits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max_brands, max_branches, max_staff, storage_gb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Each declares soft (warn) or hard (block) enforcement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Features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api_access, custom_domain, sso, ms_integrations, scheduled_reports, priority_support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Boolean or valued flags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Overrides</w:t>
            </w:r>
          </w:p>
        </w:tc>
        <w:tc>
          <w:tcPr>
            <w:tcW w:type="dxa" w:w="43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Per-tenant grants with reason and expiry</w:t>
            </w:r>
          </w:p>
        </w:tc>
        <w:tc>
          <w:tcPr>
            <w:tcW w:type="dxa" w:w="39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For negotiated deals; audited</w:t>
            </w:r>
          </w:p>
        </w:tc>
      </w:tr>
    </w:tbl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4.2 Enforcement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Hard limits block the *initiating* action with a clear message and an upgrade path. They never block a save that would discard work already entered — a teacher must always be able to finish the grid in front of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Exceeding a soft limit warns the tenant admin and notifies the operator; it never degrades service silently.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Downgrades that would breach a limit are accepted but flagged: the tenant is told what must be reduced and by when, rather than having data locked away.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Feature flags are checked at the capability boundary, not scattered through the UI — one check, one place, testable.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5. Payment Providers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4100"/>
        <w:gridCol w:w="1746"/>
      </w:tblGrid>
      <w:tr>
        <w:trPr>
          <w:tblHeader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Handles</w:t>
            </w:r>
          </w:p>
        </w:tc>
        <w:tc>
          <w:tcPr>
            <w:tcW w:type="dxa" w:w="1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Default for card-paying cloud tenants</w:t>
            </w:r>
          </w:p>
        </w:tc>
        <w:tc>
          <w:tcPr>
            <w:tcW w:type="dxa" w:w="4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Customers, subscriptions, metered usage reporting, invoices, tax calculation, webhooks, payment method updates</w:t>
            </w:r>
          </w:p>
        </w:tc>
        <w:tc>
          <w:tcPr>
            <w:tcW w:type="dxa" w:w="1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Manual / offline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Institutional buyers, bank transfer markets, on-premises licences</w:t>
            </w:r>
          </w:p>
        </w:tc>
        <w:tc>
          <w:tcPr>
            <w:tcW w:type="dxa" w:w="4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Invoice generation, manual payment marking, activation without a card</w:t>
            </w:r>
          </w:p>
        </w:tc>
        <w:tc>
          <w:tcPr>
            <w:tcW w:type="dxa" w:w="1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P3 — ships with Stripe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Merchant of record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Fallback if the operating entity cannot use Stripe, or to outsource worldwide tax</w:t>
            </w:r>
          </w:p>
        </w:tc>
        <w:tc>
          <w:tcPr>
            <w:tcW w:type="dxa" w:w="4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Provider owns the sale, tax and remittance; we receive payouts and webhooks</w:t>
            </w:r>
          </w:p>
        </w:tc>
        <w:tc>
          <w:tcPr>
            <w:tcW w:type="dxa" w:w="1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Specified; built when needed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Local gateways</w:t>
            </w:r>
          </w:p>
        </w:tc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Regional expansion (South Asia and similar)</w:t>
            </w:r>
          </w:p>
        </w:tc>
        <w:tc>
          <w:tcPr>
            <w:tcW w:type="dxa" w:w="41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Card and wallet methods Stripe does not cover locally</w:t>
            </w:r>
          </w:p>
        </w:tc>
        <w:tc>
          <w:tcPr>
            <w:tcW w:type="dxa" w:w="17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Later</w:t>
            </w:r>
          </w:p>
        </w:tc>
      </w:tr>
    </w:tbl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Open dependency: Stripe requires an operating entity in a supported country. If the entity ends up somewhere Stripe does not support, the merchant-of-record driver becomes the launch driver instead. The interface is identical, so this decision changes one class and the onboarding copy — nothing else (SL-PRD-000 §12 D2/D3).</w:t>
      </w:r>
    </w:p>
    <w:p>
      <w:pPr>
        <w:pStyle w:val="Heading2"/>
        <w:spacing w:after="110" w:before="250"/>
      </w:pPr>
      <w:r>
        <w:rPr>
          <w:b/>
          <w:bCs/>
          <w:color w:val="1F4E6B"/>
          <w:sz w:val="25"/>
          <w:szCs w:val="25"/>
        </w:rPr>
        <w:t xml:space="preserve">5.1 Integration discipline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provider communication is one-way idempotent: webhooks are verified by signature, recorded before processing, and safe to replay. The provider is the source of truth for payment state; our records mirror it and reconcile nightly.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Card data never reaches our systems — checkout and payment method management are hosted by the provider.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provider action stores its reference (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provider_ref</w:t>
      </w:r>
      <w:r>
        <w:t xml:space="preserve">) so any invoice or subscription can be traced end to end during a dispute.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6. Subscription Lifecycle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signup ──► TRIAL ──(convert)──► ACTIVE ◄──────────┐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│                    │  │             │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(expire, no card)     (payment fails)   (payment succeeds)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│                    ▼             │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└────────────►   PAST_DUE ─────────┘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                     │ (dunning exhausted)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                     ▼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                SUSPENDED  (read-only + export)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                     │ (no resolution / request)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                     ▼</w:t>
      </w:r>
    </w:p>
    <w:p>
      <w:pPr>
        <w:shd w:fill="F5F7F9" w:val="clear"/>
        <w:spacing w:after="14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                            CANCELLED ──(retention window)──► PURGED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846"/>
      </w:tblGrid>
      <w:tr>
        <w:trPr>
          <w:tblHeader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Tenant can</w:t>
            </w:r>
          </w:p>
        </w:tc>
        <w:tc>
          <w:tcPr>
            <w:tcW w:type="dxa" w:w="38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Tenant cannot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Trial</w:t>
            </w:r>
          </w:p>
        </w:tc>
        <w:tc>
          <w:tcPr>
            <w:tcW w:type="dxa" w:w="4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Everything, within trial limits</w:t>
            </w:r>
          </w:p>
        </w:tc>
        <w:tc>
          <w:tcPr>
            <w:tcW w:type="dxa" w:w="38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Exceed trial learner cap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Active</w:t>
            </w:r>
          </w:p>
        </w:tc>
        <w:tc>
          <w:tcPr>
            <w:tcW w:type="dxa" w:w="4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Everything in plan</w:t>
            </w:r>
          </w:p>
        </w:tc>
        <w:tc>
          <w:tcPr>
            <w:tcW w:type="dxa" w:w="38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Past due</w:t>
            </w:r>
          </w:p>
        </w:tc>
        <w:tc>
          <w:tcPr>
            <w:tcW w:type="dxa" w:w="4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Everything; sees payment banner</w:t>
            </w:r>
          </w:p>
        </w:tc>
        <w:tc>
          <w:tcPr>
            <w:tcW w:type="dxa" w:w="38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Suspended</w:t>
            </w:r>
          </w:p>
        </w:tc>
        <w:tc>
          <w:tcPr>
            <w:tcW w:type="dxa" w:w="4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Log in, read data, export everything</w:t>
            </w:r>
          </w:p>
        </w:tc>
        <w:tc>
          <w:tcPr>
            <w:tcW w:type="dxa" w:w="38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Create or modify records; send reports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4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Export during the retention window</w:t>
            </w:r>
          </w:p>
        </w:tc>
        <w:tc>
          <w:tcPr>
            <w:tcW w:type="dxa" w:w="38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Use the application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Purged</w:t>
            </w:r>
          </w:p>
        </w:tc>
        <w:tc>
          <w:tcPr>
            <w:tcW w:type="dxa" w:w="4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 is irreversibly removed</w:t>
            </w:r>
          </w:p>
        </w:tc>
      </w:tr>
    </w:tbl>
    <w:p>
      <w:pPr>
        <w:spacing w:after="120" w:line="276"/>
        <w:jc w:val="both"/>
      </w:pPr>
      <w:r>
        <w:t xml:space="preserve">The principle behind this table: </w:t>
      </w:r>
      <w:r>
        <w:rPr>
          <w:b/>
          <w:bCs/>
        </w:rPr>
        <w:t xml:space="preserve">non-payment restricts service, never access to one’s own data.</w:t>
      </w:r>
      <w:r>
        <w:t xml:space="preserve"> Holding data hostage generates chargebacks, reviews and regulatory complaints — and in this segment it would be data about children.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7. Trials, Changes &amp; Dunning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Trial:</w:t>
      </w:r>
      <w:r>
        <w:t xml:space="preserve"> 14–30 days, full features, no card required, capped learner count. All data carries into the paid tenant untouched — no re-entry, ever.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Upgrade:</w:t>
      </w:r>
      <w:r>
        <w:t xml:space="preserve"> immediate, prorated for the remainder of the period.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Downgrade:</w:t>
      </w:r>
      <w:r>
        <w:t xml:space="preserve"> effective at period end, with a clear statement of what will be limited.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Dunning:</w:t>
      </w:r>
      <w:r>
        <w:t xml:space="preserve"> on a failed payment, retry on a defined schedule (roughly day 1, 3, 5, 7) with escalating emails to the billing contact; after the schedule, move to Suspended. Every step is announced in advance — a customer should never be surprised by suspension.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Recovery:</w:t>
      </w:r>
      <w:r>
        <w:t xml:space="preserve"> paying while Suspended restores full service immediately, with no data loss and no re-onboarding.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8. Invoicing &amp; Tax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invoice shows: period, metered quantity with its basis (peak date), unit price, minimum-charge adjustment if applied, subtotal, tax, total, currency, and both parties’ details including tax identifiers.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Tax handling is jurisdiction-driven: sales tax or VAT/GST where required, EU reverse charge with a validated VAT number, and correct treatment for cross-border digital services. Under a merchant-of-record driver, this is the provider’s responsibility.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Invoices are immutable once issued; corrections are credit notes, never edits.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Tenants download invoices themselves from the billing portal (P4), and before that receive them by email.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9. Self-Hosted Licensing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licence is a signed file conveying tenant name, learner cap, enabled features, issue date and expiry. Validation is offline using a public key shipped with the release — no internet dependency at runtime (NFR-PORT-2).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Cap behavior: exceeding the learner cap warns prominently and blocks new enrollments; it never blocks attendance, grading or reporting for existing learners.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Expiry behavior: warnings begin 30 days out; after expiry a grace period continues normal operation, after which the system degrades to read-only with export available. It never deletes and never locks a customer out of their own records.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Optional consent-based telemetry reports version and counts for support and renewal; the product functions identically with telemetry off.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10. Revenue Reporting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646"/>
      </w:tblGrid>
      <w:tr>
        <w:trPr>
          <w:tblHeader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MRR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Sum of active subscription values normalized to a month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Headline health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Net revenue retention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Revenue from existing tenants this period ÷ last period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Whether the per-learner metric is compounding as intended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ARPT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MRR ÷ active tenants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Segment and pricing validation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Logo churn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Tenants cancelled ÷ tenants at period start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Seasonal in education — measure annually, not monthly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Trial conversion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Paid conversions ÷ trials started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Onboarding quality signal (SL-PRD-000 §9)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Gross margin per tenant</w:t>
            </w:r>
          </w:p>
        </w:tc>
        <w:tc>
          <w:tcPr>
            <w:tcW w:type="dxa" w:w="46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Revenue − infrastructure and provider fees</w:t>
            </w:r>
          </w:p>
        </w:tc>
        <w:tc>
          <w:tcPr>
            <w:tcW w:type="dxa" w:w="36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Confirms the &lt; 2% infrastructure target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11. Test Scenarios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tenant with joiners and withdrawals mid-period produces a peak matching a hand-counted roster; the invoice quantity equals that peak.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duplicated metering run for the same date creates no second snapshot and no double charge.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learner enrolled in three batches simultaneously is counted once.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failed payment triggers the full dunning sequence, reaches Suspended, and export remains available throughout.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Paying while Suspended restores full access with no data change.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An upgrade mid-period prorates correctly, and a feature gated by the new plan becomes available immediately through the entitlement interface only.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replayed provider webhook produces no duplicate invoice or subscription change.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self-hosted instance with an expired licence enters read-only after the grace period and still exports fully.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4"/>
      </w:pBdr>
      <w:jc w:val="center"/>
    </w:pPr>
    <w:r>
      <w:rPr>
        <w:color w:val="5A6B7E"/>
        <w:sz w:val="17"/>
        <w:szCs w:val="17"/>
      </w:rPr>
      <w:t xml:space="preserve">SL-BIL-006 · Billing, Plans, Entitlements &amp; Metering · snova-labs   |   Page </w:t>
    </w:r>
    <w:r>
      <w:rPr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6B7E"/>
        <w:sz w:val="17"/>
        <w:szCs w:val="17"/>
      </w:rPr>
      <w:t xml:space="preserve"> of </w:t>
    </w:r>
    <w:r>
      <w:rPr>
        <w:color w:val="5A6B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2026-08-18T10:58:05.637Z</dcterms:created>
  <dcterms:modified xsi:type="dcterms:W3CDTF">2026-08-18T10:58:05.637Z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