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300"/>
        <w:jc w:val="center"/>
      </w:pPr>
      <w:r>
        <w:rPr>
          <w:b/>
          <w:bCs/>
          <w:color w:val="1F4E6B"/>
          <w:spacing w:val="70"/>
          <w:sz w:val="40"/>
          <w:szCs w:val="40"/>
        </w:rPr>
        <w:t xml:space="preserve">TUTORIUM</w:t>
      </w:r>
    </w:p>
    <w:p>
      <w:pPr>
        <w:spacing w:after="380"/>
        <w:jc w:val="center"/>
      </w:pPr>
      <w:r>
        <w:rPr>
          <w:color w:val="5A6B7E"/>
          <w:sz w:val="21"/>
          <w:szCs w:val="21"/>
        </w:rPr>
        <w:t xml:space="preserve">Cohort management platform for tutoring centres, language schools and training institutes</w:t>
      </w:r>
    </w:p>
    <w:p>
      <w:pPr>
        <w:pBdr>
          <w:top w:val="single" w:color="DCE3EA" w:sz="8"/>
          <w:bottom w:val="single" w:color="DCE3EA" w:sz="8"/>
        </w:pBdr>
        <w:spacing w:after="180"/>
        <w:jc w:val="center"/>
      </w:pPr>
      <w:r>
        <w:rPr>
          <w:b/>
          <w:bCs/>
          <w:color w:val="13323F"/>
          <w:sz w:val="42"/>
          <w:szCs w:val="42"/>
        </w:rPr>
        <w:t xml:space="preserve">Integrations &amp; DevOps Specification</w:t>
      </w:r>
    </w:p>
    <w:p>
      <w:pPr>
        <w:spacing w:after="1100"/>
        <w:jc w:val="center"/>
      </w:pPr>
      <w:r>
        <w:rPr>
          <w:i/>
          <w:iCs/>
          <w:color w:val="5A6B7E"/>
          <w:sz w:val="23"/>
          <w:szCs w:val="23"/>
        </w:rPr>
        <w:t xml:space="preserve">Provider drivers, Microsoft 365 architecture, email deliverability, environments, CI/CD and operations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46"/>
      </w:tblGrid>
      <w:tr>
        <w:trPr>
          <w:tblHeader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Document ID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SL-OPS-007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Version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0.1 — draft for review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16 August 2026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Owner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snova · github.com/snova-labs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Product name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Tutorium — </w:t>
            </w:r>
            <w:r>
              <w:rPr>
                <w:b/>
                <w:bCs/>
                <w:sz w:val="19"/>
                <w:szCs w:val="19"/>
              </w:rPr>
              <w:t xml:space="preserve">provisional</w:t>
            </w:r>
            <w:r>
              <w:rPr>
                <w:sz w:val="19"/>
                <w:szCs w:val="19"/>
              </w:rPr>
              <w:t xml:space="preserve">; trademark and domain clearance pending. The codebase uses no product name (see SL-ARC-002 §1), so a rename is a configuration change.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Draft — open for edits and additions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Parent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SL-SRS-001 §5 (Microsoft), §6.5–6.6 · SL-ARC-002 §2, §10, §11</w:t>
            </w:r>
          </w:p>
        </w:tc>
      </w:tr>
    </w:tbl>
    <w:p>
      <w:r>
        <w:br w:type="page"/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1. Environments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4946"/>
      </w:tblGrid>
      <w:tr>
        <w:trPr>
          <w:tblHeader/>
        </w:trPr>
        <w:tc>
          <w:tcPr>
            <w:tcW w:type="dxa" w:w="1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3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4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Composition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Local</w:t>
            </w:r>
          </w:p>
        </w:tc>
        <w:tc>
          <w:tcPr>
            <w:tcW w:type="dxa" w:w="3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Development; full stack offline, no cloud credentials required</w:t>
            </w:r>
          </w:p>
        </w:tc>
        <w:tc>
          <w:tcPr>
            <w:tcW w:type="dxa" w:w="4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Docker Compose: app, web server, MySQL, mail catcher, object storage, worker, scheduler (Redis and n8n optional)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Staging</w:t>
            </w:r>
          </w:p>
        </w:tc>
        <w:tc>
          <w:tcPr>
            <w:tcW w:type="dxa" w:w="3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Demos and pre-release verification; production-like configuration with non-production data</w:t>
            </w:r>
          </w:p>
        </w:tc>
        <w:tc>
          <w:tcPr>
            <w:tcW w:type="dxa" w:w="4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Same compose file on a small server, production drivers, seeded demo tenant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Production (cloud)</w:t>
            </w:r>
          </w:p>
        </w:tc>
        <w:tc>
          <w:tcPr>
            <w:tcW w:type="dxa" w:w="3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Live multi-tenant service</w:t>
            </w:r>
          </w:p>
        </w:tc>
        <w:tc>
          <w:tcPr>
            <w:tcW w:type="dxa" w:w="4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One modest server initially (SL-ARC-002 §11), scaling out on the documented ladder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Self-hosted (P5)</w:t>
            </w:r>
          </w:p>
        </w:tc>
        <w:tc>
          <w:tcPr>
            <w:tcW w:type="dxa" w:w="3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Customer-operated single-tenant install</w:t>
            </w:r>
          </w:p>
        </w:tc>
        <w:tc>
          <w:tcPr>
            <w:tcW w:type="dxa" w:w="4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Released artifacts, customer-supplied database, storage and SMTP</w:t>
            </w:r>
          </w:p>
        </w:tc>
      </w:tr>
    </w:tbl>
    <w:p>
      <w:pPr>
        <w:pStyle w:val="Heading2"/>
        <w:spacing w:after="110" w:before="250"/>
      </w:pPr>
      <w:r>
        <w:rPr>
          <w:b/>
          <w:bCs/>
          <w:color w:val="1F4E6B"/>
          <w:sz w:val="25"/>
          <w:szCs w:val="25"/>
        </w:rPr>
        <w:t xml:space="preserve">1.1 Local stack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services: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app        # PHP 8.3-FPM + composer, mounts source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web        # :8080 → app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mysql      # MySQL 8, persistent volume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worker     # queue worker (database driver by default)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scheduler  # runs the scheduler loop (session generation, metering)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mailpit    # SMTP :1025, UI :8025 — catches ALL outbound mail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minio      # S3-compatible object storage + console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redis      # optional profile: enabled when testing at load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n8n        # optional profile: email-dispatch flow parity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# a developer needs: docker compose up, then migrate + seed.</w:t>
      </w:r>
    </w:p>
    <w:p>
      <w:pPr>
        <w:shd w:fill="F5F7F9" w:val="clear"/>
        <w:spacing w:after="14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# No cloud account, no credentials, no external service.</w:t>
      </w:r>
    </w:p>
    <w:p>
      <w:pPr>
        <w:pBdr>
          <w:left w:val="single" w:color="C2761E" w:sz="18"/>
        </w:pBdr>
        <w:shd w:fill="FBF4EA" w:val="clear"/>
        <w:spacing w:after="140" w:before="100"/>
        <w:ind w:left="220"/>
      </w:pPr>
      <w:r>
        <w:rPr>
          <w:sz w:val="20"/>
          <w:szCs w:val="20"/>
        </w:rPr>
        <w:t xml:space="preserve">  Rule: the entire product — including PDF generation and report email — must be exercisable offline on a laptop. Anything that can only be tested against a paid service will end up untested.</w:t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2. Provider Drivers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2400"/>
        <w:gridCol w:w="2300"/>
        <w:gridCol w:w="1546"/>
      </w:tblGrid>
      <w:tr>
        <w:trPr>
          <w:tblHeader/>
        </w:trPr>
        <w:tc>
          <w:tcPr>
            <w:tcW w:type="dxa" w:w="1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Interface</w:t>
            </w:r>
          </w:p>
        </w:tc>
        <w:tc>
          <w:tcPr>
            <w:tcW w:type="dxa" w:w="1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Local</w:t>
            </w:r>
          </w:p>
        </w:tc>
        <w:tc>
          <w:tcPr>
            <w:tcW w:type="dxa" w:w="2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Cloud production</w:t>
            </w:r>
          </w:p>
        </w:tc>
        <w:tc>
          <w:tcPr>
            <w:tcW w:type="dxa" w:w="2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Microsoft-native (P5)</w:t>
            </w:r>
          </w:p>
        </w:tc>
        <w:tc>
          <w:tcPr>
            <w:tcW w:type="dxa" w:w="15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Self-hosted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MailProvider</w:t>
            </w:r>
          </w:p>
        </w:tc>
        <w:tc>
          <w:tcPr>
            <w:tcW w:type="dxa" w:w="1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Mail catcher (SMTP)</w:t>
            </w:r>
          </w:p>
        </w:tc>
        <w:tc>
          <w:tcPr>
            <w:tcW w:type="dxa" w:w="2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SMTP relay, or n8n workflow</w:t>
            </w:r>
          </w:p>
        </w:tc>
        <w:tc>
          <w:tcPr>
            <w:tcW w:type="dxa" w:w="2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Graph </w:t>
            </w: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sendMail</w:t>
            </w:r>
            <w:r>
              <w:rPr>
                <w:sz w:val="19"/>
                <w:szCs w:val="19"/>
              </w:rPr>
              <w:t xml:space="preserve"> from the tenant mailbox</w:t>
            </w:r>
          </w:p>
        </w:tc>
        <w:tc>
          <w:tcPr>
            <w:tcW w:type="dxa" w:w="15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Customer SMTP or their M365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FileStorage</w:t>
            </w:r>
          </w:p>
        </w:tc>
        <w:tc>
          <w:tcPr>
            <w:tcW w:type="dxa" w:w="1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MinIO / local disk</w:t>
            </w:r>
          </w:p>
        </w:tc>
        <w:tc>
          <w:tcPr>
            <w:tcW w:type="dxa" w:w="2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S3-compatible object storage</w:t>
            </w:r>
          </w:p>
        </w:tc>
        <w:tc>
          <w:tcPr>
            <w:tcW w:type="dxa" w:w="2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SharePoint/OneDrive via Graph (optional destination)</w:t>
            </w:r>
          </w:p>
        </w:tc>
        <w:tc>
          <w:tcPr>
            <w:tcW w:type="dxa" w:w="15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Local disk or customer storage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PdfRenderer</w:t>
            </w:r>
          </w:p>
        </w:tc>
        <w:tc>
          <w:tcPr>
            <w:tcW w:type="dxa" w:w="1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PHP-native</w:t>
            </w:r>
          </w:p>
        </w:tc>
        <w:tc>
          <w:tcPr>
            <w:tcW w:type="dxa" w:w="2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PHP-native → headless browser when layout demands</w:t>
            </w:r>
          </w:p>
        </w:tc>
        <w:tc>
          <w:tcPr>
            <w:tcW w:type="dxa" w:w="2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Unchanged</w:t>
            </w:r>
          </w:p>
        </w:tc>
        <w:tc>
          <w:tcPr>
            <w:tcW w:type="dxa" w:w="15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PHP-native (no browser dependency)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PaymentProvider</w:t>
            </w:r>
          </w:p>
        </w:tc>
        <w:tc>
          <w:tcPr>
            <w:tcW w:type="dxa" w:w="1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Stub</w:t>
            </w:r>
          </w:p>
        </w:tc>
        <w:tc>
          <w:tcPr>
            <w:tcW w:type="dxa" w:w="2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Stripe + manual invoicing</w:t>
            </w:r>
          </w:p>
        </w:tc>
        <w:tc>
          <w:tcPr>
            <w:tcW w:type="dxa" w:w="2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Unchanged</w:t>
            </w:r>
          </w:p>
        </w:tc>
        <w:tc>
          <w:tcPr>
            <w:tcW w:type="dxa" w:w="15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Not used — licence file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Entitlements</w:t>
            </w:r>
          </w:p>
        </w:tc>
        <w:tc>
          <w:tcPr>
            <w:tcW w:type="dxa" w:w="1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Subscription</w:t>
            </w:r>
          </w:p>
        </w:tc>
        <w:tc>
          <w:tcPr>
            <w:tcW w:type="dxa" w:w="2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Subscription</w:t>
            </w:r>
          </w:p>
        </w:tc>
        <w:tc>
          <w:tcPr>
            <w:tcW w:type="dxa" w:w="2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Subscription</w:t>
            </w:r>
          </w:p>
        </w:tc>
        <w:tc>
          <w:tcPr>
            <w:tcW w:type="dxa" w:w="15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Signed licence file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MeetingProvider</w:t>
            </w:r>
          </w:p>
        </w:tc>
        <w:tc>
          <w:tcPr>
            <w:tcW w:type="dxa" w:w="1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Manual link</w:t>
            </w:r>
          </w:p>
        </w:tc>
        <w:tc>
          <w:tcPr>
            <w:tcW w:type="dxa" w:w="2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Manual link</w:t>
            </w:r>
          </w:p>
        </w:tc>
        <w:tc>
          <w:tcPr>
            <w:tcW w:type="dxa" w:w="2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Teams meeting per session</w:t>
            </w:r>
          </w:p>
        </w:tc>
        <w:tc>
          <w:tcPr>
            <w:tcW w:type="dxa" w:w="15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Manual or customer Teams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CalendarProvider</w:t>
            </w:r>
          </w:p>
        </w:tc>
        <w:tc>
          <w:tcPr>
            <w:tcW w:type="dxa" w:w="1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iCal feed</w:t>
            </w:r>
          </w:p>
        </w:tc>
        <w:tc>
          <w:tcPr>
            <w:tcW w:type="dxa" w:w="2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iCal feed</w:t>
            </w:r>
          </w:p>
        </w:tc>
        <w:tc>
          <w:tcPr>
            <w:tcW w:type="dxa" w:w="2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Outlook events via Graph</w:t>
            </w:r>
          </w:p>
        </w:tc>
        <w:tc>
          <w:tcPr>
            <w:tcW w:type="dxa" w:w="15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iCal feed</w:t>
            </w:r>
          </w:p>
        </w:tc>
      </w:tr>
    </w:tbl>
    <w:p>
      <w:pPr>
        <w:spacing w:after="120" w:line="276"/>
        <w:jc w:val="both"/>
      </w:pPr>
      <w:r>
        <w:t xml:space="preserve">A driver is one class plus configuration. No business logic knows which driver is active — the report service asks for delivery, not for Stripe or Graph.</w:t>
      </w:r>
    </w:p>
    <w:p>
      <w:r>
        <w:br w:type="page"/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3. Email Architecture &amp; Deliverability</w:t>
      </w:r>
    </w:p>
    <w:p>
      <w:pPr>
        <w:spacing w:after="120" w:line="276"/>
        <w:jc w:val="both"/>
      </w:pPr>
      <w:r>
        <w:t xml:space="preserve">Progress reports are the product’s output; if they land in spam the product has failed. Deliverability is therefore an architectural concern, not an operational afterthought.</w:t>
      </w:r>
    </w:p>
    <w:p>
      <w:pPr>
        <w:pStyle w:val="Heading2"/>
        <w:spacing w:after="110" w:before="250"/>
      </w:pPr>
      <w:r>
        <w:rPr>
          <w:b/>
          <w:bCs/>
          <w:color w:val="1F4E6B"/>
          <w:sz w:val="25"/>
          <w:szCs w:val="25"/>
        </w:rPr>
        <w:t xml:space="preserve">3.1 Sending model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600"/>
        <w:gridCol w:w="3446"/>
      </w:tblGrid>
      <w:tr>
        <w:trPr>
          <w:tblHeader/>
        </w:trPr>
        <w:tc>
          <w:tcPr>
            <w:tcW w:type="dxa" w:w="1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4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it works</w:t>
            </w:r>
          </w:p>
        </w:tc>
        <w:tc>
          <w:tcPr>
            <w:tcW w:type="dxa" w:w="34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Platform sending (default)</w:t>
            </w:r>
          </w:p>
        </w:tc>
        <w:tc>
          <w:tcPr>
            <w:tcW w:type="dxa" w:w="4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Mail sent from a platform subdomain with the brand as display name and the brand address as reply-to. SPF, DKIM and DMARC are ours to maintain.</w:t>
            </w:r>
          </w:p>
        </w:tc>
        <w:tc>
          <w:tcPr>
            <w:tcW w:type="dxa" w:w="34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Every tenant at signup — zero setup, works immediately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Branded domain</w:t>
            </w:r>
          </w:p>
        </w:tc>
        <w:tc>
          <w:tcPr>
            <w:tcW w:type="dxa" w:w="4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 adds DNS records for a sending subdomain of their own domain; mail is then authenticated as them.</w:t>
            </w:r>
          </w:p>
        </w:tc>
        <w:tc>
          <w:tcPr>
            <w:tcW w:type="dxa" w:w="34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Growth-plan tenants who want reports to come "from" their school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 mailbox (P5)</w:t>
            </w:r>
          </w:p>
        </w:tc>
        <w:tc>
          <w:tcPr>
            <w:tcW w:type="dxa" w:w="4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Graph sends from the tenant’s own Microsoft 365 mailbox after admin consent; the message appears in their Sent Items.</w:t>
            </w:r>
          </w:p>
        </w:tc>
        <w:tc>
          <w:tcPr>
            <w:tcW w:type="dxa" w:w="34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Microsoft-committed customers; best possible deliverability and auditability</w:t>
            </w:r>
          </w:p>
        </w:tc>
      </w:tr>
    </w:tbl>
    <w:p>
      <w:pPr>
        <w:pStyle w:val="Heading2"/>
        <w:spacing w:after="110" w:before="250"/>
      </w:pPr>
      <w:r>
        <w:rPr>
          <w:b/>
          <w:bCs/>
          <w:color w:val="1F4E6B"/>
          <w:sz w:val="25"/>
          <w:szCs w:val="25"/>
        </w:rPr>
        <w:t xml:space="preserve">3.2 Protecting the shared reputation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Separate sending streams for transactional platform mail (invitations, resets) and tenant bulk mail (report batches), so one tenant’s bounce rate cannot poison password resets.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Per-tenant sending limits and rate control; report runs are queued and paced rather than dispatched in a burst.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Bounce and complaint handling is mandatory: hard bounces mark the recipient address invalid and surface it to the tenant for correction; repeated complaints suspend that tenant’s sending pending review.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Trial tenants have tighter limits — this is the standard abuse vector for a free tier.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Every delivery attempt is a tracked record with provider reference and error (SL-DAT-003 §10), so "the parent says they never got it" is answerable with evidence.</w:t>
      </w:r>
    </w:p>
    <w:p>
      <w:pPr>
        <w:pStyle w:val="Heading2"/>
        <w:spacing w:after="110" w:before="250"/>
      </w:pPr>
      <w:r>
        <w:rPr>
          <w:b/>
          <w:bCs/>
          <w:color w:val="1F4E6B"/>
          <w:sz w:val="25"/>
          <w:szCs w:val="25"/>
        </w:rPr>
        <w:t xml:space="preserve">3.3 The n8n option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An n8n workflow can sit between the application and the mail provider: the app posts a signed payload, n8n fetches attachments, sends, and calls back a status webhook. It buys retry logic and provider switching without deploys.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Assessment: useful when experimenting with providers or adding non-email channels, and an unnecessary moving part otherwise. Recommendation is to ship with direct SMTP, keep the n8n driver available, and adopt it only when a workflow need appears.</w:t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4. File Storage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Path layout: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tenants/{tenant}/brands/{brand}/reports/{period}/{report_number}.pdf</w:t>
      </w:r>
      <w:r>
        <w:t xml:space="preserve">, with uploads under a parallel prefix. Tenant is always the first path segment, which makes per-tenant export, lifecycle rules and deletion trivial.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All buckets private; downloads only through short-lived signed links issued after authorization.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Lifecycle: current period hot, older periods transitioned to cheaper storage, retention per SL-SEC-004 §9. Versioning enabled to survive accidental overwrites.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same filesystem abstraction serves local disk, S3-compatible storage and Azure — required for the self-hosted product and for keeping hosting negotiable.</w:t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5. Microsoft 365 Integration</w:t>
      </w:r>
    </w:p>
    <w:p>
      <w:pPr>
        <w:pStyle w:val="Heading2"/>
        <w:spacing w:after="110" w:before="250"/>
      </w:pPr>
      <w:r>
        <w:rPr>
          <w:b/>
          <w:bCs/>
          <w:color w:val="1F4E6B"/>
          <w:sz w:val="25"/>
          <w:szCs w:val="25"/>
        </w:rPr>
        <w:t xml:space="preserve">5.1 The critical constraint</w:t>
      </w:r>
    </w:p>
    <w:p>
      <w:pPr>
        <w:pBdr>
          <w:left w:val="single" w:color="C2761E" w:sz="18"/>
        </w:pBdr>
        <w:shd w:fill="FBF4EA" w:val="clear"/>
        <w:spacing w:after="140" w:before="100"/>
        <w:ind w:left="220"/>
      </w:pPr>
      <w:r>
        <w:rPr>
          <w:sz w:val="20"/>
          <w:szCs w:val="20"/>
        </w:rPr>
        <w:t xml:space="preserve">  Every customer has their </w:t>
      </w:r>
      <w:r>
        <w:rPr>
          <w:b/>
          <w:bCs/>
          <w:sz w:val="20"/>
          <w:szCs w:val="20"/>
        </w:rPr>
        <w:t xml:space="preserve">own</w:t>
      </w:r>
      <w:r>
        <w:rPr>
          <w:sz w:val="20"/>
          <w:szCs w:val="20"/>
        </w:rPr>
        <w:t xml:space="preserve"> Microsoft 365 tenant. Integration therefore requires a </w:t>
      </w:r>
      <w:r>
        <w:rPr>
          <w:b/>
          <w:bCs/>
          <w:sz w:val="20"/>
          <w:szCs w:val="20"/>
        </w:rPr>
        <w:t xml:space="preserve">multi-tenant application registration</w:t>
      </w:r>
      <w:r>
        <w:rPr>
          <w:sz w:val="20"/>
          <w:szCs w:val="20"/>
        </w:rPr>
        <w:t xml:space="preserve"> with per-customer admin consent and per-customer token storage — not one set of credentials. Anything designed around a single app-only credential would have to be rebuilt, which is why this is recorded before any Microsoft work starts.</w:t>
      </w:r>
    </w:p>
    <w:p>
      <w:pPr>
        <w:pStyle w:val="Heading2"/>
        <w:spacing w:after="110" w:before="250"/>
      </w:pPr>
      <w:r>
        <w:rPr>
          <w:b/>
          <w:bCs/>
          <w:color w:val="1F4E6B"/>
          <w:sz w:val="25"/>
          <w:szCs w:val="25"/>
        </w:rPr>
        <w:t xml:space="preserve">5.2 Consent and token flow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1. Tenant admin clicks "Connect Microsoft 365" in settings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2. Redirect to Microsoft admin consent for our multi-tenant app,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 requesting only the scopes for the features they enabled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3. Microsoft returns their directory (tenant) id → stored against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 our tenant record with the granted scope set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4. Tokens acquired per customer directory, cached encrypted with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 early refresh; refresh failures raise a reconnect prompt</w:t>
      </w:r>
    </w:p>
    <w:p>
      <w:pPr>
        <w:shd w:fill="F5F7F9" w:val="clear"/>
        <w:spacing w:after="14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5. Disconnect revokes locally and instructs how to revoke consent</w:t>
      </w:r>
    </w:p>
    <w:p>
      <w:pPr>
        <w:pStyle w:val="Heading2"/>
        <w:spacing w:after="110" w:before="250"/>
      </w:pPr>
      <w:r>
        <w:rPr>
          <w:b/>
          <w:bCs/>
          <w:color w:val="1F4E6B"/>
          <w:sz w:val="25"/>
          <w:szCs w:val="25"/>
        </w:rPr>
        <w:t xml:space="preserve">5.3 Capability map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2400"/>
        <w:gridCol w:w="3446"/>
      </w:tblGrid>
      <w:tr>
        <w:trPr>
          <w:tblHeader/>
        </w:trPr>
        <w:tc>
          <w:tcPr>
            <w:tcW w:type="dxa" w:w="1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20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Graph surface</w:t>
            </w:r>
          </w:p>
        </w:tc>
        <w:tc>
          <w:tcPr>
            <w:tcW w:type="dxa" w:w="2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 shape</w:t>
            </w:r>
          </w:p>
        </w:tc>
        <w:tc>
          <w:tcPr>
            <w:tcW w:type="dxa" w:w="34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Product behavior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Send reports and notifications</w:t>
            </w:r>
          </w:p>
        </w:tc>
        <w:tc>
          <w:tcPr>
            <w:tcW w:type="dxa" w:w="20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sendMail</w:t>
            </w:r>
          </w:p>
        </w:tc>
        <w:tc>
          <w:tcPr>
            <w:tcW w:type="dxa" w:w="2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Application, restricted to a chosen mailbox where possible</w:t>
            </w:r>
          </w:p>
        </w:tc>
        <w:tc>
          <w:tcPr>
            <w:tcW w:type="dxa" w:w="34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Mail appears in the school’s own Sent Items; replies reach them directly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Teams meetings per session</w:t>
            </w:r>
          </w:p>
        </w:tc>
        <w:tc>
          <w:tcPr>
            <w:tcW w:type="dxa" w:w="20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onlineMeetings</w:t>
            </w:r>
            <w:r>
              <w:rPr>
                <w:sz w:val="19"/>
                <w:szCs w:val="19"/>
              </w:rPr>
              <w:t xml:space="preserve"> / calendar event with online meeting</w:t>
            </w:r>
          </w:p>
        </w:tc>
        <w:tc>
          <w:tcPr>
            <w:tcW w:type="dxa" w:w="2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Delegated or application with policy</w:t>
            </w:r>
          </w:p>
        </w:tc>
        <w:tc>
          <w:tcPr>
            <w:tcW w:type="dxa" w:w="34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Join link stored on the session; cancellation cancels the meeting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Teams attendance import</w:t>
            </w:r>
          </w:p>
        </w:tc>
        <w:tc>
          <w:tcPr>
            <w:tcW w:type="dxa" w:w="20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meeting attendance reports</w:t>
            </w:r>
          </w:p>
        </w:tc>
        <w:tc>
          <w:tcPr>
            <w:tcW w:type="dxa" w:w="2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Application</w:t>
            </w:r>
          </w:p>
        </w:tc>
        <w:tc>
          <w:tcPr>
            <w:tcW w:type="dxa" w:w="34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Pre-fills the attendance grid for online sessions; teacher confirms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Staff calendars</w:t>
            </w:r>
          </w:p>
        </w:tc>
        <w:tc>
          <w:tcPr>
            <w:tcW w:type="dxa" w:w="20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calendar events</w:t>
            </w:r>
          </w:p>
        </w:tc>
        <w:tc>
          <w:tcPr>
            <w:tcW w:type="dxa" w:w="2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Delegated per teacher</w:t>
            </w:r>
          </w:p>
        </w:tc>
        <w:tc>
          <w:tcPr>
            <w:tcW w:type="dxa" w:w="34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Timetable appears in Outlook; iCal feed remains the no-consent fallback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Bookings for parent meetings</w:t>
            </w:r>
          </w:p>
        </w:tc>
        <w:tc>
          <w:tcPr>
            <w:tcW w:type="dxa" w:w="20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Bookings business + appointments</w:t>
            </w:r>
          </w:p>
        </w:tc>
        <w:tc>
          <w:tcPr>
            <w:tcW w:type="dxa" w:w="2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Application</w:t>
            </w:r>
          </w:p>
        </w:tc>
        <w:tc>
          <w:tcPr>
            <w:tcW w:type="dxa" w:w="34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Link surfaced on reports; later, appointments visible in-app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Staff sign-in</w:t>
            </w:r>
          </w:p>
        </w:tc>
        <w:tc>
          <w:tcPr>
            <w:tcW w:type="dxa" w:w="20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Entra ID SSO (OIDC)</w:t>
            </w:r>
          </w:p>
        </w:tc>
        <w:tc>
          <w:tcPr>
            <w:tcW w:type="dxa" w:w="2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Standard sign-in</w:t>
            </w:r>
          </w:p>
        </w:tc>
        <w:tc>
          <w:tcPr>
            <w:tcW w:type="dxa" w:w="34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Per-tenant SSO; local passwords disableable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Excel</w:t>
            </w:r>
          </w:p>
        </w:tc>
        <w:tc>
          <w:tcPr>
            <w:tcW w:type="dxa" w:w="20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— (native export/import)</w:t>
            </w:r>
          </w:p>
        </w:tc>
        <w:tc>
          <w:tcPr>
            <w:tcW w:type="dxa" w:w="2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34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Available from day one, no Microsoft dependency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64"/>
      </w:pPr>
      <w:r>
        <w:t xml:space="preserve">Scope discipline: request the minimum scopes for the features the tenant actually enabled. A consent screen listing broad permissions is the single most common reason an IT administrator refuses an integration.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Every Microsoft-backed capability keeps its non-Microsoft fallback permanently — customers on Google or on nothing must remain first-class.</w:t>
      </w:r>
    </w:p>
    <w:p>
      <w:r>
        <w:br w:type="page"/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6. API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Versioned under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/api/v1</w:t>
      </w:r>
      <w:r>
        <w:t xml:space="preserve">; authentication by token for machine clients and cookie-based session for first-party clients.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Conventions: consistent envelope (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data</w:t>
      </w:r>
      <w:r>
        <w:t xml:space="preserve">,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meta</w:t>
      </w:r>
      <w:r>
        <w:t xml:space="preserve">,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errors</w:t>
      </w:r>
      <w:r>
        <w:t xml:space="preserve">), cursor pagination, ISO-8601 UTC timestamps with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*_local</w:t>
      </w:r>
      <w:r>
        <w:t xml:space="preserve"> companions and explicit timezone names, and an error taxonomy of stable machine codes with human messages.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Tenant context derives from the authenticated credential, never from a request parameter.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Rate limits per token and per tenant; limits and remaining quota returned in headers.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Breaking changes require a new version; additive changes ship within a version. The API is a contract from the moment the first portal or customer integration exists.</w:t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7. CI/CD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on push / pull request: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1. install (cached)          4. tests (unit + feature + isolation)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2. code formatting check     5. migration up → down → up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3. static analysis           6. dependency + secret scanning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on merge to main: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build image → push registry → deploy staging → smoke tests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on tag: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deploy production: pull image, run migrations, swap container,</w:t>
      </w:r>
    </w:p>
    <w:p>
      <w:pPr>
        <w:shd w:fill="F5F7F9" w:val="clear"/>
        <w:spacing w:after="14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health check, automatic rollback on failure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Migrations run as a separate step before the swap, and are written to be compatible with the outgoing release so a rollback never faces a schema it cannot read.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isolation test suite (SL-SEC-004 §3.2) is a required check — a red isolation test blocks deployment unconditionally.</w:t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8. Scaling Ladder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3600"/>
        <w:gridCol w:w="2046"/>
      </w:tblGrid>
      <w:tr>
        <w:trPr>
          <w:tblHeader/>
        </w:trPr>
        <w:tc>
          <w:tcPr>
            <w:tcW w:type="dxa" w:w="18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3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20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Rough cost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S0 — Single server</w:t>
            </w:r>
          </w:p>
        </w:tc>
        <w:tc>
          <w:tcPr>
            <w:tcW w:type="dxa" w:w="2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Building; first tenants</w:t>
            </w:r>
          </w:p>
        </w:tc>
        <w:tc>
          <w:tcPr>
            <w:tcW w:type="dxa" w:w="3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App, database, worker, storage on one small machine</w:t>
            </w:r>
          </w:p>
        </w:tc>
        <w:tc>
          <w:tcPr>
            <w:tcW w:type="dxa" w:w="20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 few dollars a month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S1 — Split storage</w:t>
            </w:r>
          </w:p>
        </w:tc>
        <w:tc>
          <w:tcPr>
            <w:tcW w:type="dxa" w:w="2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Backups or file volume grow</w:t>
            </w:r>
          </w:p>
        </w:tc>
        <w:tc>
          <w:tcPr>
            <w:tcW w:type="dxa" w:w="3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Object storage moves to a bucket</w:t>
            </w:r>
          </w:p>
        </w:tc>
        <w:tc>
          <w:tcPr>
            <w:tcW w:type="dxa" w:w="20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+ small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S2 — Split database</w:t>
            </w:r>
          </w:p>
        </w:tc>
        <w:tc>
          <w:tcPr>
            <w:tcW w:type="dxa" w:w="2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CPU contention or backup windows</w:t>
            </w:r>
          </w:p>
        </w:tc>
        <w:tc>
          <w:tcPr>
            <w:tcW w:type="dxa" w:w="3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Managed or separate database host; Redis introduced</w:t>
            </w:r>
          </w:p>
        </w:tc>
        <w:tc>
          <w:tcPr>
            <w:tcW w:type="dxa" w:w="20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+ moderate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S3 — Split workers</w:t>
            </w:r>
          </w:p>
        </w:tc>
        <w:tc>
          <w:tcPr>
            <w:tcW w:type="dxa" w:w="2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Report runs delay interactive work</w:t>
            </w:r>
          </w:p>
        </w:tc>
        <w:tc>
          <w:tcPr>
            <w:tcW w:type="dxa" w:w="3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Dedicated worker host; queue prioritization</w:t>
            </w:r>
          </w:p>
        </w:tc>
        <w:tc>
          <w:tcPr>
            <w:tcW w:type="dxa" w:w="20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+ moderate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S4 — Horizontal app</w:t>
            </w:r>
          </w:p>
        </w:tc>
        <w:tc>
          <w:tcPr>
            <w:tcW w:type="dxa" w:w="2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Concurrency or availability targets</w:t>
            </w:r>
          </w:p>
        </w:tc>
        <w:tc>
          <w:tcPr>
            <w:tcW w:type="dxa" w:w="3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Multiple app containers behind a load balancer; sessions and cache in Redis</w:t>
            </w:r>
          </w:p>
        </w:tc>
        <w:tc>
          <w:tcPr>
            <w:tcW w:type="dxa" w:w="20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+ meaningful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S5 — Second region</w:t>
            </w:r>
          </w:p>
        </w:tc>
        <w:tc>
          <w:tcPr>
            <w:tcW w:type="dxa" w:w="2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Data residency or latency demands it</w:t>
            </w:r>
          </w:p>
        </w:tc>
        <w:tc>
          <w:tcPr>
            <w:tcW w:type="dxa" w:w="3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Region record activated; tenants pinned; storage and database per region</w:t>
            </w:r>
          </w:p>
        </w:tc>
        <w:tc>
          <w:tcPr>
            <w:tcW w:type="dxa" w:w="20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Duplicated stack</w:t>
            </w:r>
          </w:p>
        </w:tc>
      </w:tr>
    </w:tbl>
    <w:p>
      <w:pPr>
        <w:spacing w:after="120" w:line="276"/>
        <w:jc w:val="both"/>
      </w:pPr>
      <w:r>
        <w:t xml:space="preserve">Each step is triggered by a measurement, not by anticipation. The architecture supports S5 from the first migration; the infrastructure spend follows revenue.</w:t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9. Observability &amp; Operations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Health endpoint covering database, queue and storage reachability, monitored externally.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Structured JSON logs with request and tenant identifiers — never personal data (SL-SEC-004 §7.2).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Error tracking with scrubbing rules; alerts on error-rate spikes, queue depth, failed report deliveries and failed metering runs.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Operator console surfaces failed jobs and delivery failures with one-click retry, so routine recovery needs no shell access.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Backups nightly, encrypted, retained 30 daily and 12 monthly, with a </w:t>
      </w:r>
      <w:r>
        <w:rPr>
          <w:b/>
          <w:bCs/>
        </w:rPr>
        <w:t xml:space="preserve">scheduled restore rehearsal</w:t>
      </w:r>
      <w:r>
        <w:t xml:space="preserve"> — the restore is the control, not the backup.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Runbooks maintained in the repository: restore from backup, rotate credentials, replay webhooks, re-run metering for a date, resend a failed report batch, suspend or restore a tenant, respond to a suspected breach.</w:t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10. Self-Hosted Packaging (P5)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Deliverables: a versioned compose bundle, a container image, an install guide, an upgrade guide with rollback, and a licence file.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Customer supplies database, storage location and SMTP; no outbound internet requirement at runtime.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Upgrades are version-sequenced with migrations tested against the previous release; the install guide states the supported upgrade path explicitly.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Support boundary published: we support the application, the customer supports their infrastructure.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3EA" w:sz="4"/>
      </w:pBdr>
      <w:jc w:val="center"/>
    </w:pPr>
    <w:r>
      <w:rPr>
        <w:color w:val="5A6B7E"/>
        <w:sz w:val="17"/>
        <w:szCs w:val="17"/>
      </w:rPr>
      <w:t xml:space="preserve">SL-OPS-007 · Integrations &amp; DevOps Specification · snova-labs   |   Page </w:t>
    </w:r>
    <w:r>
      <w:rPr>
        <w:color w:val="5A6B7E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A6B7E"/>
        <w:sz w:val="17"/>
        <w:szCs w:val="17"/>
      </w:rPr>
      <w:t xml:space="preserve"> of </w:t>
    </w:r>
    <w:r>
      <w:rPr>
        <w:color w:val="5A6B7E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  <w:lvl w:ilvl="1" w15:tentative="1">
      <w:start w:val="1"/>
      <w:numFmt w:val="bullet"/>
      <w:lvlText w:val="◦"/>
      <w:lvlJc w:val="left"/>
      <w:pPr>
        <w:ind w:left="8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33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2026-08-18T11:00:29.694Z</dcterms:created>
  <dcterms:modified xsi:type="dcterms:W3CDTF">2026-08-18T11:00:29.713Z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